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C6C6C" w14:textId="77777777" w:rsidR="00142C80" w:rsidRPr="008E187A" w:rsidRDefault="00142C80" w:rsidP="00142C80">
      <w:pPr>
        <w:jc w:val="center"/>
        <w:rPr>
          <w:b/>
          <w:sz w:val="28"/>
          <w:szCs w:val="28"/>
        </w:rPr>
      </w:pPr>
    </w:p>
    <w:p w14:paraId="2B98533D" w14:textId="77777777" w:rsidR="00142C80" w:rsidRPr="00970071" w:rsidRDefault="00142C80" w:rsidP="00142C80">
      <w:pPr>
        <w:jc w:val="center"/>
        <w:rPr>
          <w:b/>
          <w:sz w:val="28"/>
          <w:szCs w:val="28"/>
        </w:rPr>
      </w:pPr>
    </w:p>
    <w:p w14:paraId="0DBE0323" w14:textId="77777777" w:rsidR="00142C80" w:rsidRPr="00970071" w:rsidRDefault="00142C80" w:rsidP="00142C80">
      <w:pPr>
        <w:jc w:val="center"/>
        <w:rPr>
          <w:b/>
          <w:sz w:val="28"/>
          <w:szCs w:val="28"/>
        </w:rPr>
      </w:pPr>
    </w:p>
    <w:p w14:paraId="4D8AFD20" w14:textId="77777777" w:rsidR="00142C80" w:rsidRPr="00970071" w:rsidRDefault="00142C80" w:rsidP="00142C80">
      <w:pPr>
        <w:jc w:val="center"/>
        <w:rPr>
          <w:b/>
          <w:sz w:val="28"/>
          <w:szCs w:val="28"/>
        </w:rPr>
      </w:pPr>
    </w:p>
    <w:p w14:paraId="07BDFD79" w14:textId="11F77A4A" w:rsidR="00044D19" w:rsidRDefault="004F254C" w:rsidP="00E93086">
      <w:pPr>
        <w:ind w:right="36"/>
        <w:jc w:val="center"/>
        <w:rPr>
          <w:color w:val="000000"/>
          <w:sz w:val="36"/>
          <w:szCs w:val="36"/>
        </w:rPr>
      </w:pPr>
      <w:r w:rsidRPr="00970071">
        <w:rPr>
          <w:color w:val="000000"/>
          <w:sz w:val="36"/>
          <w:szCs w:val="36"/>
        </w:rPr>
        <w:t xml:space="preserve">FESHM </w:t>
      </w:r>
      <w:r w:rsidR="00CC2448">
        <w:rPr>
          <w:color w:val="000000"/>
          <w:sz w:val="36"/>
          <w:szCs w:val="36"/>
        </w:rPr>
        <w:t>2110</w:t>
      </w:r>
      <w:r w:rsidRPr="00970071">
        <w:rPr>
          <w:color w:val="000000"/>
          <w:sz w:val="36"/>
          <w:szCs w:val="36"/>
        </w:rPr>
        <w:t xml:space="preserve">: </w:t>
      </w:r>
      <w:r w:rsidR="00044D19">
        <w:rPr>
          <w:color w:val="000000"/>
          <w:sz w:val="36"/>
          <w:szCs w:val="36"/>
        </w:rPr>
        <w:t xml:space="preserve">Ensuring Equivalent </w:t>
      </w:r>
      <w:r w:rsidR="003141B1">
        <w:rPr>
          <w:color w:val="000000"/>
          <w:sz w:val="36"/>
          <w:szCs w:val="36"/>
        </w:rPr>
        <w:t>Safety Performance</w:t>
      </w:r>
      <w:r w:rsidR="00044D19">
        <w:rPr>
          <w:color w:val="000000"/>
          <w:sz w:val="36"/>
          <w:szCs w:val="36"/>
        </w:rPr>
        <w:t xml:space="preserve"> when </w:t>
      </w:r>
    </w:p>
    <w:p w14:paraId="681DA34B" w14:textId="1244D1FD" w:rsidR="00142C80" w:rsidRPr="00970071" w:rsidRDefault="00044D19" w:rsidP="00E93086">
      <w:pPr>
        <w:ind w:right="36"/>
        <w:jc w:val="center"/>
        <w:rPr>
          <w:color w:val="000000"/>
          <w:sz w:val="36"/>
          <w:szCs w:val="36"/>
        </w:rPr>
      </w:pPr>
      <w:r>
        <w:rPr>
          <w:color w:val="000000"/>
          <w:sz w:val="36"/>
          <w:szCs w:val="36"/>
        </w:rPr>
        <w:t xml:space="preserve">Using International Codes and </w:t>
      </w:r>
      <w:r w:rsidR="00336459">
        <w:rPr>
          <w:color w:val="000000"/>
          <w:sz w:val="36"/>
          <w:szCs w:val="36"/>
        </w:rPr>
        <w:t>Standards</w:t>
      </w:r>
    </w:p>
    <w:p w14:paraId="540E58F3" w14:textId="77777777" w:rsidR="00E93086" w:rsidRPr="00970071" w:rsidRDefault="00E93086" w:rsidP="00E93086">
      <w:pPr>
        <w:ind w:right="36"/>
        <w:jc w:val="center"/>
        <w:rPr>
          <w:b/>
          <w:sz w:val="36"/>
          <w:szCs w:val="36"/>
        </w:rPr>
      </w:pPr>
    </w:p>
    <w:p w14:paraId="457740E9" w14:textId="77777777" w:rsidR="00142C80" w:rsidRPr="00970071" w:rsidRDefault="00142C80" w:rsidP="00142C80">
      <w:pPr>
        <w:jc w:val="center"/>
        <w:rPr>
          <w:b/>
          <w:sz w:val="28"/>
          <w:szCs w:val="28"/>
        </w:rPr>
      </w:pPr>
    </w:p>
    <w:p w14:paraId="0B02144C" w14:textId="77777777" w:rsidR="00142C80" w:rsidRPr="00970071" w:rsidRDefault="00142C80" w:rsidP="00142C80">
      <w:pPr>
        <w:jc w:val="center"/>
        <w:rPr>
          <w:b/>
          <w:sz w:val="28"/>
          <w:szCs w:val="28"/>
        </w:rPr>
      </w:pPr>
    </w:p>
    <w:p w14:paraId="69D15F6E" w14:textId="77777777" w:rsidR="00142C80" w:rsidRPr="00970071" w:rsidRDefault="00142C80" w:rsidP="00142C80">
      <w:pPr>
        <w:jc w:val="center"/>
        <w:rPr>
          <w:b/>
          <w:sz w:val="28"/>
          <w:szCs w:val="28"/>
        </w:rPr>
      </w:pPr>
    </w:p>
    <w:p w14:paraId="2046E52A" w14:textId="77777777" w:rsidR="00DB5D5A" w:rsidRPr="00970071" w:rsidRDefault="00743FAE" w:rsidP="00DB5D5A">
      <w:pPr>
        <w:ind w:right="-140"/>
        <w:jc w:val="center"/>
        <w:rPr>
          <w:b/>
          <w:color w:val="000000"/>
        </w:rPr>
      </w:pPr>
      <w:r w:rsidRPr="00970071">
        <w:rPr>
          <w:b/>
          <w:color w:val="000000"/>
        </w:rPr>
        <w:t>Revision History</w:t>
      </w:r>
    </w:p>
    <w:p w14:paraId="5AD24CCE" w14:textId="77777777" w:rsidR="00DB5D5A" w:rsidRPr="00970071" w:rsidRDefault="00DB5D5A" w:rsidP="00DB5D5A">
      <w:pPr>
        <w:ind w:right="-140"/>
        <w:rPr>
          <w:b/>
          <w:color w:val="000000"/>
        </w:rPr>
      </w:pPr>
    </w:p>
    <w:tbl>
      <w:tblPr>
        <w:tblW w:w="993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808"/>
        <w:gridCol w:w="5310"/>
        <w:gridCol w:w="1818"/>
      </w:tblGrid>
      <w:tr w:rsidR="00EF2B36" w:rsidRPr="00970071" w14:paraId="5868565A" w14:textId="77777777" w:rsidTr="00CE1C0F">
        <w:tc>
          <w:tcPr>
            <w:tcW w:w="2808" w:type="dxa"/>
          </w:tcPr>
          <w:p w14:paraId="50D95ECA" w14:textId="77777777" w:rsidR="00743FAE" w:rsidRPr="00970071" w:rsidRDefault="00743FAE" w:rsidP="0086083E">
            <w:pPr>
              <w:tabs>
                <w:tab w:val="left" w:pos="720"/>
              </w:tabs>
              <w:jc w:val="center"/>
              <w:rPr>
                <w:b/>
              </w:rPr>
            </w:pPr>
            <w:r w:rsidRPr="00970071">
              <w:rPr>
                <w:b/>
              </w:rPr>
              <w:t>Author</w:t>
            </w:r>
          </w:p>
        </w:tc>
        <w:tc>
          <w:tcPr>
            <w:tcW w:w="5310" w:type="dxa"/>
          </w:tcPr>
          <w:p w14:paraId="3E165110" w14:textId="77777777" w:rsidR="00743FAE" w:rsidRPr="00970071" w:rsidRDefault="00743FAE" w:rsidP="0086083E">
            <w:pPr>
              <w:tabs>
                <w:tab w:val="left" w:pos="720"/>
              </w:tabs>
              <w:jc w:val="center"/>
              <w:rPr>
                <w:b/>
              </w:rPr>
            </w:pPr>
            <w:r w:rsidRPr="00970071">
              <w:rPr>
                <w:b/>
              </w:rPr>
              <w:t>Description of Change</w:t>
            </w:r>
          </w:p>
        </w:tc>
        <w:tc>
          <w:tcPr>
            <w:tcW w:w="1818" w:type="dxa"/>
          </w:tcPr>
          <w:p w14:paraId="793098F1" w14:textId="77777777" w:rsidR="00743FAE" w:rsidRPr="00970071" w:rsidRDefault="00CD7755" w:rsidP="00CD7755">
            <w:pPr>
              <w:tabs>
                <w:tab w:val="left" w:pos="720"/>
              </w:tabs>
              <w:jc w:val="center"/>
              <w:rPr>
                <w:b/>
              </w:rPr>
            </w:pPr>
            <w:r>
              <w:rPr>
                <w:b/>
              </w:rPr>
              <w:t xml:space="preserve">Revision </w:t>
            </w:r>
            <w:r w:rsidR="00743FAE" w:rsidRPr="00970071">
              <w:rPr>
                <w:b/>
              </w:rPr>
              <w:t>Date</w:t>
            </w:r>
          </w:p>
        </w:tc>
      </w:tr>
      <w:tr w:rsidR="0013556F" w:rsidRPr="00970071" w14:paraId="7E3283EA" w14:textId="77777777" w:rsidTr="00CC3DB8">
        <w:tc>
          <w:tcPr>
            <w:tcW w:w="2808" w:type="dxa"/>
          </w:tcPr>
          <w:p w14:paraId="7D3AEBAF" w14:textId="77777777" w:rsidR="0013556F" w:rsidRDefault="0013556F" w:rsidP="00CC3DB8">
            <w:pPr>
              <w:tabs>
                <w:tab w:val="left" w:pos="720"/>
              </w:tabs>
              <w:jc w:val="center"/>
            </w:pPr>
            <w:r>
              <w:t>Martha Michels</w:t>
            </w:r>
          </w:p>
        </w:tc>
        <w:tc>
          <w:tcPr>
            <w:tcW w:w="5310" w:type="dxa"/>
          </w:tcPr>
          <w:p w14:paraId="587082E5" w14:textId="77777777" w:rsidR="0013556F" w:rsidRDefault="0013556F" w:rsidP="00CC3DB8">
            <w:pPr>
              <w:tabs>
                <w:tab w:val="left" w:pos="720"/>
              </w:tabs>
              <w:jc w:val="left"/>
            </w:pPr>
            <w:r>
              <w:t>Updated to clarify that this is an alternate standard acceptance process policy, not an equivalency process policy.  Changed the name of the chapter.</w:t>
            </w:r>
          </w:p>
        </w:tc>
        <w:tc>
          <w:tcPr>
            <w:tcW w:w="1818" w:type="dxa"/>
          </w:tcPr>
          <w:p w14:paraId="6F5A81CD" w14:textId="6F09B792" w:rsidR="0013556F" w:rsidRDefault="006C2C6F" w:rsidP="00CC3DB8">
            <w:pPr>
              <w:tabs>
                <w:tab w:val="left" w:pos="720"/>
              </w:tabs>
              <w:jc w:val="center"/>
            </w:pPr>
            <w:r>
              <w:t>January, 2017</w:t>
            </w:r>
          </w:p>
        </w:tc>
      </w:tr>
      <w:tr w:rsidR="00EF2B36" w:rsidRPr="00970071" w14:paraId="30F6037F" w14:textId="77777777" w:rsidTr="00CE1C0F">
        <w:tc>
          <w:tcPr>
            <w:tcW w:w="2808" w:type="dxa"/>
          </w:tcPr>
          <w:p w14:paraId="35C59DD4" w14:textId="424CC65E" w:rsidR="00B85B17" w:rsidRPr="00BD7048" w:rsidRDefault="00336459" w:rsidP="00024182">
            <w:pPr>
              <w:tabs>
                <w:tab w:val="left" w:pos="720"/>
              </w:tabs>
              <w:jc w:val="center"/>
            </w:pPr>
            <w:r>
              <w:t>Martha Michels</w:t>
            </w:r>
          </w:p>
        </w:tc>
        <w:tc>
          <w:tcPr>
            <w:tcW w:w="5310" w:type="dxa"/>
          </w:tcPr>
          <w:p w14:paraId="79448D67" w14:textId="77777777" w:rsidR="009E601B" w:rsidRPr="00BA7B7A" w:rsidRDefault="00BD7048" w:rsidP="00BD7048">
            <w:pPr>
              <w:tabs>
                <w:tab w:val="left" w:pos="720"/>
              </w:tabs>
              <w:jc w:val="left"/>
            </w:pPr>
            <w:r>
              <w:t>Initial release of chapter</w:t>
            </w:r>
          </w:p>
        </w:tc>
        <w:tc>
          <w:tcPr>
            <w:tcW w:w="1818" w:type="dxa"/>
          </w:tcPr>
          <w:p w14:paraId="55F19BE2" w14:textId="120FA73D" w:rsidR="00B85B17" w:rsidRPr="00BA7B7A" w:rsidRDefault="00CE1C0F" w:rsidP="009E601B">
            <w:pPr>
              <w:tabs>
                <w:tab w:val="left" w:pos="720"/>
              </w:tabs>
              <w:jc w:val="center"/>
            </w:pPr>
            <w:r>
              <w:t>June 1,</w:t>
            </w:r>
            <w:r w:rsidR="00336459">
              <w:t xml:space="preserve"> 2016</w:t>
            </w:r>
          </w:p>
        </w:tc>
      </w:tr>
    </w:tbl>
    <w:p w14:paraId="44AD183D" w14:textId="77777777" w:rsidR="00142C80" w:rsidRPr="00970071" w:rsidRDefault="00142C80" w:rsidP="00142C80">
      <w:pPr>
        <w:jc w:val="center"/>
        <w:rPr>
          <w:b/>
          <w:sz w:val="28"/>
          <w:szCs w:val="28"/>
        </w:rPr>
      </w:pPr>
    </w:p>
    <w:p w14:paraId="3F87B254" w14:textId="77777777" w:rsidR="00142C80" w:rsidRPr="00970071" w:rsidRDefault="00142C80" w:rsidP="00142C80">
      <w:pPr>
        <w:jc w:val="center"/>
        <w:rPr>
          <w:b/>
          <w:sz w:val="28"/>
          <w:szCs w:val="28"/>
        </w:rPr>
      </w:pPr>
    </w:p>
    <w:p w14:paraId="53D11602" w14:textId="77777777" w:rsidR="00142C80" w:rsidRPr="00970071" w:rsidRDefault="00142C80" w:rsidP="00142C80">
      <w:pPr>
        <w:jc w:val="center"/>
        <w:rPr>
          <w:b/>
          <w:sz w:val="28"/>
          <w:szCs w:val="28"/>
        </w:rPr>
      </w:pPr>
    </w:p>
    <w:p w14:paraId="17462E3C" w14:textId="77777777" w:rsidR="00142C80" w:rsidRPr="00970071" w:rsidRDefault="00142C80" w:rsidP="00142C80">
      <w:pPr>
        <w:jc w:val="center"/>
        <w:rPr>
          <w:b/>
          <w:sz w:val="28"/>
          <w:szCs w:val="28"/>
        </w:rPr>
      </w:pPr>
    </w:p>
    <w:p w14:paraId="7A686FA9" w14:textId="77777777" w:rsidR="008648A9" w:rsidRPr="00970071" w:rsidRDefault="008648A9" w:rsidP="00142C80">
      <w:pPr>
        <w:jc w:val="left"/>
        <w:rPr>
          <w:b/>
          <w:sz w:val="28"/>
          <w:szCs w:val="28"/>
        </w:rPr>
      </w:pPr>
    </w:p>
    <w:p w14:paraId="1390AB9F" w14:textId="77777777" w:rsidR="008648A9" w:rsidRPr="00970071" w:rsidRDefault="008648A9" w:rsidP="00142C80">
      <w:pPr>
        <w:jc w:val="left"/>
        <w:rPr>
          <w:b/>
          <w:sz w:val="28"/>
          <w:szCs w:val="28"/>
        </w:rPr>
      </w:pPr>
    </w:p>
    <w:p w14:paraId="3014A4BD" w14:textId="77777777" w:rsidR="008648A9" w:rsidRPr="00970071" w:rsidRDefault="008648A9" w:rsidP="008648A9">
      <w:pPr>
        <w:jc w:val="left"/>
        <w:rPr>
          <w:b/>
          <w:sz w:val="28"/>
          <w:szCs w:val="28"/>
        </w:rPr>
        <w:sectPr w:rsidR="008648A9" w:rsidRPr="00970071" w:rsidSect="002E707A">
          <w:headerReference w:type="default" r:id="rId12"/>
          <w:footerReference w:type="default" r:id="rId13"/>
          <w:pgSz w:w="12240" w:h="15840" w:code="1"/>
          <w:pgMar w:top="720" w:right="1080" w:bottom="720" w:left="1440" w:header="720" w:footer="389" w:gutter="0"/>
          <w:cols w:space="720"/>
          <w:docGrid w:linePitch="360"/>
        </w:sectPr>
      </w:pPr>
    </w:p>
    <w:p w14:paraId="2300C66C" w14:textId="77777777" w:rsidR="00A96FFC" w:rsidRPr="00970071" w:rsidRDefault="00A96FFC" w:rsidP="001A2CF3">
      <w:pPr>
        <w:jc w:val="center"/>
        <w:rPr>
          <w:b/>
          <w:sz w:val="28"/>
          <w:szCs w:val="28"/>
        </w:rPr>
      </w:pPr>
      <w:r w:rsidRPr="00970071">
        <w:rPr>
          <w:b/>
          <w:sz w:val="28"/>
          <w:szCs w:val="28"/>
        </w:rPr>
        <w:lastRenderedPageBreak/>
        <w:t>TABLE OF CONTENTS</w:t>
      </w:r>
    </w:p>
    <w:p w14:paraId="6FC8D5F4" w14:textId="77777777" w:rsidR="00A96FFC" w:rsidRPr="00970071" w:rsidRDefault="00A96FFC">
      <w:pPr>
        <w:rPr>
          <w:bCs/>
        </w:rPr>
      </w:pPr>
    </w:p>
    <w:p w14:paraId="2D268972" w14:textId="77777777" w:rsidR="003E5207" w:rsidRDefault="0031189E">
      <w:pPr>
        <w:pStyle w:val="TOC1"/>
        <w:rPr>
          <w:rFonts w:asciiTheme="minorHAnsi" w:eastAsiaTheme="minorEastAsia" w:hAnsiTheme="minorHAnsi" w:cstheme="minorBidi"/>
          <w:noProof/>
          <w:sz w:val="22"/>
          <w:szCs w:val="22"/>
        </w:rPr>
      </w:pPr>
      <w:r w:rsidRPr="00970071">
        <w:rPr>
          <w:bCs/>
        </w:rPr>
        <w:fldChar w:fldCharType="begin"/>
      </w:r>
      <w:r w:rsidR="00A96FFC" w:rsidRPr="00970071">
        <w:rPr>
          <w:bCs/>
        </w:rPr>
        <w:instrText xml:space="preserve"> TOC \o "1-3" \h \z \u </w:instrText>
      </w:r>
      <w:r w:rsidRPr="00970071">
        <w:rPr>
          <w:bCs/>
        </w:rPr>
        <w:fldChar w:fldCharType="separate"/>
      </w:r>
      <w:hyperlink w:anchor="_Toc452620512" w:history="1">
        <w:r w:rsidR="003E5207" w:rsidRPr="00FB5754">
          <w:rPr>
            <w:rStyle w:val="Hyperlink"/>
            <w:rFonts w:ascii="Times New Roman Bold" w:hAnsi="Times New Roman Bold"/>
            <w:noProof/>
          </w:rPr>
          <w:t>1.0</w:t>
        </w:r>
        <w:r w:rsidR="003E5207">
          <w:rPr>
            <w:rFonts w:asciiTheme="minorHAnsi" w:eastAsiaTheme="minorEastAsia" w:hAnsiTheme="minorHAnsi" w:cstheme="minorBidi"/>
            <w:noProof/>
            <w:sz w:val="22"/>
            <w:szCs w:val="22"/>
          </w:rPr>
          <w:tab/>
        </w:r>
        <w:r w:rsidR="003E5207" w:rsidRPr="00FB5754">
          <w:rPr>
            <w:rStyle w:val="Hyperlink"/>
            <w:noProof/>
          </w:rPr>
          <w:t>INTRODUCTION</w:t>
        </w:r>
        <w:r w:rsidR="003E5207">
          <w:rPr>
            <w:noProof/>
            <w:webHidden/>
          </w:rPr>
          <w:tab/>
        </w:r>
        <w:r w:rsidR="003E5207">
          <w:rPr>
            <w:noProof/>
            <w:webHidden/>
          </w:rPr>
          <w:fldChar w:fldCharType="begin"/>
        </w:r>
        <w:r w:rsidR="003E5207">
          <w:rPr>
            <w:noProof/>
            <w:webHidden/>
          </w:rPr>
          <w:instrText xml:space="preserve"> PAGEREF _Toc452620512 \h </w:instrText>
        </w:r>
        <w:r w:rsidR="003E5207">
          <w:rPr>
            <w:noProof/>
            <w:webHidden/>
          </w:rPr>
        </w:r>
        <w:r w:rsidR="003E5207">
          <w:rPr>
            <w:noProof/>
            <w:webHidden/>
          </w:rPr>
          <w:fldChar w:fldCharType="separate"/>
        </w:r>
        <w:r w:rsidR="003E5207">
          <w:rPr>
            <w:noProof/>
            <w:webHidden/>
          </w:rPr>
          <w:t>3</w:t>
        </w:r>
        <w:r w:rsidR="003E5207">
          <w:rPr>
            <w:noProof/>
            <w:webHidden/>
          </w:rPr>
          <w:fldChar w:fldCharType="end"/>
        </w:r>
      </w:hyperlink>
    </w:p>
    <w:p w14:paraId="3A73984E" w14:textId="77777777" w:rsidR="003E5207" w:rsidRDefault="006C2C6F">
      <w:pPr>
        <w:pStyle w:val="TOC1"/>
        <w:rPr>
          <w:rFonts w:asciiTheme="minorHAnsi" w:eastAsiaTheme="minorEastAsia" w:hAnsiTheme="minorHAnsi" w:cstheme="minorBidi"/>
          <w:noProof/>
          <w:sz w:val="22"/>
          <w:szCs w:val="22"/>
        </w:rPr>
      </w:pPr>
      <w:hyperlink w:anchor="_Toc452620513" w:history="1">
        <w:r w:rsidR="003E5207" w:rsidRPr="00FB5754">
          <w:rPr>
            <w:rStyle w:val="Hyperlink"/>
            <w:rFonts w:ascii="Times New Roman Bold" w:hAnsi="Times New Roman Bold"/>
            <w:noProof/>
          </w:rPr>
          <w:t>2.0</w:t>
        </w:r>
        <w:r w:rsidR="003E5207">
          <w:rPr>
            <w:rFonts w:asciiTheme="minorHAnsi" w:eastAsiaTheme="minorEastAsia" w:hAnsiTheme="minorHAnsi" w:cstheme="minorBidi"/>
            <w:noProof/>
            <w:sz w:val="22"/>
            <w:szCs w:val="22"/>
          </w:rPr>
          <w:tab/>
        </w:r>
        <w:r w:rsidR="003E5207" w:rsidRPr="00FB5754">
          <w:rPr>
            <w:rStyle w:val="Hyperlink"/>
            <w:noProof/>
          </w:rPr>
          <w:t>DEFINITIONS</w:t>
        </w:r>
        <w:r w:rsidR="003E5207">
          <w:rPr>
            <w:noProof/>
            <w:webHidden/>
          </w:rPr>
          <w:tab/>
        </w:r>
        <w:r w:rsidR="003E5207">
          <w:rPr>
            <w:noProof/>
            <w:webHidden/>
          </w:rPr>
          <w:fldChar w:fldCharType="begin"/>
        </w:r>
        <w:r w:rsidR="003E5207">
          <w:rPr>
            <w:noProof/>
            <w:webHidden/>
          </w:rPr>
          <w:instrText xml:space="preserve"> PAGEREF _Toc452620513 \h </w:instrText>
        </w:r>
        <w:r w:rsidR="003E5207">
          <w:rPr>
            <w:noProof/>
            <w:webHidden/>
          </w:rPr>
        </w:r>
        <w:r w:rsidR="003E5207">
          <w:rPr>
            <w:noProof/>
            <w:webHidden/>
          </w:rPr>
          <w:fldChar w:fldCharType="separate"/>
        </w:r>
        <w:r w:rsidR="003E5207">
          <w:rPr>
            <w:noProof/>
            <w:webHidden/>
          </w:rPr>
          <w:t>3</w:t>
        </w:r>
        <w:r w:rsidR="003E5207">
          <w:rPr>
            <w:noProof/>
            <w:webHidden/>
          </w:rPr>
          <w:fldChar w:fldCharType="end"/>
        </w:r>
      </w:hyperlink>
    </w:p>
    <w:p w14:paraId="7FA6C385" w14:textId="77777777" w:rsidR="003E5207" w:rsidRDefault="006C2C6F">
      <w:pPr>
        <w:pStyle w:val="TOC2"/>
        <w:rPr>
          <w:rFonts w:asciiTheme="minorHAnsi" w:eastAsiaTheme="minorEastAsia" w:hAnsiTheme="minorHAnsi" w:cstheme="minorBidi"/>
          <w:noProof/>
          <w:sz w:val="22"/>
          <w:szCs w:val="22"/>
        </w:rPr>
      </w:pPr>
      <w:hyperlink w:anchor="_Toc452620514" w:history="1">
        <w:r w:rsidR="003E5207" w:rsidRPr="00FB5754">
          <w:rPr>
            <w:rStyle w:val="Hyperlink"/>
            <w:rFonts w:ascii="Times New Roman Bold" w:hAnsi="Times New Roman Bold"/>
            <w:noProof/>
          </w:rPr>
          <w:t>2.1</w:t>
        </w:r>
        <w:r w:rsidR="003E5207">
          <w:rPr>
            <w:rFonts w:asciiTheme="minorHAnsi" w:eastAsiaTheme="minorEastAsia" w:hAnsiTheme="minorHAnsi" w:cstheme="minorBidi"/>
            <w:noProof/>
            <w:sz w:val="22"/>
            <w:szCs w:val="22"/>
          </w:rPr>
          <w:tab/>
        </w:r>
        <w:r w:rsidR="003E5207" w:rsidRPr="00FB5754">
          <w:rPr>
            <w:rStyle w:val="Hyperlink"/>
            <w:noProof/>
          </w:rPr>
          <w:t>Appropriate U.S. Governing Code</w:t>
        </w:r>
        <w:r w:rsidR="003E5207">
          <w:rPr>
            <w:noProof/>
            <w:webHidden/>
          </w:rPr>
          <w:tab/>
        </w:r>
        <w:r w:rsidR="003E5207">
          <w:rPr>
            <w:noProof/>
            <w:webHidden/>
          </w:rPr>
          <w:fldChar w:fldCharType="begin"/>
        </w:r>
        <w:r w:rsidR="003E5207">
          <w:rPr>
            <w:noProof/>
            <w:webHidden/>
          </w:rPr>
          <w:instrText xml:space="preserve"> PAGEREF _Toc452620514 \h </w:instrText>
        </w:r>
        <w:r w:rsidR="003E5207">
          <w:rPr>
            <w:noProof/>
            <w:webHidden/>
          </w:rPr>
        </w:r>
        <w:r w:rsidR="003E5207">
          <w:rPr>
            <w:noProof/>
            <w:webHidden/>
          </w:rPr>
          <w:fldChar w:fldCharType="separate"/>
        </w:r>
        <w:r w:rsidR="003E5207">
          <w:rPr>
            <w:noProof/>
            <w:webHidden/>
          </w:rPr>
          <w:t>3</w:t>
        </w:r>
        <w:r w:rsidR="003E5207">
          <w:rPr>
            <w:noProof/>
            <w:webHidden/>
          </w:rPr>
          <w:fldChar w:fldCharType="end"/>
        </w:r>
      </w:hyperlink>
    </w:p>
    <w:p w14:paraId="3BA7C7B1" w14:textId="77777777" w:rsidR="003E5207" w:rsidRDefault="006C2C6F">
      <w:pPr>
        <w:pStyle w:val="TOC2"/>
        <w:rPr>
          <w:rFonts w:asciiTheme="minorHAnsi" w:eastAsiaTheme="minorEastAsia" w:hAnsiTheme="minorHAnsi" w:cstheme="minorBidi"/>
          <w:noProof/>
          <w:sz w:val="22"/>
          <w:szCs w:val="22"/>
        </w:rPr>
      </w:pPr>
      <w:hyperlink w:anchor="_Toc452620515" w:history="1">
        <w:r w:rsidR="003E5207" w:rsidRPr="00FB5754">
          <w:rPr>
            <w:rStyle w:val="Hyperlink"/>
            <w:rFonts w:ascii="Times New Roman Bold" w:hAnsi="Times New Roman Bold"/>
            <w:noProof/>
          </w:rPr>
          <w:t>2.2</w:t>
        </w:r>
        <w:r w:rsidR="003E5207">
          <w:rPr>
            <w:rFonts w:asciiTheme="minorHAnsi" w:eastAsiaTheme="minorEastAsia" w:hAnsiTheme="minorHAnsi" w:cstheme="minorBidi"/>
            <w:noProof/>
            <w:sz w:val="22"/>
            <w:szCs w:val="22"/>
          </w:rPr>
          <w:tab/>
        </w:r>
        <w:r w:rsidR="003E5207" w:rsidRPr="00FB5754">
          <w:rPr>
            <w:rStyle w:val="Hyperlink"/>
            <w:noProof/>
          </w:rPr>
          <w:t>An International Code or Standard</w:t>
        </w:r>
        <w:r w:rsidR="003E5207">
          <w:rPr>
            <w:noProof/>
            <w:webHidden/>
          </w:rPr>
          <w:tab/>
        </w:r>
        <w:r w:rsidR="003E5207">
          <w:rPr>
            <w:noProof/>
            <w:webHidden/>
          </w:rPr>
          <w:fldChar w:fldCharType="begin"/>
        </w:r>
        <w:r w:rsidR="003E5207">
          <w:rPr>
            <w:noProof/>
            <w:webHidden/>
          </w:rPr>
          <w:instrText xml:space="preserve"> PAGEREF _Toc452620515 \h </w:instrText>
        </w:r>
        <w:r w:rsidR="003E5207">
          <w:rPr>
            <w:noProof/>
            <w:webHidden/>
          </w:rPr>
        </w:r>
        <w:r w:rsidR="003E5207">
          <w:rPr>
            <w:noProof/>
            <w:webHidden/>
          </w:rPr>
          <w:fldChar w:fldCharType="separate"/>
        </w:r>
        <w:r w:rsidR="003E5207">
          <w:rPr>
            <w:noProof/>
            <w:webHidden/>
          </w:rPr>
          <w:t>3</w:t>
        </w:r>
        <w:r w:rsidR="003E5207">
          <w:rPr>
            <w:noProof/>
            <w:webHidden/>
          </w:rPr>
          <w:fldChar w:fldCharType="end"/>
        </w:r>
      </w:hyperlink>
    </w:p>
    <w:p w14:paraId="2EA4AD3D" w14:textId="77777777" w:rsidR="003E5207" w:rsidRDefault="006C2C6F">
      <w:pPr>
        <w:pStyle w:val="TOC2"/>
        <w:rPr>
          <w:rFonts w:asciiTheme="minorHAnsi" w:eastAsiaTheme="minorEastAsia" w:hAnsiTheme="minorHAnsi" w:cstheme="minorBidi"/>
          <w:noProof/>
          <w:sz w:val="22"/>
          <w:szCs w:val="22"/>
        </w:rPr>
      </w:pPr>
      <w:hyperlink w:anchor="_Toc452620516" w:history="1">
        <w:r w:rsidR="003E5207" w:rsidRPr="00FB5754">
          <w:rPr>
            <w:rStyle w:val="Hyperlink"/>
            <w:rFonts w:ascii="Times New Roman Bold" w:hAnsi="Times New Roman Bold"/>
            <w:noProof/>
          </w:rPr>
          <w:t>2.3</w:t>
        </w:r>
        <w:r w:rsidR="003E5207">
          <w:rPr>
            <w:rFonts w:asciiTheme="minorHAnsi" w:eastAsiaTheme="minorEastAsia" w:hAnsiTheme="minorHAnsi" w:cstheme="minorBidi"/>
            <w:noProof/>
            <w:sz w:val="22"/>
            <w:szCs w:val="22"/>
          </w:rPr>
          <w:tab/>
        </w:r>
        <w:r w:rsidR="003E5207" w:rsidRPr="00FB5754">
          <w:rPr>
            <w:rStyle w:val="Hyperlink"/>
            <w:noProof/>
          </w:rPr>
          <w:t>Code Equivalency Review</w:t>
        </w:r>
        <w:r w:rsidR="003E5207">
          <w:rPr>
            <w:noProof/>
            <w:webHidden/>
          </w:rPr>
          <w:tab/>
        </w:r>
        <w:r w:rsidR="003E5207">
          <w:rPr>
            <w:noProof/>
            <w:webHidden/>
          </w:rPr>
          <w:fldChar w:fldCharType="begin"/>
        </w:r>
        <w:r w:rsidR="003E5207">
          <w:rPr>
            <w:noProof/>
            <w:webHidden/>
          </w:rPr>
          <w:instrText xml:space="preserve"> PAGEREF _Toc452620516 \h </w:instrText>
        </w:r>
        <w:r w:rsidR="003E5207">
          <w:rPr>
            <w:noProof/>
            <w:webHidden/>
          </w:rPr>
        </w:r>
        <w:r w:rsidR="003E5207">
          <w:rPr>
            <w:noProof/>
            <w:webHidden/>
          </w:rPr>
          <w:fldChar w:fldCharType="separate"/>
        </w:r>
        <w:r w:rsidR="003E5207">
          <w:rPr>
            <w:noProof/>
            <w:webHidden/>
          </w:rPr>
          <w:t>3</w:t>
        </w:r>
        <w:r w:rsidR="003E5207">
          <w:rPr>
            <w:noProof/>
            <w:webHidden/>
          </w:rPr>
          <w:fldChar w:fldCharType="end"/>
        </w:r>
      </w:hyperlink>
    </w:p>
    <w:p w14:paraId="7E96D220" w14:textId="77777777" w:rsidR="003E5207" w:rsidRDefault="006C2C6F">
      <w:pPr>
        <w:pStyle w:val="TOC2"/>
        <w:rPr>
          <w:rFonts w:asciiTheme="minorHAnsi" w:eastAsiaTheme="minorEastAsia" w:hAnsiTheme="minorHAnsi" w:cstheme="minorBidi"/>
          <w:noProof/>
          <w:sz w:val="22"/>
          <w:szCs w:val="22"/>
        </w:rPr>
      </w:pPr>
      <w:hyperlink w:anchor="_Toc452620517" w:history="1">
        <w:r w:rsidR="003E5207" w:rsidRPr="00FB5754">
          <w:rPr>
            <w:rStyle w:val="Hyperlink"/>
            <w:rFonts w:ascii="Times New Roman Bold" w:hAnsi="Times New Roman Bold"/>
            <w:noProof/>
          </w:rPr>
          <w:t>2.4</w:t>
        </w:r>
        <w:r w:rsidR="003E5207">
          <w:rPr>
            <w:rFonts w:asciiTheme="minorHAnsi" w:eastAsiaTheme="minorEastAsia" w:hAnsiTheme="minorHAnsi" w:cstheme="minorBidi"/>
            <w:noProof/>
            <w:sz w:val="22"/>
            <w:szCs w:val="22"/>
          </w:rPr>
          <w:tab/>
        </w:r>
        <w:r w:rsidR="003E5207" w:rsidRPr="00FB5754">
          <w:rPr>
            <w:rStyle w:val="Hyperlink"/>
            <w:noProof/>
          </w:rPr>
          <w:t>White Paper</w:t>
        </w:r>
        <w:r w:rsidR="003E5207">
          <w:rPr>
            <w:noProof/>
            <w:webHidden/>
          </w:rPr>
          <w:tab/>
        </w:r>
        <w:r w:rsidR="003E5207">
          <w:rPr>
            <w:noProof/>
            <w:webHidden/>
          </w:rPr>
          <w:fldChar w:fldCharType="begin"/>
        </w:r>
        <w:r w:rsidR="003E5207">
          <w:rPr>
            <w:noProof/>
            <w:webHidden/>
          </w:rPr>
          <w:instrText xml:space="preserve"> PAGEREF _Toc452620517 \h </w:instrText>
        </w:r>
        <w:r w:rsidR="003E5207">
          <w:rPr>
            <w:noProof/>
            <w:webHidden/>
          </w:rPr>
        </w:r>
        <w:r w:rsidR="003E5207">
          <w:rPr>
            <w:noProof/>
            <w:webHidden/>
          </w:rPr>
          <w:fldChar w:fldCharType="separate"/>
        </w:r>
        <w:r w:rsidR="003E5207">
          <w:rPr>
            <w:noProof/>
            <w:webHidden/>
          </w:rPr>
          <w:t>3</w:t>
        </w:r>
        <w:r w:rsidR="003E5207">
          <w:rPr>
            <w:noProof/>
            <w:webHidden/>
          </w:rPr>
          <w:fldChar w:fldCharType="end"/>
        </w:r>
      </w:hyperlink>
    </w:p>
    <w:p w14:paraId="7B081513" w14:textId="77777777" w:rsidR="003E5207" w:rsidRDefault="006C2C6F">
      <w:pPr>
        <w:pStyle w:val="TOC2"/>
        <w:rPr>
          <w:rFonts w:asciiTheme="minorHAnsi" w:eastAsiaTheme="minorEastAsia" w:hAnsiTheme="minorHAnsi" w:cstheme="minorBidi"/>
          <w:noProof/>
          <w:sz w:val="22"/>
          <w:szCs w:val="22"/>
        </w:rPr>
      </w:pPr>
      <w:hyperlink w:anchor="_Toc452620518" w:history="1">
        <w:r w:rsidR="003E5207" w:rsidRPr="00FB5754">
          <w:rPr>
            <w:rStyle w:val="Hyperlink"/>
            <w:rFonts w:ascii="Times New Roman Bold" w:hAnsi="Times New Roman Bold"/>
            <w:noProof/>
          </w:rPr>
          <w:t>2.5</w:t>
        </w:r>
        <w:r w:rsidR="003E5207">
          <w:rPr>
            <w:rFonts w:asciiTheme="minorHAnsi" w:eastAsiaTheme="minorEastAsia" w:hAnsiTheme="minorHAnsi" w:cstheme="minorBidi"/>
            <w:noProof/>
            <w:sz w:val="22"/>
            <w:szCs w:val="22"/>
          </w:rPr>
          <w:tab/>
        </w:r>
        <w:r w:rsidR="003E5207" w:rsidRPr="00FB5754">
          <w:rPr>
            <w:rStyle w:val="Hyperlink"/>
            <w:noProof/>
          </w:rPr>
          <w:t>Qualified Person</w:t>
        </w:r>
        <w:r w:rsidR="003E5207">
          <w:rPr>
            <w:noProof/>
            <w:webHidden/>
          </w:rPr>
          <w:tab/>
        </w:r>
        <w:r w:rsidR="003E5207">
          <w:rPr>
            <w:noProof/>
            <w:webHidden/>
          </w:rPr>
          <w:fldChar w:fldCharType="begin"/>
        </w:r>
        <w:r w:rsidR="003E5207">
          <w:rPr>
            <w:noProof/>
            <w:webHidden/>
          </w:rPr>
          <w:instrText xml:space="preserve"> PAGEREF _Toc452620518 \h </w:instrText>
        </w:r>
        <w:r w:rsidR="003E5207">
          <w:rPr>
            <w:noProof/>
            <w:webHidden/>
          </w:rPr>
        </w:r>
        <w:r w:rsidR="003E5207">
          <w:rPr>
            <w:noProof/>
            <w:webHidden/>
          </w:rPr>
          <w:fldChar w:fldCharType="separate"/>
        </w:r>
        <w:r w:rsidR="003E5207">
          <w:rPr>
            <w:noProof/>
            <w:webHidden/>
          </w:rPr>
          <w:t>3</w:t>
        </w:r>
        <w:r w:rsidR="003E5207">
          <w:rPr>
            <w:noProof/>
            <w:webHidden/>
          </w:rPr>
          <w:fldChar w:fldCharType="end"/>
        </w:r>
      </w:hyperlink>
    </w:p>
    <w:p w14:paraId="001D790F" w14:textId="77777777" w:rsidR="003E5207" w:rsidRDefault="006C2C6F">
      <w:pPr>
        <w:pStyle w:val="TOC1"/>
        <w:rPr>
          <w:rFonts w:asciiTheme="minorHAnsi" w:eastAsiaTheme="minorEastAsia" w:hAnsiTheme="minorHAnsi" w:cstheme="minorBidi"/>
          <w:noProof/>
          <w:sz w:val="22"/>
          <w:szCs w:val="22"/>
        </w:rPr>
      </w:pPr>
      <w:hyperlink w:anchor="_Toc452620519" w:history="1">
        <w:r w:rsidR="003E5207" w:rsidRPr="00FB5754">
          <w:rPr>
            <w:rStyle w:val="Hyperlink"/>
            <w:rFonts w:ascii="Times New Roman Bold" w:hAnsi="Times New Roman Bold"/>
            <w:noProof/>
          </w:rPr>
          <w:t>3.0</w:t>
        </w:r>
        <w:r w:rsidR="003E5207">
          <w:rPr>
            <w:rFonts w:asciiTheme="minorHAnsi" w:eastAsiaTheme="minorEastAsia" w:hAnsiTheme="minorHAnsi" w:cstheme="minorBidi"/>
            <w:noProof/>
            <w:sz w:val="22"/>
            <w:szCs w:val="22"/>
          </w:rPr>
          <w:tab/>
        </w:r>
        <w:r w:rsidR="003E5207" w:rsidRPr="00FB5754">
          <w:rPr>
            <w:rStyle w:val="Hyperlink"/>
            <w:noProof/>
          </w:rPr>
          <w:t>RESPONSIBILITIES</w:t>
        </w:r>
        <w:r w:rsidR="003E5207">
          <w:rPr>
            <w:noProof/>
            <w:webHidden/>
          </w:rPr>
          <w:tab/>
        </w:r>
        <w:r w:rsidR="003E5207">
          <w:rPr>
            <w:noProof/>
            <w:webHidden/>
          </w:rPr>
          <w:fldChar w:fldCharType="begin"/>
        </w:r>
        <w:r w:rsidR="003E5207">
          <w:rPr>
            <w:noProof/>
            <w:webHidden/>
          </w:rPr>
          <w:instrText xml:space="preserve"> PAGEREF _Toc452620519 \h </w:instrText>
        </w:r>
        <w:r w:rsidR="003E5207">
          <w:rPr>
            <w:noProof/>
            <w:webHidden/>
          </w:rPr>
        </w:r>
        <w:r w:rsidR="003E5207">
          <w:rPr>
            <w:noProof/>
            <w:webHidden/>
          </w:rPr>
          <w:fldChar w:fldCharType="separate"/>
        </w:r>
        <w:r w:rsidR="003E5207">
          <w:rPr>
            <w:noProof/>
            <w:webHidden/>
          </w:rPr>
          <w:t>4</w:t>
        </w:r>
        <w:r w:rsidR="003E5207">
          <w:rPr>
            <w:noProof/>
            <w:webHidden/>
          </w:rPr>
          <w:fldChar w:fldCharType="end"/>
        </w:r>
      </w:hyperlink>
    </w:p>
    <w:p w14:paraId="05B9F15F" w14:textId="77777777" w:rsidR="003E5207" w:rsidRDefault="006C2C6F">
      <w:pPr>
        <w:pStyle w:val="TOC2"/>
        <w:rPr>
          <w:rFonts w:asciiTheme="minorHAnsi" w:eastAsiaTheme="minorEastAsia" w:hAnsiTheme="minorHAnsi" w:cstheme="minorBidi"/>
          <w:noProof/>
          <w:sz w:val="22"/>
          <w:szCs w:val="22"/>
        </w:rPr>
      </w:pPr>
      <w:hyperlink w:anchor="_Toc452620520" w:history="1">
        <w:r w:rsidR="003E5207" w:rsidRPr="00FB5754">
          <w:rPr>
            <w:rStyle w:val="Hyperlink"/>
            <w:rFonts w:ascii="Times New Roman Bold" w:hAnsi="Times New Roman Bold"/>
            <w:noProof/>
          </w:rPr>
          <w:t>3.1</w:t>
        </w:r>
        <w:r w:rsidR="003E5207">
          <w:rPr>
            <w:rFonts w:asciiTheme="minorHAnsi" w:eastAsiaTheme="minorEastAsia" w:hAnsiTheme="minorHAnsi" w:cstheme="minorBidi"/>
            <w:noProof/>
            <w:sz w:val="22"/>
            <w:szCs w:val="22"/>
          </w:rPr>
          <w:tab/>
        </w:r>
        <w:r w:rsidR="003E5207" w:rsidRPr="00FB5754">
          <w:rPr>
            <w:rStyle w:val="Hyperlink"/>
            <w:noProof/>
          </w:rPr>
          <w:t>Chief Safety Officer (CSO)</w:t>
        </w:r>
        <w:r w:rsidR="003E5207">
          <w:rPr>
            <w:noProof/>
            <w:webHidden/>
          </w:rPr>
          <w:tab/>
        </w:r>
        <w:r w:rsidR="003E5207">
          <w:rPr>
            <w:noProof/>
            <w:webHidden/>
          </w:rPr>
          <w:fldChar w:fldCharType="begin"/>
        </w:r>
        <w:r w:rsidR="003E5207">
          <w:rPr>
            <w:noProof/>
            <w:webHidden/>
          </w:rPr>
          <w:instrText xml:space="preserve"> PAGEREF _Toc452620520 \h </w:instrText>
        </w:r>
        <w:r w:rsidR="003E5207">
          <w:rPr>
            <w:noProof/>
            <w:webHidden/>
          </w:rPr>
        </w:r>
        <w:r w:rsidR="003E5207">
          <w:rPr>
            <w:noProof/>
            <w:webHidden/>
          </w:rPr>
          <w:fldChar w:fldCharType="separate"/>
        </w:r>
        <w:r w:rsidR="003E5207">
          <w:rPr>
            <w:noProof/>
            <w:webHidden/>
          </w:rPr>
          <w:t>4</w:t>
        </w:r>
        <w:r w:rsidR="003E5207">
          <w:rPr>
            <w:noProof/>
            <w:webHidden/>
          </w:rPr>
          <w:fldChar w:fldCharType="end"/>
        </w:r>
      </w:hyperlink>
    </w:p>
    <w:p w14:paraId="496D707A" w14:textId="77777777" w:rsidR="003E5207" w:rsidRDefault="006C2C6F">
      <w:pPr>
        <w:pStyle w:val="TOC2"/>
        <w:rPr>
          <w:rFonts w:asciiTheme="minorHAnsi" w:eastAsiaTheme="minorEastAsia" w:hAnsiTheme="minorHAnsi" w:cstheme="minorBidi"/>
          <w:noProof/>
          <w:sz w:val="22"/>
          <w:szCs w:val="22"/>
        </w:rPr>
      </w:pPr>
      <w:hyperlink w:anchor="_Toc452620521" w:history="1">
        <w:r w:rsidR="003E5207" w:rsidRPr="00FB5754">
          <w:rPr>
            <w:rStyle w:val="Hyperlink"/>
            <w:rFonts w:ascii="Times New Roman Bold" w:hAnsi="Times New Roman Bold"/>
            <w:noProof/>
          </w:rPr>
          <w:t>3.2</w:t>
        </w:r>
        <w:r w:rsidR="003E5207">
          <w:rPr>
            <w:rFonts w:asciiTheme="minorHAnsi" w:eastAsiaTheme="minorEastAsia" w:hAnsiTheme="minorHAnsi" w:cstheme="minorBidi"/>
            <w:noProof/>
            <w:sz w:val="22"/>
            <w:szCs w:val="22"/>
          </w:rPr>
          <w:tab/>
        </w:r>
        <w:r w:rsidR="003E5207" w:rsidRPr="00FB5754">
          <w:rPr>
            <w:rStyle w:val="Hyperlink"/>
            <w:noProof/>
          </w:rPr>
          <w:t>D/S/P Head</w:t>
        </w:r>
        <w:r w:rsidR="003E5207">
          <w:rPr>
            <w:noProof/>
            <w:webHidden/>
          </w:rPr>
          <w:tab/>
        </w:r>
        <w:r w:rsidR="003E5207">
          <w:rPr>
            <w:noProof/>
            <w:webHidden/>
          </w:rPr>
          <w:fldChar w:fldCharType="begin"/>
        </w:r>
        <w:r w:rsidR="003E5207">
          <w:rPr>
            <w:noProof/>
            <w:webHidden/>
          </w:rPr>
          <w:instrText xml:space="preserve"> PAGEREF _Toc452620521 \h </w:instrText>
        </w:r>
        <w:r w:rsidR="003E5207">
          <w:rPr>
            <w:noProof/>
            <w:webHidden/>
          </w:rPr>
        </w:r>
        <w:r w:rsidR="003E5207">
          <w:rPr>
            <w:noProof/>
            <w:webHidden/>
          </w:rPr>
          <w:fldChar w:fldCharType="separate"/>
        </w:r>
        <w:r w:rsidR="003E5207">
          <w:rPr>
            <w:noProof/>
            <w:webHidden/>
          </w:rPr>
          <w:t>4</w:t>
        </w:r>
        <w:r w:rsidR="003E5207">
          <w:rPr>
            <w:noProof/>
            <w:webHidden/>
          </w:rPr>
          <w:fldChar w:fldCharType="end"/>
        </w:r>
      </w:hyperlink>
    </w:p>
    <w:p w14:paraId="0680CB8E" w14:textId="77777777" w:rsidR="003E5207" w:rsidRDefault="006C2C6F">
      <w:pPr>
        <w:pStyle w:val="TOC2"/>
        <w:rPr>
          <w:rFonts w:asciiTheme="minorHAnsi" w:eastAsiaTheme="minorEastAsia" w:hAnsiTheme="minorHAnsi" w:cstheme="minorBidi"/>
          <w:noProof/>
          <w:sz w:val="22"/>
          <w:szCs w:val="22"/>
        </w:rPr>
      </w:pPr>
      <w:hyperlink w:anchor="_Toc452620522" w:history="1">
        <w:r w:rsidR="003E5207" w:rsidRPr="00FB5754">
          <w:rPr>
            <w:rStyle w:val="Hyperlink"/>
            <w:rFonts w:ascii="Times New Roman Bold" w:hAnsi="Times New Roman Bold"/>
            <w:noProof/>
          </w:rPr>
          <w:t>3.3</w:t>
        </w:r>
        <w:r w:rsidR="003E5207">
          <w:rPr>
            <w:rFonts w:asciiTheme="minorHAnsi" w:eastAsiaTheme="minorEastAsia" w:hAnsiTheme="minorHAnsi" w:cstheme="minorBidi"/>
            <w:noProof/>
            <w:sz w:val="22"/>
            <w:szCs w:val="22"/>
          </w:rPr>
          <w:tab/>
        </w:r>
        <w:r w:rsidR="003E5207" w:rsidRPr="00FB5754">
          <w:rPr>
            <w:rStyle w:val="Hyperlink"/>
            <w:noProof/>
          </w:rPr>
          <w:t>Division Safety Officer/Project Safety Officer</w:t>
        </w:r>
        <w:r w:rsidR="003E5207">
          <w:rPr>
            <w:noProof/>
            <w:webHidden/>
          </w:rPr>
          <w:tab/>
        </w:r>
        <w:r w:rsidR="003E5207">
          <w:rPr>
            <w:noProof/>
            <w:webHidden/>
          </w:rPr>
          <w:fldChar w:fldCharType="begin"/>
        </w:r>
        <w:r w:rsidR="003E5207">
          <w:rPr>
            <w:noProof/>
            <w:webHidden/>
          </w:rPr>
          <w:instrText xml:space="preserve"> PAGEREF _Toc452620522 \h </w:instrText>
        </w:r>
        <w:r w:rsidR="003E5207">
          <w:rPr>
            <w:noProof/>
            <w:webHidden/>
          </w:rPr>
        </w:r>
        <w:r w:rsidR="003E5207">
          <w:rPr>
            <w:noProof/>
            <w:webHidden/>
          </w:rPr>
          <w:fldChar w:fldCharType="separate"/>
        </w:r>
        <w:r w:rsidR="003E5207">
          <w:rPr>
            <w:noProof/>
            <w:webHidden/>
          </w:rPr>
          <w:t>4</w:t>
        </w:r>
        <w:r w:rsidR="003E5207">
          <w:rPr>
            <w:noProof/>
            <w:webHidden/>
          </w:rPr>
          <w:fldChar w:fldCharType="end"/>
        </w:r>
      </w:hyperlink>
    </w:p>
    <w:p w14:paraId="160DC202" w14:textId="77777777" w:rsidR="003E5207" w:rsidRDefault="006C2C6F">
      <w:pPr>
        <w:pStyle w:val="TOC2"/>
        <w:rPr>
          <w:rFonts w:asciiTheme="minorHAnsi" w:eastAsiaTheme="minorEastAsia" w:hAnsiTheme="minorHAnsi" w:cstheme="minorBidi"/>
          <w:noProof/>
          <w:sz w:val="22"/>
          <w:szCs w:val="22"/>
        </w:rPr>
      </w:pPr>
      <w:hyperlink w:anchor="_Toc452620523" w:history="1">
        <w:r w:rsidR="003E5207" w:rsidRPr="00FB5754">
          <w:rPr>
            <w:rStyle w:val="Hyperlink"/>
            <w:rFonts w:ascii="Times New Roman Bold" w:hAnsi="Times New Roman Bold"/>
            <w:noProof/>
          </w:rPr>
          <w:t>3.4</w:t>
        </w:r>
        <w:r w:rsidR="003E5207">
          <w:rPr>
            <w:rFonts w:asciiTheme="minorHAnsi" w:eastAsiaTheme="minorEastAsia" w:hAnsiTheme="minorHAnsi" w:cstheme="minorBidi"/>
            <w:noProof/>
            <w:sz w:val="22"/>
            <w:szCs w:val="22"/>
          </w:rPr>
          <w:tab/>
        </w:r>
        <w:r w:rsidR="003E5207" w:rsidRPr="00FB5754">
          <w:rPr>
            <w:rStyle w:val="Hyperlink"/>
            <w:noProof/>
          </w:rPr>
          <w:t>FESHCom Subcommittee Chairs</w:t>
        </w:r>
        <w:r w:rsidR="003E5207">
          <w:rPr>
            <w:noProof/>
            <w:webHidden/>
          </w:rPr>
          <w:tab/>
        </w:r>
        <w:r w:rsidR="003E5207">
          <w:rPr>
            <w:noProof/>
            <w:webHidden/>
          </w:rPr>
          <w:fldChar w:fldCharType="begin"/>
        </w:r>
        <w:r w:rsidR="003E5207">
          <w:rPr>
            <w:noProof/>
            <w:webHidden/>
          </w:rPr>
          <w:instrText xml:space="preserve"> PAGEREF _Toc452620523 \h </w:instrText>
        </w:r>
        <w:r w:rsidR="003E5207">
          <w:rPr>
            <w:noProof/>
            <w:webHidden/>
          </w:rPr>
        </w:r>
        <w:r w:rsidR="003E5207">
          <w:rPr>
            <w:noProof/>
            <w:webHidden/>
          </w:rPr>
          <w:fldChar w:fldCharType="separate"/>
        </w:r>
        <w:r w:rsidR="003E5207">
          <w:rPr>
            <w:noProof/>
            <w:webHidden/>
          </w:rPr>
          <w:t>4</w:t>
        </w:r>
        <w:r w:rsidR="003E5207">
          <w:rPr>
            <w:noProof/>
            <w:webHidden/>
          </w:rPr>
          <w:fldChar w:fldCharType="end"/>
        </w:r>
      </w:hyperlink>
    </w:p>
    <w:p w14:paraId="28D87BC7" w14:textId="77777777" w:rsidR="003E5207" w:rsidRDefault="006C2C6F">
      <w:pPr>
        <w:pStyle w:val="TOC2"/>
        <w:rPr>
          <w:rFonts w:asciiTheme="minorHAnsi" w:eastAsiaTheme="minorEastAsia" w:hAnsiTheme="minorHAnsi" w:cstheme="minorBidi"/>
          <w:noProof/>
          <w:sz w:val="22"/>
          <w:szCs w:val="22"/>
        </w:rPr>
      </w:pPr>
      <w:hyperlink w:anchor="_Toc452620524" w:history="1">
        <w:r w:rsidR="003E5207" w:rsidRPr="00FB5754">
          <w:rPr>
            <w:rStyle w:val="Hyperlink"/>
            <w:rFonts w:ascii="Times New Roman Bold" w:hAnsi="Times New Roman Bold"/>
            <w:noProof/>
          </w:rPr>
          <w:t>3.5</w:t>
        </w:r>
        <w:r w:rsidR="003E5207">
          <w:rPr>
            <w:rFonts w:asciiTheme="minorHAnsi" w:eastAsiaTheme="minorEastAsia" w:hAnsiTheme="minorHAnsi" w:cstheme="minorBidi"/>
            <w:noProof/>
            <w:sz w:val="22"/>
            <w:szCs w:val="22"/>
          </w:rPr>
          <w:tab/>
        </w:r>
        <w:r w:rsidR="003E5207" w:rsidRPr="00FB5754">
          <w:rPr>
            <w:rStyle w:val="Hyperlink"/>
            <w:noProof/>
          </w:rPr>
          <w:t>DOE Fermi Site Office (FSO)</w:t>
        </w:r>
        <w:r w:rsidR="003E5207">
          <w:rPr>
            <w:noProof/>
            <w:webHidden/>
          </w:rPr>
          <w:tab/>
        </w:r>
        <w:r w:rsidR="003E5207">
          <w:rPr>
            <w:noProof/>
            <w:webHidden/>
          </w:rPr>
          <w:fldChar w:fldCharType="begin"/>
        </w:r>
        <w:r w:rsidR="003E5207">
          <w:rPr>
            <w:noProof/>
            <w:webHidden/>
          </w:rPr>
          <w:instrText xml:space="preserve"> PAGEREF _Toc452620524 \h </w:instrText>
        </w:r>
        <w:r w:rsidR="003E5207">
          <w:rPr>
            <w:noProof/>
            <w:webHidden/>
          </w:rPr>
        </w:r>
        <w:r w:rsidR="003E5207">
          <w:rPr>
            <w:noProof/>
            <w:webHidden/>
          </w:rPr>
          <w:fldChar w:fldCharType="separate"/>
        </w:r>
        <w:r w:rsidR="003E5207">
          <w:rPr>
            <w:noProof/>
            <w:webHidden/>
          </w:rPr>
          <w:t>4</w:t>
        </w:r>
        <w:r w:rsidR="003E5207">
          <w:rPr>
            <w:noProof/>
            <w:webHidden/>
          </w:rPr>
          <w:fldChar w:fldCharType="end"/>
        </w:r>
      </w:hyperlink>
    </w:p>
    <w:p w14:paraId="14114BDA" w14:textId="77777777" w:rsidR="003E5207" w:rsidRDefault="006C2C6F">
      <w:pPr>
        <w:pStyle w:val="TOC1"/>
        <w:rPr>
          <w:rFonts w:asciiTheme="minorHAnsi" w:eastAsiaTheme="minorEastAsia" w:hAnsiTheme="minorHAnsi" w:cstheme="minorBidi"/>
          <w:noProof/>
          <w:sz w:val="22"/>
          <w:szCs w:val="22"/>
        </w:rPr>
      </w:pPr>
      <w:hyperlink w:anchor="_Toc452620525" w:history="1">
        <w:r w:rsidR="003E5207" w:rsidRPr="00FB5754">
          <w:rPr>
            <w:rStyle w:val="Hyperlink"/>
            <w:rFonts w:ascii="Times New Roman Bold" w:hAnsi="Times New Roman Bold"/>
            <w:noProof/>
          </w:rPr>
          <w:t>4.0</w:t>
        </w:r>
        <w:r w:rsidR="003E5207">
          <w:rPr>
            <w:rFonts w:asciiTheme="minorHAnsi" w:eastAsiaTheme="minorEastAsia" w:hAnsiTheme="minorHAnsi" w:cstheme="minorBidi"/>
            <w:noProof/>
            <w:sz w:val="22"/>
            <w:szCs w:val="22"/>
          </w:rPr>
          <w:tab/>
        </w:r>
        <w:r w:rsidR="003E5207" w:rsidRPr="00FB5754">
          <w:rPr>
            <w:rStyle w:val="Hyperlink"/>
            <w:noProof/>
          </w:rPr>
          <w:t>PROGRAM DESCRIPTION</w:t>
        </w:r>
        <w:r w:rsidR="003E5207">
          <w:rPr>
            <w:noProof/>
            <w:webHidden/>
          </w:rPr>
          <w:tab/>
        </w:r>
        <w:r w:rsidR="003E5207">
          <w:rPr>
            <w:noProof/>
            <w:webHidden/>
          </w:rPr>
          <w:fldChar w:fldCharType="begin"/>
        </w:r>
        <w:r w:rsidR="003E5207">
          <w:rPr>
            <w:noProof/>
            <w:webHidden/>
          </w:rPr>
          <w:instrText xml:space="preserve"> PAGEREF _Toc452620525 \h </w:instrText>
        </w:r>
        <w:r w:rsidR="003E5207">
          <w:rPr>
            <w:noProof/>
            <w:webHidden/>
          </w:rPr>
        </w:r>
        <w:r w:rsidR="003E5207">
          <w:rPr>
            <w:noProof/>
            <w:webHidden/>
          </w:rPr>
          <w:fldChar w:fldCharType="separate"/>
        </w:r>
        <w:r w:rsidR="003E5207">
          <w:rPr>
            <w:noProof/>
            <w:webHidden/>
          </w:rPr>
          <w:t>4</w:t>
        </w:r>
        <w:r w:rsidR="003E5207">
          <w:rPr>
            <w:noProof/>
            <w:webHidden/>
          </w:rPr>
          <w:fldChar w:fldCharType="end"/>
        </w:r>
      </w:hyperlink>
    </w:p>
    <w:p w14:paraId="76979367" w14:textId="77777777" w:rsidR="003E5207" w:rsidRDefault="006C2C6F">
      <w:pPr>
        <w:pStyle w:val="TOC2"/>
        <w:rPr>
          <w:rFonts w:asciiTheme="minorHAnsi" w:eastAsiaTheme="minorEastAsia" w:hAnsiTheme="minorHAnsi" w:cstheme="minorBidi"/>
          <w:noProof/>
          <w:sz w:val="22"/>
          <w:szCs w:val="22"/>
        </w:rPr>
      </w:pPr>
      <w:hyperlink w:anchor="_Toc452620526" w:history="1">
        <w:r w:rsidR="003E5207" w:rsidRPr="00FB5754">
          <w:rPr>
            <w:rStyle w:val="Hyperlink"/>
            <w:noProof/>
          </w:rPr>
          <w:t>4.1. Writing a White Paper</w:t>
        </w:r>
        <w:r w:rsidR="003E5207">
          <w:rPr>
            <w:noProof/>
            <w:webHidden/>
          </w:rPr>
          <w:tab/>
        </w:r>
        <w:r w:rsidR="003E5207">
          <w:rPr>
            <w:noProof/>
            <w:webHidden/>
          </w:rPr>
          <w:fldChar w:fldCharType="begin"/>
        </w:r>
        <w:r w:rsidR="003E5207">
          <w:rPr>
            <w:noProof/>
            <w:webHidden/>
          </w:rPr>
          <w:instrText xml:space="preserve"> PAGEREF _Toc452620526 \h </w:instrText>
        </w:r>
        <w:r w:rsidR="003E5207">
          <w:rPr>
            <w:noProof/>
            <w:webHidden/>
          </w:rPr>
        </w:r>
        <w:r w:rsidR="003E5207">
          <w:rPr>
            <w:noProof/>
            <w:webHidden/>
          </w:rPr>
          <w:fldChar w:fldCharType="separate"/>
        </w:r>
        <w:r w:rsidR="003E5207">
          <w:rPr>
            <w:noProof/>
            <w:webHidden/>
          </w:rPr>
          <w:t>5</w:t>
        </w:r>
        <w:r w:rsidR="003E5207">
          <w:rPr>
            <w:noProof/>
            <w:webHidden/>
          </w:rPr>
          <w:fldChar w:fldCharType="end"/>
        </w:r>
      </w:hyperlink>
    </w:p>
    <w:p w14:paraId="2FFED2E0" w14:textId="77777777" w:rsidR="003E5207" w:rsidRDefault="006C2C6F">
      <w:pPr>
        <w:pStyle w:val="TOC2"/>
        <w:rPr>
          <w:rFonts w:asciiTheme="minorHAnsi" w:eastAsiaTheme="minorEastAsia" w:hAnsiTheme="minorHAnsi" w:cstheme="minorBidi"/>
          <w:noProof/>
          <w:sz w:val="22"/>
          <w:szCs w:val="22"/>
        </w:rPr>
      </w:pPr>
      <w:hyperlink w:anchor="_Toc452620527" w:history="1">
        <w:r w:rsidR="003E5207" w:rsidRPr="00FB5754">
          <w:rPr>
            <w:rStyle w:val="Hyperlink"/>
            <w:noProof/>
          </w:rPr>
          <w:t>4.2. CSO Approval and FSO concurrence</w:t>
        </w:r>
        <w:r w:rsidR="003E5207">
          <w:rPr>
            <w:noProof/>
            <w:webHidden/>
          </w:rPr>
          <w:tab/>
        </w:r>
        <w:r w:rsidR="003E5207">
          <w:rPr>
            <w:noProof/>
            <w:webHidden/>
          </w:rPr>
          <w:fldChar w:fldCharType="begin"/>
        </w:r>
        <w:r w:rsidR="003E5207">
          <w:rPr>
            <w:noProof/>
            <w:webHidden/>
          </w:rPr>
          <w:instrText xml:space="preserve"> PAGEREF _Toc452620527 \h </w:instrText>
        </w:r>
        <w:r w:rsidR="003E5207">
          <w:rPr>
            <w:noProof/>
            <w:webHidden/>
          </w:rPr>
        </w:r>
        <w:r w:rsidR="003E5207">
          <w:rPr>
            <w:noProof/>
            <w:webHidden/>
          </w:rPr>
          <w:fldChar w:fldCharType="separate"/>
        </w:r>
        <w:r w:rsidR="003E5207">
          <w:rPr>
            <w:noProof/>
            <w:webHidden/>
          </w:rPr>
          <w:t>6</w:t>
        </w:r>
        <w:r w:rsidR="003E5207">
          <w:rPr>
            <w:noProof/>
            <w:webHidden/>
          </w:rPr>
          <w:fldChar w:fldCharType="end"/>
        </w:r>
      </w:hyperlink>
    </w:p>
    <w:p w14:paraId="5DECA9F9" w14:textId="77777777" w:rsidR="003E5207" w:rsidRDefault="006C2C6F">
      <w:pPr>
        <w:pStyle w:val="TOC2"/>
        <w:rPr>
          <w:rFonts w:asciiTheme="minorHAnsi" w:eastAsiaTheme="minorEastAsia" w:hAnsiTheme="minorHAnsi" w:cstheme="minorBidi"/>
          <w:noProof/>
          <w:sz w:val="22"/>
          <w:szCs w:val="22"/>
        </w:rPr>
      </w:pPr>
      <w:hyperlink w:anchor="_Toc452620528" w:history="1">
        <w:r w:rsidR="003E5207" w:rsidRPr="00FB5754">
          <w:rPr>
            <w:rStyle w:val="Hyperlink"/>
            <w:noProof/>
          </w:rPr>
          <w:t>4.3. Modification of existing FESHM chapter or creation of new FESHM chapter allowing code equivalency between international and U.S. codes and standards.</w:t>
        </w:r>
        <w:r w:rsidR="003E5207">
          <w:rPr>
            <w:noProof/>
            <w:webHidden/>
          </w:rPr>
          <w:tab/>
        </w:r>
        <w:r w:rsidR="003E5207">
          <w:rPr>
            <w:noProof/>
            <w:webHidden/>
          </w:rPr>
          <w:fldChar w:fldCharType="begin"/>
        </w:r>
        <w:r w:rsidR="003E5207">
          <w:rPr>
            <w:noProof/>
            <w:webHidden/>
          </w:rPr>
          <w:instrText xml:space="preserve"> PAGEREF _Toc452620528 \h </w:instrText>
        </w:r>
        <w:r w:rsidR="003E5207">
          <w:rPr>
            <w:noProof/>
            <w:webHidden/>
          </w:rPr>
        </w:r>
        <w:r w:rsidR="003E5207">
          <w:rPr>
            <w:noProof/>
            <w:webHidden/>
          </w:rPr>
          <w:fldChar w:fldCharType="separate"/>
        </w:r>
        <w:r w:rsidR="003E5207">
          <w:rPr>
            <w:noProof/>
            <w:webHidden/>
          </w:rPr>
          <w:t>6</w:t>
        </w:r>
        <w:r w:rsidR="003E5207">
          <w:rPr>
            <w:noProof/>
            <w:webHidden/>
          </w:rPr>
          <w:fldChar w:fldCharType="end"/>
        </w:r>
      </w:hyperlink>
    </w:p>
    <w:p w14:paraId="5DE5CCA2" w14:textId="77777777" w:rsidR="00A96FFC" w:rsidRPr="00970071" w:rsidRDefault="0031189E" w:rsidP="003559A3">
      <w:pPr>
        <w:tabs>
          <w:tab w:val="right" w:leader="dot" w:pos="9720"/>
        </w:tabs>
        <w:jc w:val="left"/>
        <w:rPr>
          <w:bCs/>
        </w:rPr>
      </w:pPr>
      <w:r w:rsidRPr="00970071">
        <w:rPr>
          <w:bCs/>
        </w:rPr>
        <w:fldChar w:fldCharType="end"/>
      </w:r>
    </w:p>
    <w:p w14:paraId="53E83B91" w14:textId="77777777" w:rsidR="00084E8E" w:rsidRPr="00970071" w:rsidRDefault="00084E8E" w:rsidP="002441F5">
      <w:pPr>
        <w:jc w:val="left"/>
        <w:rPr>
          <w:bCs/>
        </w:rPr>
      </w:pPr>
    </w:p>
    <w:p w14:paraId="0F4205EA" w14:textId="77777777" w:rsidR="00A96FFC" w:rsidRPr="00970071" w:rsidRDefault="00A96FFC">
      <w:pPr>
        <w:rPr>
          <w:bCs/>
        </w:rPr>
      </w:pPr>
    </w:p>
    <w:p w14:paraId="72E9AC7C" w14:textId="77777777" w:rsidR="00A96FFC" w:rsidRPr="00970071" w:rsidRDefault="00A96FFC">
      <w:pPr>
        <w:rPr>
          <w:bCs/>
        </w:rPr>
        <w:sectPr w:rsidR="00A96FFC" w:rsidRPr="00970071" w:rsidSect="007535F6">
          <w:pgSz w:w="12240" w:h="15840" w:code="1"/>
          <w:pgMar w:top="720" w:right="1080" w:bottom="720" w:left="1440" w:header="720" w:footer="389" w:gutter="0"/>
          <w:cols w:space="720"/>
          <w:docGrid w:linePitch="360"/>
        </w:sectPr>
      </w:pPr>
    </w:p>
    <w:p w14:paraId="098B0005" w14:textId="77777777" w:rsidR="00CE5B8A" w:rsidRPr="00970071" w:rsidRDefault="007D5A75" w:rsidP="007830DB">
      <w:pPr>
        <w:pStyle w:val="Heading1"/>
        <w:ind w:left="540" w:hanging="540"/>
      </w:pPr>
      <w:bookmarkStart w:id="0" w:name="_Toc452620512"/>
      <w:r w:rsidRPr="00970071">
        <w:lastRenderedPageBreak/>
        <w:t>INTRODUCTION</w:t>
      </w:r>
      <w:bookmarkEnd w:id="0"/>
    </w:p>
    <w:p w14:paraId="348C73BE" w14:textId="77777777" w:rsidR="00D435EC" w:rsidRPr="00970071" w:rsidRDefault="00D435EC"/>
    <w:p w14:paraId="04B6768D" w14:textId="094A7CA7" w:rsidR="007720D1" w:rsidRDefault="00BD7048" w:rsidP="007720D1">
      <w:r w:rsidRPr="00BD7048">
        <w:t xml:space="preserve">This FESHM chapter describes the </w:t>
      </w:r>
      <w:r w:rsidR="00044D19">
        <w:t>process</w:t>
      </w:r>
      <w:r w:rsidR="00336459">
        <w:t xml:space="preserve"> use</w:t>
      </w:r>
      <w:r w:rsidR="00786A77">
        <w:t>d</w:t>
      </w:r>
      <w:r w:rsidR="00336459">
        <w:t xml:space="preserve"> to establish </w:t>
      </w:r>
      <w:r w:rsidR="00044D19">
        <w:t>equivalent safety performance</w:t>
      </w:r>
      <w:r w:rsidR="00336459">
        <w:t xml:space="preserve"> between U.S. and International</w:t>
      </w:r>
      <w:r w:rsidR="00786A77">
        <w:t xml:space="preserve"> engineering design </w:t>
      </w:r>
      <w:r w:rsidR="00EC06FA">
        <w:t xml:space="preserve">codes and </w:t>
      </w:r>
      <w:r w:rsidR="00786A77">
        <w:t>s</w:t>
      </w:r>
      <w:r w:rsidR="00336459">
        <w:t>tandards</w:t>
      </w:r>
      <w:r w:rsidR="00786A77">
        <w:t>.  This will enable</w:t>
      </w:r>
      <w:r w:rsidR="00336459">
        <w:t xml:space="preserve"> the Laboratory to accept in kind contributions from International partners </w:t>
      </w:r>
      <w:r w:rsidR="00EC06FA">
        <w:t xml:space="preserve">or purchase equipment designed per International standards </w:t>
      </w:r>
      <w:r w:rsidR="00336459">
        <w:t xml:space="preserve">while assuring </w:t>
      </w:r>
      <w:r w:rsidR="00786A77">
        <w:t xml:space="preserve">an equivalent or </w:t>
      </w:r>
      <w:r w:rsidR="008A0AE8">
        <w:t>greater level</w:t>
      </w:r>
      <w:r w:rsidR="00336459">
        <w:t xml:space="preserve"> of safety.  This</w:t>
      </w:r>
      <w:r w:rsidRPr="00BD7048">
        <w:t xml:space="preserve"> may be applicable to activities</w:t>
      </w:r>
      <w:r w:rsidR="00336459">
        <w:t xml:space="preserve"> at Fermilab and at remote sites as well (e.g. S</w:t>
      </w:r>
      <w:r w:rsidR="00802244">
        <w:t xml:space="preserve">anford </w:t>
      </w:r>
      <w:r w:rsidR="00336459">
        <w:t>U</w:t>
      </w:r>
      <w:r w:rsidR="00802244">
        <w:t xml:space="preserve">nderground </w:t>
      </w:r>
      <w:r w:rsidR="00336459">
        <w:t>R</w:t>
      </w:r>
      <w:r w:rsidR="00802244">
        <w:t xml:space="preserve">esearch </w:t>
      </w:r>
      <w:r w:rsidR="00336459">
        <w:t>F</w:t>
      </w:r>
      <w:r w:rsidR="00802244">
        <w:t>acility</w:t>
      </w:r>
      <w:r w:rsidR="00336459">
        <w:t>)</w:t>
      </w:r>
      <w:r w:rsidRPr="00BD7048">
        <w:t xml:space="preserve">  </w:t>
      </w:r>
    </w:p>
    <w:p w14:paraId="4806A824" w14:textId="77777777" w:rsidR="00BD7048" w:rsidRPr="00BD7048" w:rsidRDefault="00BD7048" w:rsidP="00BD7048"/>
    <w:p w14:paraId="77AABB7E" w14:textId="77777777" w:rsidR="007D5A75" w:rsidRPr="00970071" w:rsidRDefault="007D5A75" w:rsidP="00E00D72"/>
    <w:p w14:paraId="37E6F188" w14:textId="24B4433F" w:rsidR="007D5A75" w:rsidRPr="00564FE1" w:rsidRDefault="00BD7048" w:rsidP="007830DB">
      <w:pPr>
        <w:pStyle w:val="Heading1"/>
        <w:keepNext w:val="0"/>
        <w:ind w:left="540" w:hanging="540"/>
      </w:pPr>
      <w:bookmarkStart w:id="1" w:name="_Toc448911304"/>
      <w:bookmarkStart w:id="2" w:name="_Toc452620513"/>
      <w:bookmarkEnd w:id="1"/>
      <w:r>
        <w:rPr>
          <w:kern w:val="0"/>
        </w:rPr>
        <w:t>DEFINITIONS</w:t>
      </w:r>
      <w:bookmarkEnd w:id="2"/>
    </w:p>
    <w:p w14:paraId="31CCB2F8" w14:textId="77777777" w:rsidR="007D5A75" w:rsidRPr="00970071" w:rsidRDefault="007D5A75" w:rsidP="00E00D72"/>
    <w:p w14:paraId="372B3398" w14:textId="2C687579" w:rsidR="00421741" w:rsidRDefault="00421741" w:rsidP="00421741">
      <w:pPr>
        <w:pStyle w:val="Heading2"/>
      </w:pPr>
      <w:bookmarkStart w:id="3" w:name="_Toc452620514"/>
      <w:bookmarkStart w:id="4" w:name="_Toc447289235"/>
      <w:r>
        <w:t xml:space="preserve">Appropriate </w:t>
      </w:r>
      <w:r w:rsidR="0068747B">
        <w:t xml:space="preserve">U.S. </w:t>
      </w:r>
      <w:r>
        <w:t>Governing Code</w:t>
      </w:r>
      <w:bookmarkEnd w:id="3"/>
    </w:p>
    <w:p w14:paraId="1A4A4346" w14:textId="375DC73C" w:rsidR="008B5EBC" w:rsidRDefault="00421741" w:rsidP="00CA0C86">
      <w:pPr>
        <w:ind w:left="504"/>
      </w:pPr>
      <w:r w:rsidRPr="00D055BA">
        <w:t>A national, state or local</w:t>
      </w:r>
      <w:r w:rsidR="004A4603">
        <w:t xml:space="preserve"> </w:t>
      </w:r>
      <w:r w:rsidR="008A0AE8">
        <w:t>engineering</w:t>
      </w:r>
      <w:r w:rsidR="008A0AE8" w:rsidRPr="00D055BA">
        <w:t xml:space="preserve"> code</w:t>
      </w:r>
      <w:r w:rsidRPr="00D055BA">
        <w:t xml:space="preserve"> or standard that specifies design, fabrication, and operation requirements and practices that must be followed for systems within their respective scopes.</w:t>
      </w:r>
    </w:p>
    <w:p w14:paraId="1DBE0992" w14:textId="77777777" w:rsidR="005C7212" w:rsidRPr="0068041C" w:rsidRDefault="005C7212" w:rsidP="00CA0C86">
      <w:pPr>
        <w:ind w:left="504"/>
      </w:pPr>
    </w:p>
    <w:p w14:paraId="2E039086" w14:textId="6B4AEBC4" w:rsidR="008B5EBC" w:rsidRDefault="0068747B" w:rsidP="008B5EBC">
      <w:pPr>
        <w:pStyle w:val="Heading2"/>
      </w:pPr>
      <w:bookmarkStart w:id="5" w:name="_Toc452620515"/>
      <w:r>
        <w:t xml:space="preserve">An </w:t>
      </w:r>
      <w:r w:rsidR="008B5EBC">
        <w:t>International Code or Standard</w:t>
      </w:r>
      <w:bookmarkEnd w:id="5"/>
    </w:p>
    <w:p w14:paraId="37AC7272" w14:textId="159084E2" w:rsidR="008B5EBC" w:rsidRDefault="00A12A3D" w:rsidP="00CA0C86">
      <w:pPr>
        <w:ind w:left="540"/>
      </w:pPr>
      <w:r>
        <w:t xml:space="preserve">A recognized </w:t>
      </w:r>
      <w:r w:rsidR="0068747B">
        <w:t>international (non-U.S.)</w:t>
      </w:r>
      <w:r>
        <w:t xml:space="preserve"> code or standard, for example </w:t>
      </w:r>
      <w:r w:rsidR="0068747B" w:rsidRPr="0068747B">
        <w:t>European harmonized standards</w:t>
      </w:r>
      <w:r w:rsidR="0068747B">
        <w:t xml:space="preserve"> of </w:t>
      </w:r>
      <w:r w:rsidRPr="00A12A3D">
        <w:t>European Pressure Equipment Directive</w:t>
      </w:r>
      <w:r>
        <w:t xml:space="preserve"> (</w:t>
      </w:r>
      <w:r w:rsidRPr="00A12A3D">
        <w:t>97/23/EC</w:t>
      </w:r>
      <w:r>
        <w:t xml:space="preserve">) or </w:t>
      </w:r>
      <w:r w:rsidRPr="00A12A3D">
        <w:t>Low Voltage Directive (2006/95/EC)</w:t>
      </w:r>
      <w:r>
        <w:t xml:space="preserve">. </w:t>
      </w:r>
    </w:p>
    <w:p w14:paraId="1E81E308" w14:textId="77777777" w:rsidR="005C7212" w:rsidRPr="0068041C" w:rsidRDefault="005C7212" w:rsidP="00CA0C86">
      <w:pPr>
        <w:ind w:left="540"/>
      </w:pPr>
    </w:p>
    <w:p w14:paraId="14FA8F4A" w14:textId="7728E19F" w:rsidR="00BD7048" w:rsidRDefault="005C7212" w:rsidP="009658DF">
      <w:pPr>
        <w:pStyle w:val="Heading2"/>
      </w:pPr>
      <w:bookmarkStart w:id="6" w:name="_Toc452620516"/>
      <w:bookmarkEnd w:id="4"/>
      <w:r>
        <w:t>E</w:t>
      </w:r>
      <w:r w:rsidR="00697BF2">
        <w:t>quivalency</w:t>
      </w:r>
      <w:r w:rsidR="00D0703F">
        <w:t xml:space="preserve"> Review</w:t>
      </w:r>
      <w:bookmarkEnd w:id="6"/>
    </w:p>
    <w:p w14:paraId="6FB0F2A4" w14:textId="7ADA8D40" w:rsidR="00870263" w:rsidRDefault="0043182C" w:rsidP="00164868">
      <w:pPr>
        <w:ind w:left="540"/>
      </w:pPr>
      <w:r>
        <w:t xml:space="preserve">Equivalency of safety performance of the equipment designed, manufactured, tested and marked per one, or several, harmonized European standards versus similar equipment designed, manufactured, tested and marked per appropriate US code(s) or standard(s). The </w:t>
      </w:r>
      <w:r w:rsidR="00D0703F">
        <w:t xml:space="preserve">goal of </w:t>
      </w:r>
      <w:r w:rsidR="00044D19">
        <w:t xml:space="preserve">the </w:t>
      </w:r>
      <w:r w:rsidR="00D0703F">
        <w:t xml:space="preserve">review is to provide evidence, or lack of such, that the safety of equipment designed, fabricated, installed and operated per an international standard is equal or greater than the safety of same equipment if designed, fabricated, installed and operated per appropriate U.S. governing code or standard. </w:t>
      </w:r>
      <w:r w:rsidR="005C7212">
        <w:t>See Figure 1 for details of the process.</w:t>
      </w:r>
    </w:p>
    <w:p w14:paraId="6325D753" w14:textId="77777777" w:rsidR="005C7212" w:rsidRDefault="005C7212" w:rsidP="00164868">
      <w:pPr>
        <w:ind w:left="540"/>
      </w:pPr>
    </w:p>
    <w:p w14:paraId="3C501EF7" w14:textId="12CACD74" w:rsidR="00164868" w:rsidRDefault="006C3666" w:rsidP="00164868">
      <w:pPr>
        <w:pStyle w:val="Heading2"/>
      </w:pPr>
      <w:bookmarkStart w:id="7" w:name="_Toc452620517"/>
      <w:r>
        <w:t>White Paper</w:t>
      </w:r>
      <w:bookmarkEnd w:id="7"/>
    </w:p>
    <w:p w14:paraId="5F66E881" w14:textId="6A64DFE4" w:rsidR="006C3666" w:rsidRDefault="00164868" w:rsidP="00C7778E">
      <w:pPr>
        <w:ind w:left="504"/>
      </w:pPr>
      <w:r w:rsidRPr="00D055BA">
        <w:t xml:space="preserve">A written analysis </w:t>
      </w:r>
      <w:r w:rsidR="00F243F1">
        <w:t xml:space="preserve">supporting </w:t>
      </w:r>
      <w:r w:rsidR="00044D19">
        <w:t>safety</w:t>
      </w:r>
      <w:r w:rsidR="00697BF2">
        <w:t xml:space="preserve"> </w:t>
      </w:r>
      <w:r w:rsidR="003141B1">
        <w:t xml:space="preserve">performance </w:t>
      </w:r>
      <w:r w:rsidR="00697BF2">
        <w:t>equivalency</w:t>
      </w:r>
      <w:r w:rsidR="00C7778E">
        <w:t xml:space="preserve"> of the international code or standard to the appropriate U.S. code or standard already accepted by Fermilab. The analysis must provide evidence that the safety of equipment designed, fabricated, installed and operated per an </w:t>
      </w:r>
      <w:r w:rsidR="00F243F1">
        <w:t xml:space="preserve">international standard </w:t>
      </w:r>
      <w:r w:rsidR="00C7778E">
        <w:t xml:space="preserve">is equal or greater than the </w:t>
      </w:r>
      <w:r w:rsidR="00F243F1">
        <w:t xml:space="preserve">safety </w:t>
      </w:r>
      <w:r w:rsidR="00C7778E">
        <w:t xml:space="preserve">of same equipment if designed, fabricated, installed and operated per appropriate U.S. governing code or standard. </w:t>
      </w:r>
      <w:r w:rsidR="00707B61">
        <w:t>See Figure 1 for details of the process.</w:t>
      </w:r>
    </w:p>
    <w:p w14:paraId="6C0A5E3F" w14:textId="77777777" w:rsidR="005C7212" w:rsidRPr="00164868" w:rsidRDefault="005C7212" w:rsidP="00C7778E">
      <w:pPr>
        <w:ind w:left="504"/>
      </w:pPr>
    </w:p>
    <w:p w14:paraId="707EEE77" w14:textId="56E8A769" w:rsidR="00164868" w:rsidRDefault="00164868" w:rsidP="00164868">
      <w:pPr>
        <w:pStyle w:val="Heading2"/>
      </w:pPr>
      <w:bookmarkStart w:id="8" w:name="_Toc452620518"/>
      <w:r>
        <w:t>Qualified Person</w:t>
      </w:r>
      <w:bookmarkEnd w:id="8"/>
    </w:p>
    <w:p w14:paraId="13FB68F8" w14:textId="66FD0107" w:rsidR="00164868" w:rsidRPr="00164868" w:rsidRDefault="00164868" w:rsidP="00164868">
      <w:pPr>
        <w:ind w:left="504"/>
      </w:pPr>
      <w:r w:rsidRPr="00D055BA">
        <w:t>A qualified person is a person who, by possession of a recognized degree or certificate of professional standing</w:t>
      </w:r>
      <w:r w:rsidR="00802244">
        <w:t xml:space="preserve"> and</w:t>
      </w:r>
      <w:r w:rsidR="005C7212">
        <w:t xml:space="preserve"> </w:t>
      </w:r>
      <w:r w:rsidRPr="00D055BA">
        <w:t>by extensive knowledge, training and experience, has successfully demonstrated the ability to solve or resolve problems relating to the subject matter and work</w:t>
      </w:r>
      <w:r w:rsidR="00D0703F">
        <w:t xml:space="preserve">, and therefore can be considered a Subject </w:t>
      </w:r>
      <w:r w:rsidR="005C7212">
        <w:t>M</w:t>
      </w:r>
      <w:r w:rsidR="00D0703F">
        <w:t>atter Expert (SME)</w:t>
      </w:r>
      <w:r w:rsidR="005C7212">
        <w:t>.</w:t>
      </w:r>
      <w:r w:rsidR="00711F4B">
        <w:t xml:space="preserve"> </w:t>
      </w:r>
      <w:r w:rsidR="00F83C17" w:rsidRPr="00F83C17">
        <w:t xml:space="preserve">A group of qualified people of the right level of expertise is typically needed to establish </w:t>
      </w:r>
      <w:r w:rsidR="00044D19">
        <w:t xml:space="preserve">the level of safety provided in the </w:t>
      </w:r>
      <w:r w:rsidR="00F83C17" w:rsidRPr="00F83C17">
        <w:t xml:space="preserve">code </w:t>
      </w:r>
      <w:r w:rsidR="00044D19">
        <w:t xml:space="preserve">is </w:t>
      </w:r>
      <w:r w:rsidR="00044D19">
        <w:lastRenderedPageBreak/>
        <w:t xml:space="preserve">equivalent </w:t>
      </w:r>
      <w:r w:rsidR="00F83C17" w:rsidRPr="00F83C17">
        <w:t>between international and U.S. codes and standards. It may be necessary to engage qualified persons from outside the laboratory for some equivalency reviews</w:t>
      </w:r>
      <w:r w:rsidR="009A0B67">
        <w:t xml:space="preserve">. </w:t>
      </w:r>
      <w:r w:rsidR="00711F4B">
        <w:t xml:space="preserve"> </w:t>
      </w:r>
    </w:p>
    <w:p w14:paraId="70E98532" w14:textId="77777777" w:rsidR="003E2C27" w:rsidRDefault="003E2C27" w:rsidP="00870263">
      <w:pPr>
        <w:ind w:left="540"/>
      </w:pPr>
    </w:p>
    <w:p w14:paraId="73D22CC8" w14:textId="77777777" w:rsidR="003E2C27" w:rsidRPr="005C7212" w:rsidRDefault="003E2C27" w:rsidP="00870263">
      <w:pPr>
        <w:ind w:left="540"/>
      </w:pPr>
    </w:p>
    <w:p w14:paraId="78A1C1AD" w14:textId="7D9F0A47" w:rsidR="00B57AA8" w:rsidRPr="005C7212" w:rsidRDefault="00BD7048" w:rsidP="00CA0C86">
      <w:pPr>
        <w:pStyle w:val="Heading1"/>
        <w:keepNext w:val="0"/>
        <w:ind w:left="540" w:hanging="540"/>
      </w:pPr>
      <w:bookmarkStart w:id="9" w:name="_Toc448911312"/>
      <w:bookmarkStart w:id="10" w:name="_Toc448911313"/>
      <w:bookmarkStart w:id="11" w:name="_Toc452620519"/>
      <w:bookmarkEnd w:id="9"/>
      <w:bookmarkEnd w:id="10"/>
      <w:r w:rsidRPr="005C7212">
        <w:t>RESPONSIBILITIES</w:t>
      </w:r>
      <w:bookmarkEnd w:id="11"/>
      <w:r w:rsidR="00564FE1" w:rsidRPr="005C7212">
        <w:t xml:space="preserve"> </w:t>
      </w:r>
    </w:p>
    <w:p w14:paraId="28DB1A91" w14:textId="77777777" w:rsidR="00802244" w:rsidRPr="00802244" w:rsidRDefault="00802244" w:rsidP="005C7212"/>
    <w:p w14:paraId="709012E4" w14:textId="364C96C9" w:rsidR="00BD7048" w:rsidRPr="006A4923" w:rsidRDefault="00BD7048" w:rsidP="00BD7048">
      <w:pPr>
        <w:pStyle w:val="Heading2"/>
        <w:keepNext w:val="0"/>
      </w:pPr>
      <w:bookmarkStart w:id="12" w:name="_Toc447289243"/>
      <w:bookmarkStart w:id="13" w:name="_Toc452620520"/>
      <w:r w:rsidRPr="006A4923">
        <w:t>Chief Safety Officer</w:t>
      </w:r>
      <w:r>
        <w:t xml:space="preserve"> (CSO)</w:t>
      </w:r>
      <w:bookmarkEnd w:id="12"/>
      <w:bookmarkEnd w:id="13"/>
    </w:p>
    <w:p w14:paraId="62319735" w14:textId="6466268B" w:rsidR="00BD7048" w:rsidRDefault="00BD7048" w:rsidP="003E2C27">
      <w:pPr>
        <w:ind w:left="540"/>
      </w:pPr>
      <w:r>
        <w:t>The Chief Safety Officer is responsible for the development of this policy and oversight of its implementation</w:t>
      </w:r>
      <w:r w:rsidR="00711F4B">
        <w:t>, including</w:t>
      </w:r>
      <w:r w:rsidR="00C7778E">
        <w:t xml:space="preserve"> seeking </w:t>
      </w:r>
      <w:r w:rsidR="003141B1">
        <w:t xml:space="preserve">concurrence from DOE Site Office manager that the laboratory has adequately used their process to establish </w:t>
      </w:r>
      <w:r w:rsidR="00044D19">
        <w:t>safety</w:t>
      </w:r>
      <w:r w:rsidR="00697BF2">
        <w:t xml:space="preserve"> equivalency</w:t>
      </w:r>
      <w:r w:rsidR="00C7778E">
        <w:t xml:space="preserve"> </w:t>
      </w:r>
      <w:r w:rsidR="00711F4B">
        <w:t>between internation</w:t>
      </w:r>
      <w:r w:rsidR="003141B1">
        <w:t>al and U.S. codes and standards</w:t>
      </w:r>
      <w:r w:rsidR="00C7778E">
        <w:t xml:space="preserve">. </w:t>
      </w:r>
    </w:p>
    <w:p w14:paraId="2382B920" w14:textId="77777777" w:rsidR="00BD7048" w:rsidRDefault="00BD7048" w:rsidP="00BD7048"/>
    <w:p w14:paraId="6904D78A" w14:textId="1A123DE2" w:rsidR="00BD7048" w:rsidRDefault="00BD7048" w:rsidP="00BD7048">
      <w:pPr>
        <w:pStyle w:val="Heading2"/>
        <w:keepNext w:val="0"/>
      </w:pPr>
      <w:bookmarkStart w:id="14" w:name="_Toc447289244"/>
      <w:bookmarkStart w:id="15" w:name="_Toc452620521"/>
      <w:r w:rsidRPr="006A4923">
        <w:t>D/S</w:t>
      </w:r>
      <w:r w:rsidR="00697BF2">
        <w:t>/P</w:t>
      </w:r>
      <w:r w:rsidRPr="006A4923">
        <w:t xml:space="preserve"> Head</w:t>
      </w:r>
      <w:bookmarkEnd w:id="14"/>
      <w:bookmarkEnd w:id="15"/>
    </w:p>
    <w:p w14:paraId="79CDBDF1" w14:textId="2F10D7BF" w:rsidR="00BD7048" w:rsidRDefault="00BD7048" w:rsidP="003E2C27">
      <w:pPr>
        <w:ind w:left="540"/>
      </w:pPr>
      <w:r>
        <w:t>The D/S</w:t>
      </w:r>
      <w:r w:rsidR="00697BF2">
        <w:t>/P</w:t>
      </w:r>
      <w:r>
        <w:t xml:space="preserve"> Head</w:t>
      </w:r>
      <w:r w:rsidR="00421741">
        <w:t xml:space="preserve"> </w:t>
      </w:r>
      <w:r w:rsidR="00C21903">
        <w:t xml:space="preserve">(or </w:t>
      </w:r>
      <w:r w:rsidR="00336459">
        <w:t>designees</w:t>
      </w:r>
      <w:r w:rsidR="00C21903">
        <w:t>)</w:t>
      </w:r>
      <w:r>
        <w:t xml:space="preserve"> is responsible for the implementation of this chapter’s requirements in their organization</w:t>
      </w:r>
      <w:r w:rsidR="00697BF2">
        <w:t xml:space="preserve"> or</w:t>
      </w:r>
      <w:r w:rsidR="00421741">
        <w:t xml:space="preserve"> </w:t>
      </w:r>
      <w:r w:rsidR="00697BF2">
        <w:t xml:space="preserve">on </w:t>
      </w:r>
      <w:r w:rsidR="00421741">
        <w:t>their Project</w:t>
      </w:r>
      <w:r w:rsidR="00711F4B">
        <w:t xml:space="preserve"> by allocating resources for investigative work of internal and external qualified persons necessary to establish </w:t>
      </w:r>
      <w:r w:rsidR="0042249E">
        <w:t>safety</w:t>
      </w:r>
      <w:r w:rsidR="003141B1">
        <w:t xml:space="preserve"> performance</w:t>
      </w:r>
      <w:r w:rsidR="0042249E">
        <w:t xml:space="preserve"> </w:t>
      </w:r>
      <w:r w:rsidR="00697BF2">
        <w:t>equivalency</w:t>
      </w:r>
      <w:r w:rsidR="00711F4B">
        <w:t xml:space="preserve"> between international and U.S. codes and standards. </w:t>
      </w:r>
    </w:p>
    <w:p w14:paraId="4B2A5139" w14:textId="77777777" w:rsidR="00BD7048" w:rsidRDefault="00BD7048" w:rsidP="00BD7048">
      <w:pPr>
        <w:pStyle w:val="ListParagraph"/>
        <w:ind w:left="840"/>
      </w:pPr>
    </w:p>
    <w:p w14:paraId="317AD093" w14:textId="45DE1530" w:rsidR="00BD7048" w:rsidRDefault="00421741" w:rsidP="00BD7048">
      <w:pPr>
        <w:pStyle w:val="Heading2"/>
      </w:pPr>
      <w:bookmarkStart w:id="16" w:name="_Toc447289245"/>
      <w:bookmarkStart w:id="17" w:name="_Toc447289246"/>
      <w:bookmarkStart w:id="18" w:name="_Toc447289247"/>
      <w:bookmarkStart w:id="19" w:name="_Toc452620522"/>
      <w:bookmarkEnd w:id="16"/>
      <w:bookmarkEnd w:id="17"/>
      <w:r>
        <w:t>Division Safety Officer/Project Safety Officer</w:t>
      </w:r>
      <w:bookmarkEnd w:id="18"/>
      <w:bookmarkEnd w:id="19"/>
    </w:p>
    <w:p w14:paraId="6A8A2571" w14:textId="194FFEB3" w:rsidR="000D1567" w:rsidRDefault="00BD7048" w:rsidP="00802244">
      <w:pPr>
        <w:ind w:left="540"/>
      </w:pPr>
      <w:r>
        <w:t>The DSO assists the D/S</w:t>
      </w:r>
      <w:r w:rsidR="00697BF2">
        <w:t>/P Head</w:t>
      </w:r>
      <w:r w:rsidR="005C7212">
        <w:t xml:space="preserve"> </w:t>
      </w:r>
      <w:r>
        <w:t xml:space="preserve">in ensuring the requirements of this chapter are implemented in their organization. </w:t>
      </w:r>
    </w:p>
    <w:p w14:paraId="50CB620D" w14:textId="77777777" w:rsidR="000D1567" w:rsidRPr="006A4923" w:rsidRDefault="000D1567" w:rsidP="00BD7048"/>
    <w:p w14:paraId="5CCCA0B2" w14:textId="6431034F" w:rsidR="00BD7048" w:rsidRDefault="00421741" w:rsidP="00BD7048">
      <w:pPr>
        <w:pStyle w:val="Heading2"/>
        <w:keepNext w:val="0"/>
      </w:pPr>
      <w:bookmarkStart w:id="20" w:name="_Toc452620523"/>
      <w:r>
        <w:t>FESHCom Subcommittee Chairs</w:t>
      </w:r>
      <w:bookmarkEnd w:id="20"/>
    </w:p>
    <w:p w14:paraId="313DC633" w14:textId="35EBCA05" w:rsidR="00BD7048" w:rsidRDefault="00421741" w:rsidP="003E2C27">
      <w:pPr>
        <w:ind w:left="540"/>
      </w:pPr>
      <w:r>
        <w:t xml:space="preserve">The chairperson for each relevant FESHCom shall ensure that the right level of expertise is involved in the </w:t>
      </w:r>
      <w:r w:rsidR="008B1CCA">
        <w:t>safety</w:t>
      </w:r>
      <w:r w:rsidR="00697BF2">
        <w:t xml:space="preserve"> </w:t>
      </w:r>
      <w:r w:rsidR="003141B1">
        <w:t xml:space="preserve">performance </w:t>
      </w:r>
      <w:r w:rsidR="00697BF2">
        <w:t>equivalency</w:t>
      </w:r>
      <w:r>
        <w:t xml:space="preserve"> review.  The Chair is also responsible for</w:t>
      </w:r>
      <w:r w:rsidR="001973B6">
        <w:t xml:space="preserve"> selecting the qualified persons who will </w:t>
      </w:r>
      <w:r>
        <w:t>writ</w:t>
      </w:r>
      <w:r w:rsidR="001973B6">
        <w:t>e</w:t>
      </w:r>
      <w:r w:rsidR="005C7212">
        <w:t xml:space="preserve"> </w:t>
      </w:r>
      <w:r>
        <w:t xml:space="preserve">the documentation that will serve as the justification for accepting an </w:t>
      </w:r>
      <w:r w:rsidR="00697BF2">
        <w:t>equivalency</w:t>
      </w:r>
      <w:r>
        <w:t>.</w:t>
      </w:r>
    </w:p>
    <w:p w14:paraId="2075F179" w14:textId="77777777" w:rsidR="00802244" w:rsidRDefault="00802244" w:rsidP="003E2C27">
      <w:pPr>
        <w:ind w:left="540"/>
      </w:pPr>
    </w:p>
    <w:p w14:paraId="7EE1829B" w14:textId="77777777" w:rsidR="00802244" w:rsidRDefault="00802244" w:rsidP="00802244">
      <w:pPr>
        <w:pStyle w:val="Heading2"/>
      </w:pPr>
      <w:bookmarkStart w:id="21" w:name="_Toc452620524"/>
      <w:r>
        <w:t>DOE Fermi Site Office (FSO)</w:t>
      </w:r>
      <w:bookmarkEnd w:id="21"/>
    </w:p>
    <w:p w14:paraId="35D1B7C9" w14:textId="28F40CE3" w:rsidR="003E2C27" w:rsidRDefault="00624781" w:rsidP="00493DB8">
      <w:pPr>
        <w:ind w:left="540"/>
      </w:pPr>
      <w:r>
        <w:t>DOE Fermi Site Office</w:t>
      </w:r>
      <w:r w:rsidR="007830DB">
        <w:t xml:space="preserve"> (FSO) is responsible </w:t>
      </w:r>
      <w:r w:rsidR="00A24D1B">
        <w:t xml:space="preserve">for review of recommendations submitted by CSO and making a decision </w:t>
      </w:r>
      <w:r w:rsidR="001973B6">
        <w:t xml:space="preserve">on </w:t>
      </w:r>
      <w:r w:rsidR="003141B1">
        <w:t>concurrence</w:t>
      </w:r>
      <w:r w:rsidR="001973B6">
        <w:t xml:space="preserve"> </w:t>
      </w:r>
      <w:r w:rsidR="00A24D1B">
        <w:t>in a timely fashion.</w:t>
      </w:r>
    </w:p>
    <w:p w14:paraId="7A6AF1FB" w14:textId="77777777" w:rsidR="003E2C27" w:rsidRPr="00970071" w:rsidRDefault="003E2C27" w:rsidP="00E00D72"/>
    <w:p w14:paraId="1DF559AC" w14:textId="77777777" w:rsidR="00E47427" w:rsidRPr="00970071" w:rsidRDefault="00BD7048" w:rsidP="00A24D1B">
      <w:pPr>
        <w:pStyle w:val="Heading1"/>
        <w:ind w:left="540" w:hanging="540"/>
      </w:pPr>
      <w:bookmarkStart w:id="22" w:name="_Toc452620525"/>
      <w:r>
        <w:t>PROGRAM DESCRIPTION</w:t>
      </w:r>
      <w:bookmarkEnd w:id="22"/>
    </w:p>
    <w:p w14:paraId="687DDA7F" w14:textId="77777777" w:rsidR="00E47427" w:rsidRPr="00970071" w:rsidRDefault="00E47427" w:rsidP="00E00D72"/>
    <w:p w14:paraId="182F1B3E" w14:textId="29DD46DB" w:rsidR="00164868" w:rsidRPr="00493DB8" w:rsidRDefault="00164868" w:rsidP="00164868">
      <w:pPr>
        <w:rPr>
          <w:spacing w:val="-1"/>
        </w:rPr>
      </w:pPr>
      <w:r w:rsidRPr="007720D1">
        <w:rPr>
          <w:spacing w:val="-1"/>
        </w:rPr>
        <w:t>Fermilab</w:t>
      </w:r>
      <w:r w:rsidRPr="007720D1">
        <w:t xml:space="preserve"> </w:t>
      </w:r>
      <w:r w:rsidR="008A0AE8">
        <w:t xml:space="preserve">requires </w:t>
      </w:r>
      <w:r w:rsidR="008A0AE8" w:rsidRPr="007720D1">
        <w:rPr>
          <w:spacing w:val="-2"/>
        </w:rPr>
        <w:t>global</w:t>
      </w:r>
      <w:r w:rsidRPr="007720D1">
        <w:rPr>
          <w:spacing w:val="-3"/>
        </w:rPr>
        <w:t xml:space="preserve"> </w:t>
      </w:r>
      <w:r w:rsidRPr="007720D1">
        <w:rPr>
          <w:spacing w:val="-1"/>
        </w:rPr>
        <w:t>engineering</w:t>
      </w:r>
      <w:r w:rsidRPr="007720D1">
        <w:t xml:space="preserve"> </w:t>
      </w:r>
      <w:r w:rsidRPr="007720D1">
        <w:rPr>
          <w:spacing w:val="-1"/>
        </w:rPr>
        <w:t>design</w:t>
      </w:r>
      <w:r w:rsidRPr="007720D1">
        <w:rPr>
          <w:spacing w:val="-4"/>
        </w:rPr>
        <w:t xml:space="preserve"> </w:t>
      </w:r>
      <w:r w:rsidRPr="007720D1">
        <w:t>for</w:t>
      </w:r>
      <w:r w:rsidRPr="007720D1">
        <w:rPr>
          <w:spacing w:val="-3"/>
        </w:rPr>
        <w:t xml:space="preserve"> </w:t>
      </w:r>
      <w:r w:rsidRPr="007720D1">
        <w:rPr>
          <w:spacing w:val="-1"/>
        </w:rPr>
        <w:t>neutrino</w:t>
      </w:r>
      <w:r w:rsidRPr="007720D1">
        <w:rPr>
          <w:spacing w:val="56"/>
        </w:rPr>
        <w:t xml:space="preserve"> </w:t>
      </w:r>
      <w:r w:rsidRPr="007720D1">
        <w:rPr>
          <w:spacing w:val="-1"/>
        </w:rPr>
        <w:t>detectors, linear</w:t>
      </w:r>
      <w:r w:rsidRPr="007720D1">
        <w:rPr>
          <w:spacing w:val="2"/>
        </w:rPr>
        <w:t xml:space="preserve"> </w:t>
      </w:r>
      <w:r w:rsidRPr="007720D1">
        <w:rPr>
          <w:spacing w:val="-1"/>
        </w:rPr>
        <w:t>accelerators,</w:t>
      </w:r>
      <w:r w:rsidRPr="007720D1">
        <w:rPr>
          <w:spacing w:val="2"/>
        </w:rPr>
        <w:t xml:space="preserve"> </w:t>
      </w:r>
      <w:r w:rsidRPr="007720D1">
        <w:rPr>
          <w:spacing w:val="-1"/>
        </w:rPr>
        <w:t>and</w:t>
      </w:r>
      <w:r w:rsidRPr="007720D1">
        <w:rPr>
          <w:spacing w:val="-2"/>
        </w:rPr>
        <w:t xml:space="preserve"> </w:t>
      </w:r>
      <w:r w:rsidRPr="007720D1">
        <w:rPr>
          <w:spacing w:val="-1"/>
        </w:rPr>
        <w:t>other scientific</w:t>
      </w:r>
      <w:r w:rsidRPr="007720D1">
        <w:rPr>
          <w:spacing w:val="-2"/>
        </w:rPr>
        <w:t xml:space="preserve"> </w:t>
      </w:r>
      <w:r w:rsidRPr="007720D1">
        <w:rPr>
          <w:spacing w:val="-1"/>
        </w:rPr>
        <w:t xml:space="preserve">installations. </w:t>
      </w:r>
      <w:r w:rsidRPr="007720D1">
        <w:t>In</w:t>
      </w:r>
      <w:r w:rsidRPr="007720D1">
        <w:rPr>
          <w:spacing w:val="-2"/>
        </w:rPr>
        <w:t xml:space="preserve"> </w:t>
      </w:r>
      <w:r w:rsidRPr="007720D1">
        <w:rPr>
          <w:spacing w:val="-1"/>
        </w:rPr>
        <w:t>many</w:t>
      </w:r>
      <w:r w:rsidRPr="007720D1">
        <w:rPr>
          <w:spacing w:val="-2"/>
        </w:rPr>
        <w:t xml:space="preserve"> </w:t>
      </w:r>
      <w:r w:rsidRPr="007720D1">
        <w:rPr>
          <w:spacing w:val="-1"/>
        </w:rPr>
        <w:t>instances,</w:t>
      </w:r>
      <w:r w:rsidRPr="007720D1">
        <w:rPr>
          <w:spacing w:val="2"/>
        </w:rPr>
        <w:t xml:space="preserve"> </w:t>
      </w:r>
      <w:r w:rsidRPr="007720D1">
        <w:rPr>
          <w:spacing w:val="-1"/>
        </w:rPr>
        <w:t>such</w:t>
      </w:r>
      <w:r w:rsidRPr="007720D1">
        <w:t xml:space="preserve"> </w:t>
      </w:r>
      <w:r w:rsidRPr="007720D1">
        <w:rPr>
          <w:spacing w:val="-1"/>
        </w:rPr>
        <w:t>projects</w:t>
      </w:r>
      <w:r w:rsidRPr="007720D1">
        <w:rPr>
          <w:spacing w:val="57"/>
        </w:rPr>
        <w:t xml:space="preserve"> </w:t>
      </w:r>
      <w:r w:rsidRPr="007720D1">
        <w:rPr>
          <w:spacing w:val="-1"/>
        </w:rPr>
        <w:t>are</w:t>
      </w:r>
      <w:r w:rsidRPr="007720D1">
        <w:t xml:space="preserve"> </w:t>
      </w:r>
      <w:r w:rsidRPr="007720D1">
        <w:rPr>
          <w:spacing w:val="-1"/>
        </w:rPr>
        <w:t>international</w:t>
      </w:r>
      <w:r w:rsidRPr="007720D1">
        <w:t xml:space="preserve"> </w:t>
      </w:r>
      <w:r w:rsidRPr="007720D1">
        <w:rPr>
          <w:spacing w:val="-1"/>
        </w:rPr>
        <w:t>and</w:t>
      </w:r>
      <w:r w:rsidRPr="007720D1">
        <w:rPr>
          <w:spacing w:val="-2"/>
        </w:rPr>
        <w:t xml:space="preserve"> involve</w:t>
      </w:r>
      <w:r w:rsidRPr="007720D1">
        <w:t xml:space="preserve"> </w:t>
      </w:r>
      <w:r w:rsidRPr="007720D1">
        <w:rPr>
          <w:spacing w:val="-1"/>
        </w:rPr>
        <w:t>collaboration</w:t>
      </w:r>
      <w:r w:rsidRPr="007720D1">
        <w:t xml:space="preserve"> </w:t>
      </w:r>
      <w:r w:rsidRPr="007720D1">
        <w:rPr>
          <w:spacing w:val="-1"/>
        </w:rPr>
        <w:t>and</w:t>
      </w:r>
      <w:r w:rsidRPr="007720D1">
        <w:t xml:space="preserve"> </w:t>
      </w:r>
      <w:r w:rsidRPr="007720D1">
        <w:rPr>
          <w:spacing w:val="-1"/>
        </w:rPr>
        <w:t>partnership</w:t>
      </w:r>
      <w:r w:rsidRPr="007720D1">
        <w:t xml:space="preserve"> </w:t>
      </w:r>
      <w:r w:rsidRPr="007720D1">
        <w:rPr>
          <w:spacing w:val="-1"/>
        </w:rPr>
        <w:t>with</w:t>
      </w:r>
      <w:r w:rsidRPr="007720D1">
        <w:t xml:space="preserve"> </w:t>
      </w:r>
      <w:r w:rsidRPr="007720D1">
        <w:rPr>
          <w:spacing w:val="-1"/>
        </w:rPr>
        <w:t>many</w:t>
      </w:r>
      <w:r w:rsidRPr="007720D1">
        <w:rPr>
          <w:spacing w:val="-2"/>
        </w:rPr>
        <w:t xml:space="preserve"> </w:t>
      </w:r>
      <w:r w:rsidRPr="007720D1">
        <w:rPr>
          <w:spacing w:val="-1"/>
        </w:rPr>
        <w:t>scientific</w:t>
      </w:r>
      <w:r w:rsidRPr="007720D1">
        <w:rPr>
          <w:spacing w:val="1"/>
        </w:rPr>
        <w:t xml:space="preserve"> </w:t>
      </w:r>
      <w:r w:rsidRPr="007720D1">
        <w:rPr>
          <w:spacing w:val="-1"/>
        </w:rPr>
        <w:t>institutions</w:t>
      </w:r>
      <w:r w:rsidRPr="007720D1">
        <w:rPr>
          <w:spacing w:val="-2"/>
        </w:rPr>
        <w:t xml:space="preserve"> </w:t>
      </w:r>
      <w:r w:rsidRPr="007720D1">
        <w:rPr>
          <w:spacing w:val="-1"/>
        </w:rPr>
        <w:t>and</w:t>
      </w:r>
      <w:r w:rsidRPr="007720D1">
        <w:rPr>
          <w:spacing w:val="56"/>
        </w:rPr>
        <w:t xml:space="preserve"> </w:t>
      </w:r>
      <w:r w:rsidRPr="007720D1">
        <w:rPr>
          <w:spacing w:val="-1"/>
        </w:rPr>
        <w:t>universities</w:t>
      </w:r>
      <w:r w:rsidRPr="007720D1">
        <w:rPr>
          <w:spacing w:val="-2"/>
        </w:rPr>
        <w:t xml:space="preserve"> </w:t>
      </w:r>
      <w:r w:rsidRPr="007720D1">
        <w:t>from</w:t>
      </w:r>
      <w:r w:rsidRPr="007720D1">
        <w:rPr>
          <w:spacing w:val="2"/>
        </w:rPr>
        <w:t xml:space="preserve"> </w:t>
      </w:r>
      <w:r w:rsidRPr="007720D1">
        <w:rPr>
          <w:spacing w:val="-1"/>
        </w:rPr>
        <w:t>all</w:t>
      </w:r>
      <w:r w:rsidRPr="007720D1">
        <w:t xml:space="preserve"> </w:t>
      </w:r>
      <w:r w:rsidRPr="007720D1">
        <w:rPr>
          <w:spacing w:val="-2"/>
        </w:rPr>
        <w:t>over</w:t>
      </w:r>
      <w:r w:rsidRPr="007720D1">
        <w:rPr>
          <w:spacing w:val="-1"/>
        </w:rPr>
        <w:t xml:space="preserve"> </w:t>
      </w:r>
      <w:r w:rsidRPr="007720D1">
        <w:t xml:space="preserve">the </w:t>
      </w:r>
      <w:r w:rsidRPr="007720D1">
        <w:rPr>
          <w:spacing w:val="-2"/>
        </w:rPr>
        <w:t>world</w:t>
      </w:r>
      <w:r w:rsidRPr="007720D1">
        <w:rPr>
          <w:spacing w:val="-1"/>
        </w:rPr>
        <w:t>. These</w:t>
      </w:r>
      <w:r w:rsidRPr="007720D1">
        <w:rPr>
          <w:spacing w:val="-2"/>
        </w:rPr>
        <w:t xml:space="preserve"> </w:t>
      </w:r>
      <w:r w:rsidRPr="007720D1">
        <w:rPr>
          <w:spacing w:val="-1"/>
        </w:rPr>
        <w:t>institutions</w:t>
      </w:r>
      <w:r w:rsidRPr="007720D1">
        <w:rPr>
          <w:spacing w:val="-2"/>
        </w:rPr>
        <w:t xml:space="preserve"> </w:t>
      </w:r>
      <w:r w:rsidRPr="007720D1">
        <w:rPr>
          <w:spacing w:val="-1"/>
        </w:rPr>
        <w:t>may</w:t>
      </w:r>
      <w:r w:rsidRPr="007720D1">
        <w:rPr>
          <w:spacing w:val="-2"/>
        </w:rPr>
        <w:t xml:space="preserve"> </w:t>
      </w:r>
      <w:r w:rsidRPr="007720D1">
        <w:rPr>
          <w:spacing w:val="-1"/>
        </w:rPr>
        <w:t>contribute</w:t>
      </w:r>
      <w:r w:rsidRPr="007720D1">
        <w:rPr>
          <w:spacing w:val="-2"/>
        </w:rPr>
        <w:t xml:space="preserve"> </w:t>
      </w:r>
      <w:r w:rsidRPr="007720D1">
        <w:rPr>
          <w:spacing w:val="-1"/>
        </w:rPr>
        <w:t>equipment for installation</w:t>
      </w:r>
      <w:r w:rsidRPr="007720D1">
        <w:t xml:space="preserve"> </w:t>
      </w:r>
      <w:r w:rsidRPr="007720D1">
        <w:rPr>
          <w:spacing w:val="-1"/>
        </w:rPr>
        <w:t>at Fermilab</w:t>
      </w:r>
      <w:r w:rsidR="0008019F">
        <w:rPr>
          <w:spacing w:val="-1"/>
        </w:rPr>
        <w:t xml:space="preserve"> or</w:t>
      </w:r>
      <w:r w:rsidR="004A4603">
        <w:rPr>
          <w:spacing w:val="-1"/>
        </w:rPr>
        <w:t xml:space="preserve"> at</w:t>
      </w:r>
      <w:r w:rsidR="0008019F">
        <w:rPr>
          <w:spacing w:val="-1"/>
        </w:rPr>
        <w:t xml:space="preserve"> Fermilab experiments</w:t>
      </w:r>
      <w:r w:rsidRPr="007720D1">
        <w:rPr>
          <w:spacing w:val="-1"/>
        </w:rPr>
        <w:t>.</w:t>
      </w:r>
      <w:r w:rsidRPr="007720D1">
        <w:rPr>
          <w:spacing w:val="2"/>
        </w:rPr>
        <w:t xml:space="preserve"> </w:t>
      </w:r>
      <w:r w:rsidRPr="007720D1">
        <w:rPr>
          <w:spacing w:val="-2"/>
        </w:rPr>
        <w:t>Additionally,</w:t>
      </w:r>
      <w:r w:rsidRPr="007720D1">
        <w:rPr>
          <w:spacing w:val="2"/>
        </w:rPr>
        <w:t xml:space="preserve"> </w:t>
      </w:r>
      <w:r w:rsidRPr="007720D1">
        <w:rPr>
          <w:spacing w:val="-1"/>
        </w:rPr>
        <w:t>in</w:t>
      </w:r>
      <w:r w:rsidRPr="007720D1">
        <w:t xml:space="preserve"> </w:t>
      </w:r>
      <w:r w:rsidRPr="007720D1">
        <w:rPr>
          <w:spacing w:val="-1"/>
        </w:rPr>
        <w:t xml:space="preserve">effort </w:t>
      </w:r>
      <w:r w:rsidRPr="007720D1">
        <w:t xml:space="preserve">to </w:t>
      </w:r>
      <w:r w:rsidRPr="007720D1">
        <w:rPr>
          <w:spacing w:val="-1"/>
        </w:rPr>
        <w:t>obtain</w:t>
      </w:r>
      <w:r w:rsidRPr="007720D1">
        <w:t xml:space="preserve"> </w:t>
      </w:r>
      <w:r w:rsidRPr="007720D1">
        <w:rPr>
          <w:spacing w:val="-1"/>
        </w:rPr>
        <w:t>superior</w:t>
      </w:r>
      <w:r w:rsidRPr="007720D1">
        <w:rPr>
          <w:spacing w:val="1"/>
        </w:rPr>
        <w:t xml:space="preserve"> </w:t>
      </w:r>
      <w:r w:rsidR="0024305F">
        <w:rPr>
          <w:spacing w:val="-2"/>
        </w:rPr>
        <w:t xml:space="preserve">and safe </w:t>
      </w:r>
      <w:r w:rsidRPr="007720D1">
        <w:rPr>
          <w:spacing w:val="-1"/>
        </w:rPr>
        <w:t>technology</w:t>
      </w:r>
      <w:r w:rsidRPr="007720D1">
        <w:rPr>
          <w:spacing w:val="-2"/>
        </w:rPr>
        <w:t xml:space="preserve"> </w:t>
      </w:r>
      <w:r w:rsidRPr="007720D1">
        <w:rPr>
          <w:spacing w:val="-1"/>
        </w:rPr>
        <w:t>at</w:t>
      </w:r>
      <w:r w:rsidR="00624781">
        <w:rPr>
          <w:spacing w:val="62"/>
        </w:rPr>
        <w:t xml:space="preserve"> </w:t>
      </w:r>
      <w:r w:rsidRPr="007720D1">
        <w:rPr>
          <w:spacing w:val="-1"/>
        </w:rPr>
        <w:t>lower</w:t>
      </w:r>
      <w:r w:rsidRPr="007720D1">
        <w:rPr>
          <w:spacing w:val="2"/>
        </w:rPr>
        <w:t xml:space="preserve"> </w:t>
      </w:r>
      <w:r w:rsidRPr="007720D1">
        <w:rPr>
          <w:spacing w:val="-1"/>
        </w:rPr>
        <w:t>costs, Fermilab</w:t>
      </w:r>
      <w:r w:rsidRPr="007720D1">
        <w:t xml:space="preserve"> </w:t>
      </w:r>
      <w:r w:rsidRPr="007720D1">
        <w:rPr>
          <w:spacing w:val="-1"/>
        </w:rPr>
        <w:t>may</w:t>
      </w:r>
      <w:r w:rsidRPr="007720D1">
        <w:rPr>
          <w:spacing w:val="-2"/>
        </w:rPr>
        <w:t xml:space="preserve"> </w:t>
      </w:r>
      <w:r w:rsidRPr="007720D1">
        <w:rPr>
          <w:spacing w:val="-1"/>
        </w:rPr>
        <w:t>bid</w:t>
      </w:r>
      <w:r w:rsidRPr="007720D1">
        <w:t xml:space="preserve"> to </w:t>
      </w:r>
      <w:r w:rsidRPr="007720D1">
        <w:rPr>
          <w:spacing w:val="-1"/>
        </w:rPr>
        <w:t>procure</w:t>
      </w:r>
      <w:r w:rsidRPr="007720D1">
        <w:rPr>
          <w:spacing w:val="-2"/>
        </w:rPr>
        <w:t xml:space="preserve"> </w:t>
      </w:r>
      <w:r w:rsidRPr="007720D1">
        <w:rPr>
          <w:spacing w:val="-1"/>
        </w:rPr>
        <w:t>equipment</w:t>
      </w:r>
      <w:r w:rsidRPr="007720D1">
        <w:rPr>
          <w:spacing w:val="-3"/>
        </w:rPr>
        <w:t xml:space="preserve"> </w:t>
      </w:r>
      <w:r w:rsidRPr="007720D1">
        <w:rPr>
          <w:spacing w:val="-1"/>
        </w:rPr>
        <w:t>from</w:t>
      </w:r>
      <w:r w:rsidRPr="007720D1">
        <w:rPr>
          <w:spacing w:val="2"/>
        </w:rPr>
        <w:t xml:space="preserve"> </w:t>
      </w:r>
      <w:r w:rsidR="004A4603">
        <w:rPr>
          <w:spacing w:val="-2"/>
        </w:rPr>
        <w:t>international</w:t>
      </w:r>
      <w:r w:rsidRPr="007720D1">
        <w:t xml:space="preserve"> </w:t>
      </w:r>
      <w:r w:rsidRPr="007720D1">
        <w:rPr>
          <w:spacing w:val="-1"/>
        </w:rPr>
        <w:t>companies.</w:t>
      </w:r>
      <w:r w:rsidRPr="007720D1">
        <w:rPr>
          <w:spacing w:val="-5"/>
        </w:rPr>
        <w:t xml:space="preserve"> </w:t>
      </w:r>
      <w:r w:rsidRPr="007720D1">
        <w:t>When</w:t>
      </w:r>
      <w:r w:rsidRPr="007720D1">
        <w:rPr>
          <w:spacing w:val="50"/>
        </w:rPr>
        <w:t xml:space="preserve"> </w:t>
      </w:r>
      <w:r w:rsidRPr="007720D1">
        <w:rPr>
          <w:spacing w:val="-1"/>
        </w:rPr>
        <w:t>such</w:t>
      </w:r>
      <w:r w:rsidRPr="007720D1">
        <w:t xml:space="preserve"> </w:t>
      </w:r>
      <w:r w:rsidRPr="007720D1">
        <w:rPr>
          <w:spacing w:val="-1"/>
        </w:rPr>
        <w:t>equipment</w:t>
      </w:r>
      <w:r w:rsidRPr="007720D1">
        <w:rPr>
          <w:spacing w:val="2"/>
        </w:rPr>
        <w:t xml:space="preserve"> </w:t>
      </w:r>
      <w:r w:rsidRPr="007720D1">
        <w:rPr>
          <w:spacing w:val="-1"/>
        </w:rPr>
        <w:t>is</w:t>
      </w:r>
      <w:r w:rsidRPr="007720D1">
        <w:rPr>
          <w:spacing w:val="1"/>
        </w:rPr>
        <w:t xml:space="preserve"> </w:t>
      </w:r>
      <w:r w:rsidRPr="007720D1">
        <w:rPr>
          <w:spacing w:val="-1"/>
        </w:rPr>
        <w:t>built,</w:t>
      </w:r>
      <w:r w:rsidRPr="007720D1">
        <w:rPr>
          <w:spacing w:val="2"/>
        </w:rPr>
        <w:t xml:space="preserve"> </w:t>
      </w:r>
      <w:r w:rsidRPr="007720D1">
        <w:rPr>
          <w:spacing w:val="-2"/>
        </w:rPr>
        <w:t>it</w:t>
      </w:r>
      <w:r w:rsidRPr="007720D1">
        <w:rPr>
          <w:spacing w:val="2"/>
        </w:rPr>
        <w:t xml:space="preserve"> </w:t>
      </w:r>
      <w:r w:rsidRPr="007720D1">
        <w:rPr>
          <w:spacing w:val="-1"/>
        </w:rPr>
        <w:t>is</w:t>
      </w:r>
      <w:r w:rsidRPr="007720D1">
        <w:rPr>
          <w:spacing w:val="-2"/>
        </w:rPr>
        <w:t xml:space="preserve"> </w:t>
      </w:r>
      <w:r w:rsidRPr="007720D1">
        <w:rPr>
          <w:spacing w:val="-1"/>
        </w:rPr>
        <w:t>typically</w:t>
      </w:r>
      <w:r w:rsidRPr="007720D1">
        <w:rPr>
          <w:spacing w:val="-2"/>
        </w:rPr>
        <w:t xml:space="preserve"> </w:t>
      </w:r>
      <w:r w:rsidRPr="007720D1">
        <w:rPr>
          <w:spacing w:val="-1"/>
        </w:rPr>
        <w:t>built</w:t>
      </w:r>
      <w:r w:rsidRPr="007720D1">
        <w:rPr>
          <w:spacing w:val="2"/>
        </w:rPr>
        <w:t xml:space="preserve"> </w:t>
      </w:r>
      <w:r w:rsidRPr="007720D1">
        <w:rPr>
          <w:spacing w:val="-1"/>
        </w:rPr>
        <w:t>per</w:t>
      </w:r>
      <w:r w:rsidRPr="007720D1">
        <w:rPr>
          <w:spacing w:val="2"/>
        </w:rPr>
        <w:t xml:space="preserve"> </w:t>
      </w:r>
      <w:r w:rsidRPr="007720D1">
        <w:rPr>
          <w:spacing w:val="-1"/>
        </w:rPr>
        <w:t>one</w:t>
      </w:r>
      <w:r w:rsidRPr="007720D1">
        <w:rPr>
          <w:spacing w:val="-2"/>
        </w:rPr>
        <w:t xml:space="preserve"> of</w:t>
      </w:r>
      <w:r w:rsidRPr="007720D1">
        <w:rPr>
          <w:spacing w:val="2"/>
        </w:rPr>
        <w:t xml:space="preserve"> </w:t>
      </w:r>
      <w:r w:rsidRPr="007720D1">
        <w:rPr>
          <w:spacing w:val="-1"/>
        </w:rPr>
        <w:t>the</w:t>
      </w:r>
      <w:r w:rsidRPr="007720D1">
        <w:t xml:space="preserve"> </w:t>
      </w:r>
      <w:r w:rsidR="004A4603">
        <w:rPr>
          <w:spacing w:val="-1"/>
        </w:rPr>
        <w:t>international</w:t>
      </w:r>
      <w:r>
        <w:rPr>
          <w:spacing w:val="-1"/>
        </w:rPr>
        <w:t xml:space="preserve"> Standards or Directives</w:t>
      </w:r>
      <w:r w:rsidR="004A4603">
        <w:rPr>
          <w:spacing w:val="-1"/>
        </w:rPr>
        <w:t>.  For example, equipment built to European standards</w:t>
      </w:r>
      <w:r w:rsidRPr="007720D1">
        <w:rPr>
          <w:spacing w:val="-2"/>
        </w:rPr>
        <w:t xml:space="preserve"> </w:t>
      </w:r>
      <w:r w:rsidRPr="007720D1">
        <w:rPr>
          <w:spacing w:val="-1"/>
        </w:rPr>
        <w:t>is</w:t>
      </w:r>
      <w:r w:rsidRPr="007720D1">
        <w:rPr>
          <w:spacing w:val="1"/>
        </w:rPr>
        <w:t xml:space="preserve"> </w:t>
      </w:r>
      <w:r w:rsidRPr="007720D1">
        <w:rPr>
          <w:spacing w:val="-1"/>
        </w:rPr>
        <w:t>CE-marked</w:t>
      </w:r>
      <w:r w:rsidRPr="007720D1">
        <w:rPr>
          <w:spacing w:val="-2"/>
        </w:rPr>
        <w:t xml:space="preserve"> </w:t>
      </w:r>
      <w:r w:rsidRPr="007720D1">
        <w:t xml:space="preserve">to </w:t>
      </w:r>
      <w:r w:rsidRPr="007720D1">
        <w:rPr>
          <w:spacing w:val="-1"/>
        </w:rPr>
        <w:t>declare</w:t>
      </w:r>
      <w:r w:rsidRPr="007720D1">
        <w:rPr>
          <w:spacing w:val="-2"/>
        </w:rPr>
        <w:t xml:space="preserve"> </w:t>
      </w:r>
      <w:r w:rsidRPr="007720D1">
        <w:t>its</w:t>
      </w:r>
      <w:r w:rsidRPr="007720D1">
        <w:rPr>
          <w:spacing w:val="-2"/>
        </w:rPr>
        <w:t xml:space="preserve"> </w:t>
      </w:r>
      <w:r w:rsidRPr="007720D1">
        <w:rPr>
          <w:spacing w:val="-1"/>
        </w:rPr>
        <w:t>conformity</w:t>
      </w:r>
      <w:r w:rsidRPr="007720D1">
        <w:rPr>
          <w:spacing w:val="-2"/>
        </w:rPr>
        <w:t xml:space="preserve"> </w:t>
      </w:r>
      <w:r w:rsidRPr="007720D1">
        <w:rPr>
          <w:spacing w:val="-1"/>
        </w:rPr>
        <w:t>to</w:t>
      </w:r>
      <w:r w:rsidRPr="007720D1">
        <w:t xml:space="preserve"> </w:t>
      </w:r>
      <w:r>
        <w:rPr>
          <w:spacing w:val="-1"/>
        </w:rPr>
        <w:t>such</w:t>
      </w:r>
      <w:r w:rsidRPr="007720D1">
        <w:rPr>
          <w:spacing w:val="-2"/>
        </w:rPr>
        <w:t xml:space="preserve"> </w:t>
      </w:r>
      <w:r w:rsidR="00493DB8">
        <w:rPr>
          <w:spacing w:val="-1"/>
        </w:rPr>
        <w:t>standards.</w:t>
      </w:r>
    </w:p>
    <w:p w14:paraId="359F2553" w14:textId="77777777" w:rsidR="00493DB8" w:rsidRDefault="00493DB8" w:rsidP="00164868">
      <w:pPr>
        <w:rPr>
          <w:spacing w:val="-1"/>
        </w:rPr>
      </w:pPr>
    </w:p>
    <w:p w14:paraId="6234D251" w14:textId="751BEF43" w:rsidR="00164868" w:rsidRDefault="00164868" w:rsidP="00164868">
      <w:pPr>
        <w:rPr>
          <w:spacing w:val="-1"/>
        </w:rPr>
      </w:pPr>
      <w:r w:rsidRPr="00E053C5">
        <w:rPr>
          <w:spacing w:val="-1"/>
        </w:rPr>
        <w:lastRenderedPageBreak/>
        <w:t>Procedures</w:t>
      </w:r>
      <w:r w:rsidRPr="00E053C5">
        <w:rPr>
          <w:spacing w:val="-4"/>
        </w:rPr>
        <w:t xml:space="preserve"> </w:t>
      </w:r>
      <w:r w:rsidRPr="00E053C5">
        <w:t>for</w:t>
      </w:r>
      <w:r w:rsidRPr="00E053C5">
        <w:rPr>
          <w:spacing w:val="2"/>
        </w:rPr>
        <w:t xml:space="preserve"> </w:t>
      </w:r>
      <w:r w:rsidRPr="00E053C5">
        <w:rPr>
          <w:spacing w:val="-1"/>
        </w:rPr>
        <w:t>design</w:t>
      </w:r>
      <w:r w:rsidRPr="00E053C5">
        <w:rPr>
          <w:spacing w:val="-2"/>
        </w:rPr>
        <w:t xml:space="preserve"> </w:t>
      </w:r>
      <w:r>
        <w:rPr>
          <w:spacing w:val="-2"/>
        </w:rPr>
        <w:t xml:space="preserve">and acceptance </w:t>
      </w:r>
      <w:r w:rsidRPr="00E053C5">
        <w:rPr>
          <w:spacing w:val="-2"/>
        </w:rPr>
        <w:t>of</w:t>
      </w:r>
      <w:r w:rsidRPr="00E053C5">
        <w:rPr>
          <w:spacing w:val="2"/>
        </w:rPr>
        <w:t xml:space="preserve"> </w:t>
      </w:r>
      <w:r>
        <w:rPr>
          <w:spacing w:val="-1"/>
        </w:rPr>
        <w:t>mechanical and electrical</w:t>
      </w:r>
      <w:r w:rsidRPr="00E053C5">
        <w:t xml:space="preserve"> </w:t>
      </w:r>
      <w:r w:rsidRPr="00E053C5">
        <w:rPr>
          <w:spacing w:val="-2"/>
        </w:rPr>
        <w:t>equipment</w:t>
      </w:r>
      <w:r w:rsidRPr="00E053C5">
        <w:rPr>
          <w:spacing w:val="-1"/>
        </w:rPr>
        <w:t xml:space="preserve"> utilizing</w:t>
      </w:r>
      <w:r w:rsidRPr="00E053C5">
        <w:rPr>
          <w:spacing w:val="3"/>
        </w:rPr>
        <w:t xml:space="preserve"> </w:t>
      </w:r>
      <w:r w:rsidRPr="00E053C5">
        <w:rPr>
          <w:spacing w:val="-2"/>
        </w:rPr>
        <w:t>ASME</w:t>
      </w:r>
      <w:r>
        <w:t xml:space="preserve">, ANSI, OSHA and other applicable U.S. </w:t>
      </w:r>
      <w:r w:rsidRPr="00E053C5">
        <w:rPr>
          <w:spacing w:val="-1"/>
        </w:rPr>
        <w:t>standards</w:t>
      </w:r>
      <w:r w:rsidRPr="00E053C5">
        <w:rPr>
          <w:spacing w:val="1"/>
        </w:rPr>
        <w:t xml:space="preserve"> </w:t>
      </w:r>
      <w:r w:rsidRPr="00E053C5">
        <w:rPr>
          <w:spacing w:val="-2"/>
        </w:rPr>
        <w:t>are</w:t>
      </w:r>
      <w:r w:rsidRPr="00E053C5">
        <w:t xml:space="preserve"> </w:t>
      </w:r>
      <w:r w:rsidRPr="00E053C5">
        <w:rPr>
          <w:spacing w:val="-2"/>
        </w:rPr>
        <w:t>well</w:t>
      </w:r>
      <w:r w:rsidRPr="00E053C5">
        <w:t xml:space="preserve"> </w:t>
      </w:r>
      <w:r w:rsidRPr="00E053C5">
        <w:rPr>
          <w:spacing w:val="-1"/>
        </w:rPr>
        <w:t>established</w:t>
      </w:r>
      <w:r w:rsidRPr="00E053C5">
        <w:t xml:space="preserve"> </w:t>
      </w:r>
      <w:r w:rsidRPr="00E053C5">
        <w:rPr>
          <w:spacing w:val="-1"/>
        </w:rPr>
        <w:t>and</w:t>
      </w:r>
      <w:r>
        <w:rPr>
          <w:spacing w:val="70"/>
        </w:rPr>
        <w:t xml:space="preserve"> </w:t>
      </w:r>
      <w:r w:rsidRPr="00E053C5">
        <w:rPr>
          <w:spacing w:val="-1"/>
        </w:rPr>
        <w:t>incorporated</w:t>
      </w:r>
      <w:r w:rsidRPr="00E053C5">
        <w:t xml:space="preserve"> </w:t>
      </w:r>
      <w:r w:rsidRPr="00E053C5">
        <w:rPr>
          <w:spacing w:val="-1"/>
        </w:rPr>
        <w:t>into</w:t>
      </w:r>
      <w:r w:rsidRPr="00E053C5">
        <w:rPr>
          <w:spacing w:val="-2"/>
        </w:rPr>
        <w:t xml:space="preserve"> </w:t>
      </w:r>
      <w:r>
        <w:t>other parts of this manual</w:t>
      </w:r>
      <w:r w:rsidRPr="00E053C5">
        <w:rPr>
          <w:spacing w:val="-2"/>
        </w:rPr>
        <w:t>.</w:t>
      </w:r>
      <w:r w:rsidRPr="00E053C5">
        <w:rPr>
          <w:spacing w:val="2"/>
        </w:rPr>
        <w:t xml:space="preserve"> </w:t>
      </w:r>
      <w:r w:rsidRPr="00E053C5">
        <w:rPr>
          <w:spacing w:val="-1"/>
        </w:rPr>
        <w:t>However,</w:t>
      </w:r>
      <w:r w:rsidRPr="00E053C5">
        <w:rPr>
          <w:spacing w:val="39"/>
        </w:rPr>
        <w:t xml:space="preserve"> </w:t>
      </w:r>
      <w:r w:rsidRPr="00E053C5">
        <w:rPr>
          <w:spacing w:val="-1"/>
        </w:rPr>
        <w:t>experience</w:t>
      </w:r>
      <w:r w:rsidRPr="00E053C5">
        <w:rPr>
          <w:spacing w:val="1"/>
        </w:rPr>
        <w:t xml:space="preserve"> </w:t>
      </w:r>
      <w:r w:rsidRPr="00E053C5">
        <w:rPr>
          <w:spacing w:val="-1"/>
        </w:rPr>
        <w:t>with</w:t>
      </w:r>
      <w:r w:rsidRPr="00E053C5">
        <w:t xml:space="preserve"> </w:t>
      </w:r>
      <w:r w:rsidRPr="00E053C5">
        <w:rPr>
          <w:spacing w:val="-1"/>
        </w:rPr>
        <w:t>procurement</w:t>
      </w:r>
      <w:r w:rsidRPr="00E053C5">
        <w:rPr>
          <w:spacing w:val="-3"/>
        </w:rPr>
        <w:t xml:space="preserve"> </w:t>
      </w:r>
      <w:r w:rsidRPr="00E053C5">
        <w:t>from</w:t>
      </w:r>
      <w:r w:rsidRPr="00E053C5">
        <w:rPr>
          <w:spacing w:val="-1"/>
        </w:rPr>
        <w:t xml:space="preserve"> Europe</w:t>
      </w:r>
      <w:r w:rsidRPr="00E053C5">
        <w:rPr>
          <w:spacing w:val="-2"/>
        </w:rPr>
        <w:t xml:space="preserve"> shows</w:t>
      </w:r>
      <w:r w:rsidRPr="00E053C5">
        <w:rPr>
          <w:spacing w:val="1"/>
        </w:rPr>
        <w:t xml:space="preserve"> </w:t>
      </w:r>
      <w:r w:rsidRPr="00E053C5">
        <w:rPr>
          <w:spacing w:val="-1"/>
        </w:rPr>
        <w:t>that</w:t>
      </w:r>
      <w:r w:rsidRPr="00E053C5">
        <w:rPr>
          <w:spacing w:val="2"/>
        </w:rPr>
        <w:t xml:space="preserve"> </w:t>
      </w:r>
      <w:r w:rsidR="00351F78">
        <w:rPr>
          <w:spacing w:val="2"/>
        </w:rPr>
        <w:t xml:space="preserve">the </w:t>
      </w:r>
      <w:r w:rsidRPr="00E053C5">
        <w:rPr>
          <w:spacing w:val="-1"/>
        </w:rPr>
        <w:t>benefits</w:t>
      </w:r>
      <w:r w:rsidRPr="00E053C5">
        <w:rPr>
          <w:spacing w:val="-2"/>
        </w:rPr>
        <w:t xml:space="preserve"> of</w:t>
      </w:r>
      <w:r w:rsidRPr="00E053C5">
        <w:rPr>
          <w:spacing w:val="2"/>
        </w:rPr>
        <w:t xml:space="preserve"> </w:t>
      </w:r>
      <w:r w:rsidRPr="00E053C5">
        <w:rPr>
          <w:spacing w:val="-1"/>
        </w:rPr>
        <w:t>using</w:t>
      </w:r>
      <w:r w:rsidRPr="00E053C5">
        <w:rPr>
          <w:spacing w:val="3"/>
        </w:rPr>
        <w:t xml:space="preserve"> </w:t>
      </w:r>
      <w:r w:rsidRPr="00E053C5">
        <w:rPr>
          <w:spacing w:val="-1"/>
        </w:rPr>
        <w:t>an</w:t>
      </w:r>
      <w:r w:rsidRPr="00E053C5">
        <w:rPr>
          <w:spacing w:val="-2"/>
        </w:rPr>
        <w:t xml:space="preserve"> </w:t>
      </w:r>
      <w:r w:rsidRPr="00E053C5">
        <w:rPr>
          <w:spacing w:val="-1"/>
        </w:rPr>
        <w:t>alternative</w:t>
      </w:r>
      <w:r w:rsidRPr="00E053C5">
        <w:rPr>
          <w:spacing w:val="1"/>
        </w:rPr>
        <w:t xml:space="preserve"> </w:t>
      </w:r>
      <w:r w:rsidRPr="00E053C5">
        <w:t xml:space="preserve">to </w:t>
      </w:r>
      <w:r>
        <w:rPr>
          <w:spacing w:val="-2"/>
        </w:rPr>
        <w:t>U.S. Standards (e.g. EN Standards)</w:t>
      </w:r>
      <w:r w:rsidRPr="00E053C5">
        <w:rPr>
          <w:spacing w:val="41"/>
        </w:rPr>
        <w:t xml:space="preserve"> </w:t>
      </w:r>
      <w:r w:rsidRPr="00E053C5">
        <w:rPr>
          <w:spacing w:val="-1"/>
        </w:rPr>
        <w:t>are</w:t>
      </w:r>
      <w:r w:rsidRPr="00E053C5">
        <w:rPr>
          <w:spacing w:val="-2"/>
        </w:rPr>
        <w:t xml:space="preserve"> </w:t>
      </w:r>
      <w:r w:rsidRPr="00E053C5">
        <w:rPr>
          <w:spacing w:val="-1"/>
        </w:rPr>
        <w:t xml:space="preserve">not </w:t>
      </w:r>
      <w:r w:rsidRPr="00E053C5">
        <w:rPr>
          <w:spacing w:val="-2"/>
        </w:rPr>
        <w:t>being</w:t>
      </w:r>
      <w:r w:rsidRPr="00E053C5">
        <w:t xml:space="preserve"> </w:t>
      </w:r>
      <w:r w:rsidRPr="00E053C5">
        <w:rPr>
          <w:spacing w:val="-1"/>
        </w:rPr>
        <w:t>fully</w:t>
      </w:r>
      <w:r w:rsidRPr="00E053C5">
        <w:rPr>
          <w:spacing w:val="-2"/>
        </w:rPr>
        <w:t xml:space="preserve"> </w:t>
      </w:r>
      <w:r w:rsidRPr="00E053C5">
        <w:rPr>
          <w:spacing w:val="-1"/>
        </w:rPr>
        <w:t>utilized,</w:t>
      </w:r>
      <w:r w:rsidRPr="00E053C5">
        <w:rPr>
          <w:spacing w:val="2"/>
        </w:rPr>
        <w:t xml:space="preserve"> </w:t>
      </w:r>
      <w:r w:rsidRPr="00E053C5">
        <w:rPr>
          <w:spacing w:val="-2"/>
        </w:rPr>
        <w:t>which</w:t>
      </w:r>
      <w:r w:rsidRPr="00E053C5">
        <w:t xml:space="preserve"> </w:t>
      </w:r>
      <w:r w:rsidRPr="00E053C5">
        <w:rPr>
          <w:spacing w:val="-1"/>
        </w:rPr>
        <w:t>results</w:t>
      </w:r>
      <w:r w:rsidRPr="00E053C5">
        <w:rPr>
          <w:spacing w:val="1"/>
        </w:rPr>
        <w:t xml:space="preserve"> </w:t>
      </w:r>
      <w:r w:rsidRPr="00E053C5">
        <w:rPr>
          <w:spacing w:val="-1"/>
        </w:rPr>
        <w:t>in</w:t>
      </w:r>
      <w:r w:rsidRPr="00E053C5">
        <w:t xml:space="preserve"> </w:t>
      </w:r>
      <w:r w:rsidRPr="00E053C5">
        <w:rPr>
          <w:spacing w:val="-1"/>
        </w:rPr>
        <w:t>excessive</w:t>
      </w:r>
      <w:r w:rsidRPr="00E053C5">
        <w:rPr>
          <w:spacing w:val="71"/>
        </w:rPr>
        <w:t xml:space="preserve"> </w:t>
      </w:r>
      <w:r w:rsidRPr="00E053C5">
        <w:rPr>
          <w:spacing w:val="-1"/>
        </w:rPr>
        <w:t>costs,</w:t>
      </w:r>
      <w:r w:rsidRPr="00E053C5">
        <w:rPr>
          <w:spacing w:val="2"/>
        </w:rPr>
        <w:t xml:space="preserve"> </w:t>
      </w:r>
      <w:r w:rsidRPr="00E053C5">
        <w:rPr>
          <w:spacing w:val="-1"/>
        </w:rPr>
        <w:t>duplicated</w:t>
      </w:r>
      <w:r w:rsidRPr="00E053C5">
        <w:rPr>
          <w:spacing w:val="-2"/>
        </w:rPr>
        <w:t xml:space="preserve"> </w:t>
      </w:r>
      <w:r w:rsidRPr="00E053C5">
        <w:rPr>
          <w:spacing w:val="-1"/>
        </w:rPr>
        <w:t>effort</w:t>
      </w:r>
      <w:r w:rsidRPr="00E053C5">
        <w:rPr>
          <w:spacing w:val="2"/>
        </w:rPr>
        <w:t xml:space="preserve"> </w:t>
      </w:r>
      <w:r w:rsidRPr="00E053C5">
        <w:rPr>
          <w:spacing w:val="-2"/>
        </w:rPr>
        <w:t>and</w:t>
      </w:r>
      <w:r w:rsidRPr="00E053C5">
        <w:t xml:space="preserve"> </w:t>
      </w:r>
      <w:r w:rsidRPr="00E053C5">
        <w:rPr>
          <w:spacing w:val="-1"/>
        </w:rPr>
        <w:t>ineffective</w:t>
      </w:r>
      <w:r w:rsidRPr="00E053C5">
        <w:t xml:space="preserve"> </w:t>
      </w:r>
      <w:r w:rsidRPr="00E053C5">
        <w:rPr>
          <w:spacing w:val="-1"/>
        </w:rPr>
        <w:t>use</w:t>
      </w:r>
      <w:r w:rsidRPr="00E053C5">
        <w:t xml:space="preserve"> </w:t>
      </w:r>
      <w:r w:rsidRPr="00E053C5">
        <w:rPr>
          <w:spacing w:val="-2"/>
        </w:rPr>
        <w:t>of</w:t>
      </w:r>
      <w:r w:rsidRPr="00E053C5">
        <w:rPr>
          <w:spacing w:val="-1"/>
        </w:rPr>
        <w:t xml:space="preserve"> resources</w:t>
      </w:r>
      <w:r w:rsidRPr="00E053C5">
        <w:rPr>
          <w:spacing w:val="-2"/>
        </w:rPr>
        <w:t xml:space="preserve"> </w:t>
      </w:r>
      <w:r w:rsidRPr="00E053C5">
        <w:t>for</w:t>
      </w:r>
      <w:r w:rsidRPr="00E053C5">
        <w:rPr>
          <w:spacing w:val="-1"/>
        </w:rPr>
        <w:t xml:space="preserve"> integrating</w:t>
      </w:r>
      <w:r w:rsidRPr="00E053C5">
        <w:rPr>
          <w:spacing w:val="3"/>
        </w:rPr>
        <w:t xml:space="preserve"> </w:t>
      </w:r>
      <w:r>
        <w:rPr>
          <w:spacing w:val="-1"/>
        </w:rPr>
        <w:t>mechanical and electrical</w:t>
      </w:r>
      <w:r w:rsidRPr="00E053C5">
        <w:t xml:space="preserve"> </w:t>
      </w:r>
      <w:r w:rsidRPr="00E053C5">
        <w:rPr>
          <w:spacing w:val="-1"/>
        </w:rPr>
        <w:t>equipment</w:t>
      </w:r>
      <w:r w:rsidRPr="00E053C5">
        <w:rPr>
          <w:spacing w:val="46"/>
        </w:rPr>
        <w:t xml:space="preserve"> </w:t>
      </w:r>
      <w:r w:rsidRPr="00E053C5">
        <w:rPr>
          <w:spacing w:val="-1"/>
        </w:rPr>
        <w:t>designed</w:t>
      </w:r>
      <w:r w:rsidRPr="00E053C5">
        <w:rPr>
          <w:spacing w:val="-2"/>
        </w:rPr>
        <w:t xml:space="preserve"> </w:t>
      </w:r>
      <w:r w:rsidRPr="00E053C5">
        <w:rPr>
          <w:spacing w:val="-1"/>
        </w:rPr>
        <w:t>and</w:t>
      </w:r>
      <w:r w:rsidRPr="00E053C5">
        <w:t xml:space="preserve"> </w:t>
      </w:r>
      <w:r w:rsidRPr="00E053C5">
        <w:rPr>
          <w:spacing w:val="-1"/>
        </w:rPr>
        <w:t>built by</w:t>
      </w:r>
      <w:r w:rsidRPr="00E053C5">
        <w:rPr>
          <w:spacing w:val="-2"/>
        </w:rPr>
        <w:t xml:space="preserve"> </w:t>
      </w:r>
      <w:r w:rsidRPr="00E053C5">
        <w:rPr>
          <w:spacing w:val="-1"/>
        </w:rPr>
        <w:t>non-U.S. laboratories</w:t>
      </w:r>
      <w:r w:rsidRPr="00E053C5">
        <w:rPr>
          <w:spacing w:val="1"/>
        </w:rPr>
        <w:t xml:space="preserve"> </w:t>
      </w:r>
      <w:r w:rsidRPr="00E053C5">
        <w:rPr>
          <w:spacing w:val="-1"/>
        </w:rPr>
        <w:t>and</w:t>
      </w:r>
      <w:r w:rsidRPr="00E053C5">
        <w:rPr>
          <w:spacing w:val="-2"/>
        </w:rPr>
        <w:t xml:space="preserve"> </w:t>
      </w:r>
      <w:r w:rsidRPr="00E053C5">
        <w:rPr>
          <w:spacing w:val="-1"/>
        </w:rPr>
        <w:t>international</w:t>
      </w:r>
      <w:r w:rsidRPr="00E053C5">
        <w:t xml:space="preserve"> </w:t>
      </w:r>
      <w:r w:rsidRPr="00E053C5">
        <w:rPr>
          <w:spacing w:val="-1"/>
        </w:rPr>
        <w:t>manufacturers.</w:t>
      </w:r>
    </w:p>
    <w:p w14:paraId="1F75617E" w14:textId="77777777" w:rsidR="00164868" w:rsidRPr="00E053C5" w:rsidRDefault="00164868" w:rsidP="00164868"/>
    <w:p w14:paraId="0169F359" w14:textId="35D01C0A" w:rsidR="007830DB" w:rsidRDefault="00164868" w:rsidP="00164868">
      <w:r w:rsidRPr="00BD7048">
        <w:t xml:space="preserve">The </w:t>
      </w:r>
      <w:r w:rsidR="0042249E">
        <w:t xml:space="preserve">safety </w:t>
      </w:r>
      <w:r w:rsidR="003141B1">
        <w:t xml:space="preserve">performance </w:t>
      </w:r>
      <w:r w:rsidR="00697BF2">
        <w:t>equivalency</w:t>
      </w:r>
      <w:r>
        <w:t xml:space="preserve"> process </w:t>
      </w:r>
      <w:r w:rsidRPr="00BD7048">
        <w:t xml:space="preserve">is the formal </w:t>
      </w:r>
      <w:r w:rsidR="003906BB">
        <w:t xml:space="preserve">engineering analysis that </w:t>
      </w:r>
      <w:r w:rsidRPr="00BD7048">
        <w:t>capture</w:t>
      </w:r>
      <w:r w:rsidR="003906BB">
        <w:t>s</w:t>
      </w:r>
      <w:r w:rsidRPr="00BD7048">
        <w:t xml:space="preserve"> the </w:t>
      </w:r>
      <w:r w:rsidR="003906BB">
        <w:t>comparisons of</w:t>
      </w:r>
      <w:r>
        <w:t xml:space="preserve"> the U.S. Codes and Standards </w:t>
      </w:r>
      <w:r w:rsidR="00351F78">
        <w:t>vs. a particular international s</w:t>
      </w:r>
      <w:r>
        <w:t>tandard</w:t>
      </w:r>
      <w:r w:rsidR="003906BB">
        <w:t xml:space="preserve"> and the conclusion of </w:t>
      </w:r>
      <w:r w:rsidR="0042249E">
        <w:t>safety</w:t>
      </w:r>
      <w:r w:rsidR="003141B1">
        <w:t xml:space="preserve"> performance</w:t>
      </w:r>
      <w:r w:rsidR="00697BF2">
        <w:t xml:space="preserve"> equivalency</w:t>
      </w:r>
      <w:r w:rsidR="003141B1">
        <w:t xml:space="preserve"> or not</w:t>
      </w:r>
      <w:r w:rsidRPr="00BD7048">
        <w:t xml:space="preserve">.  </w:t>
      </w:r>
      <w:r>
        <w:t xml:space="preserve">Establishing the </w:t>
      </w:r>
      <w:r w:rsidR="0042249E">
        <w:t>safety</w:t>
      </w:r>
      <w:r w:rsidR="003141B1">
        <w:t xml:space="preserve"> performance</w:t>
      </w:r>
      <w:r w:rsidR="00697BF2">
        <w:t xml:space="preserve"> equivalency</w:t>
      </w:r>
      <w:r>
        <w:t xml:space="preserve"> between the standards will enable the labor</w:t>
      </w:r>
      <w:r w:rsidR="00351F78">
        <w:t>atory to accept equipment from i</w:t>
      </w:r>
      <w:r>
        <w:t xml:space="preserve">nternational partners </w:t>
      </w:r>
      <w:r w:rsidR="009A0B67">
        <w:t xml:space="preserve">or companies </w:t>
      </w:r>
      <w:r>
        <w:t xml:space="preserve">without fear of </w:t>
      </w:r>
      <w:r w:rsidR="008C6080">
        <w:t xml:space="preserve">increased risk or </w:t>
      </w:r>
      <w:r>
        <w:t xml:space="preserve">noncompliance. </w:t>
      </w:r>
      <w:r w:rsidRPr="00BD7048">
        <w:t xml:space="preserve">The </w:t>
      </w:r>
      <w:r w:rsidR="0042249E">
        <w:t>safety</w:t>
      </w:r>
      <w:r w:rsidR="003141B1">
        <w:t xml:space="preserve"> performance</w:t>
      </w:r>
      <w:r w:rsidR="00697BF2">
        <w:t xml:space="preserve"> equivalency</w:t>
      </w:r>
      <w:r>
        <w:t xml:space="preserve"> process</w:t>
      </w:r>
      <w:r w:rsidRPr="00BD7048">
        <w:t xml:space="preserve"> utilizes a group of </w:t>
      </w:r>
      <w:r w:rsidR="005C7212">
        <w:t xml:space="preserve">qualified persons </w:t>
      </w:r>
      <w:r w:rsidRPr="00BD7048">
        <w:t xml:space="preserve">to </w:t>
      </w:r>
      <w:r>
        <w:t>create</w:t>
      </w:r>
      <w:r w:rsidR="001973B6">
        <w:t xml:space="preserve"> and review</w:t>
      </w:r>
      <w:r w:rsidR="00AA34EA">
        <w:t xml:space="preserve"> a White Paper. </w:t>
      </w:r>
      <w:r w:rsidR="007A2F1E" w:rsidRPr="007A2F1E">
        <w:t>See Figure 1 for details of the process.</w:t>
      </w:r>
    </w:p>
    <w:p w14:paraId="28AFC0F4" w14:textId="77777777" w:rsidR="007830DB" w:rsidRDefault="007830DB" w:rsidP="00164868"/>
    <w:p w14:paraId="65FF7835" w14:textId="2B7C40B4" w:rsidR="007830DB" w:rsidRDefault="007830DB" w:rsidP="003E5207">
      <w:pPr>
        <w:pStyle w:val="Heading2"/>
        <w:numPr>
          <w:ilvl w:val="0"/>
          <w:numId w:val="0"/>
        </w:numPr>
        <w:ind w:left="504" w:hanging="504"/>
      </w:pPr>
      <w:bookmarkStart w:id="23" w:name="_Toc452620526"/>
      <w:r w:rsidRPr="00CA0C86">
        <w:t xml:space="preserve">4.1. </w:t>
      </w:r>
      <w:r w:rsidR="00A24D1B" w:rsidRPr="00CA0C86">
        <w:t>Writing a White Paper</w:t>
      </w:r>
      <w:bookmarkEnd w:id="23"/>
    </w:p>
    <w:p w14:paraId="713A11E1" w14:textId="77777777" w:rsidR="00951EBA" w:rsidRPr="00CA0C86" w:rsidRDefault="00951EBA" w:rsidP="00A24D1B">
      <w:pPr>
        <w:ind w:left="540" w:hanging="540"/>
        <w:rPr>
          <w:b/>
        </w:rPr>
      </w:pPr>
    </w:p>
    <w:p w14:paraId="51C5F891" w14:textId="4C670946" w:rsidR="00A24D1B" w:rsidRDefault="00A24D1B" w:rsidP="00867587">
      <w:pPr>
        <w:ind w:left="450"/>
      </w:pPr>
      <w:r>
        <w:t xml:space="preserve">FESHCom subcommittees establish a </w:t>
      </w:r>
      <w:r w:rsidR="007A2F1E">
        <w:t xml:space="preserve">SME </w:t>
      </w:r>
      <w:r>
        <w:t xml:space="preserve">group of </w:t>
      </w:r>
      <w:r w:rsidR="001973B6">
        <w:t>qualified persons</w:t>
      </w:r>
      <w:r>
        <w:t xml:space="preserve"> to investigate whether a U.S. appropriate code or standard exists and can be used to establish </w:t>
      </w:r>
      <w:r w:rsidR="003141B1">
        <w:t>safety performance</w:t>
      </w:r>
      <w:r w:rsidR="00697BF2">
        <w:t xml:space="preserve"> equivalency</w:t>
      </w:r>
      <w:r>
        <w:t xml:space="preserve"> with the international code or standard that is used for design of specific type of equipment. </w:t>
      </w:r>
    </w:p>
    <w:p w14:paraId="281157BE" w14:textId="77777777" w:rsidR="00A24D1B" w:rsidRDefault="00A24D1B" w:rsidP="00867587">
      <w:pPr>
        <w:ind w:left="450"/>
      </w:pPr>
    </w:p>
    <w:p w14:paraId="461CF59F" w14:textId="24DA5747" w:rsidR="00716160" w:rsidRDefault="00A24D1B" w:rsidP="00867587">
      <w:pPr>
        <w:ind w:left="450"/>
      </w:pPr>
      <w:r>
        <w:t xml:space="preserve">In cases, where multiple codes or standards are used to design same equipment, or multiple or ambiguous levels of </w:t>
      </w:r>
      <w:r w:rsidR="003141B1">
        <w:t>safety performance</w:t>
      </w:r>
      <w:r w:rsidR="00697BF2">
        <w:t xml:space="preserve"> equivalency</w:t>
      </w:r>
      <w:r>
        <w:t xml:space="preserve"> can be established, then the group of experts must come up with a clear scope and </w:t>
      </w:r>
      <w:r w:rsidR="00697BF2">
        <w:t>equivalency</w:t>
      </w:r>
      <w:r>
        <w:t xml:space="preserve"> pairs. For example, if a vessel is designed and stamped </w:t>
      </w:r>
      <w:r w:rsidR="005C7212">
        <w:t xml:space="preserve">per </w:t>
      </w:r>
      <w:r>
        <w:t>EN13445, an equivalent U.S. code must be identified and listed</w:t>
      </w:r>
      <w:r w:rsidR="00716160">
        <w:t xml:space="preserve">, e.g. ASME BPVC Section VIII. If equipment is designed per one governing code, but supplied with protective devices per another governing code, </w:t>
      </w:r>
      <w:r w:rsidR="005C7212">
        <w:t>a</w:t>
      </w:r>
      <w:r w:rsidR="00716160">
        <w:t xml:space="preserve"> </w:t>
      </w:r>
      <w:r w:rsidR="003141B1">
        <w:t>safety performance</w:t>
      </w:r>
      <w:r w:rsidR="00697BF2">
        <w:t xml:space="preserve"> equivalency</w:t>
      </w:r>
      <w:r w:rsidR="00716160">
        <w:t xml:space="preserve"> should be established for that protective device separately. </w:t>
      </w:r>
    </w:p>
    <w:p w14:paraId="2BD5126E" w14:textId="77777777" w:rsidR="007830DB" w:rsidRDefault="007830DB" w:rsidP="00867587">
      <w:pPr>
        <w:ind w:left="450"/>
      </w:pPr>
    </w:p>
    <w:p w14:paraId="7529E01C" w14:textId="23DE8632" w:rsidR="00164868" w:rsidRDefault="00AA34EA" w:rsidP="00867587">
      <w:pPr>
        <w:ind w:left="450"/>
        <w:rPr>
          <w:color w:val="FF0000"/>
        </w:rPr>
      </w:pPr>
      <w:r>
        <w:t>A typical White paper include</w:t>
      </w:r>
      <w:r w:rsidR="007830DB">
        <w:t>s</w:t>
      </w:r>
      <w:r>
        <w:t xml:space="preserve">: </w:t>
      </w:r>
    </w:p>
    <w:p w14:paraId="3EF6A0A8" w14:textId="77777777" w:rsidR="00867587" w:rsidRDefault="00867587" w:rsidP="00867587">
      <w:pPr>
        <w:ind w:left="450"/>
        <w:rPr>
          <w:color w:val="FF0000"/>
        </w:rPr>
      </w:pPr>
    </w:p>
    <w:p w14:paraId="33142D2E" w14:textId="77777777" w:rsidR="00867587" w:rsidRDefault="00867587" w:rsidP="00867587">
      <w:pPr>
        <w:ind w:left="990" w:hanging="540"/>
      </w:pPr>
      <w:r>
        <w:t>(1)</w:t>
      </w:r>
      <w:r>
        <w:tab/>
        <w:t>Abstract</w:t>
      </w:r>
    </w:p>
    <w:p w14:paraId="28161CA6" w14:textId="77777777" w:rsidR="00867587" w:rsidRDefault="00867587" w:rsidP="00867587">
      <w:pPr>
        <w:ind w:left="990" w:hanging="540"/>
      </w:pPr>
      <w:r>
        <w:t>(2)</w:t>
      </w:r>
      <w:r>
        <w:tab/>
        <w:t>Placeholder for signatures of qualified people forming an investigating or advisory group</w:t>
      </w:r>
    </w:p>
    <w:p w14:paraId="7355C519" w14:textId="77777777" w:rsidR="00867587" w:rsidRDefault="00867587" w:rsidP="00867587">
      <w:pPr>
        <w:ind w:left="990" w:hanging="540"/>
      </w:pPr>
      <w:r>
        <w:t>(3)</w:t>
      </w:r>
      <w:r>
        <w:tab/>
        <w:t>List of work group members and consultants and their roles</w:t>
      </w:r>
    </w:p>
    <w:p w14:paraId="3C774426" w14:textId="77777777" w:rsidR="00867587" w:rsidRDefault="00867587" w:rsidP="00867587">
      <w:pPr>
        <w:ind w:left="990" w:hanging="540"/>
      </w:pPr>
      <w:r>
        <w:t>(4)</w:t>
      </w:r>
      <w:r>
        <w:tab/>
        <w:t>Goals</w:t>
      </w:r>
    </w:p>
    <w:p w14:paraId="467E2738" w14:textId="77777777" w:rsidR="00867587" w:rsidRDefault="00867587" w:rsidP="00867587">
      <w:pPr>
        <w:ind w:left="990" w:hanging="540"/>
      </w:pPr>
      <w:r>
        <w:t>(5)</w:t>
      </w:r>
      <w:r>
        <w:tab/>
        <w:t>Findings</w:t>
      </w:r>
    </w:p>
    <w:p w14:paraId="70B358C5" w14:textId="77777777" w:rsidR="00867587" w:rsidRDefault="00867587" w:rsidP="00867587">
      <w:pPr>
        <w:ind w:left="990" w:hanging="540"/>
      </w:pPr>
      <w:r>
        <w:t>(6)</w:t>
      </w:r>
      <w:r>
        <w:tab/>
        <w:t>Recommendations</w:t>
      </w:r>
    </w:p>
    <w:p w14:paraId="2B617E12" w14:textId="49C294B0" w:rsidR="00867587" w:rsidRDefault="00867587" w:rsidP="00867587">
      <w:pPr>
        <w:ind w:left="990" w:hanging="540"/>
      </w:pPr>
      <w:r>
        <w:t>(7)</w:t>
      </w:r>
      <w:r>
        <w:tab/>
        <w:t>References and supporting documents</w:t>
      </w:r>
    </w:p>
    <w:p w14:paraId="1188520F" w14:textId="77777777" w:rsidR="00867587" w:rsidRDefault="00867587" w:rsidP="00867587">
      <w:pPr>
        <w:ind w:left="450"/>
      </w:pPr>
    </w:p>
    <w:p w14:paraId="48D7462C" w14:textId="77777777" w:rsidR="00867587" w:rsidRDefault="00867587" w:rsidP="00867587">
      <w:pPr>
        <w:ind w:left="450"/>
      </w:pPr>
      <w:r>
        <w:t>Additionally, the White Paper may include:</w:t>
      </w:r>
    </w:p>
    <w:p w14:paraId="1E654F49" w14:textId="43BC71CA" w:rsidR="00944D31" w:rsidRDefault="00944D31" w:rsidP="00CA0C86">
      <w:pPr>
        <w:pStyle w:val="ListParagraph"/>
        <w:numPr>
          <w:ilvl w:val="0"/>
          <w:numId w:val="39"/>
        </w:numPr>
        <w:ind w:left="990" w:hanging="540"/>
      </w:pPr>
      <w:r>
        <w:t xml:space="preserve">Independent technical verification by experts from outside Fermilab </w:t>
      </w:r>
    </w:p>
    <w:p w14:paraId="29BB7B5F" w14:textId="7D623C62" w:rsidR="00867587" w:rsidRDefault="00944D31" w:rsidP="00CA0C86">
      <w:pPr>
        <w:pStyle w:val="ListParagraph"/>
        <w:numPr>
          <w:ilvl w:val="0"/>
          <w:numId w:val="39"/>
        </w:numPr>
        <w:ind w:left="990" w:hanging="540"/>
      </w:pPr>
      <w:r>
        <w:t>E</w:t>
      </w:r>
      <w:r w:rsidR="00867587">
        <w:t>xamples from industry or other DOE labs showing safe use of equipment designed per international standards</w:t>
      </w:r>
    </w:p>
    <w:p w14:paraId="02539E9E" w14:textId="4E416AED" w:rsidR="00867587" w:rsidRDefault="00867587" w:rsidP="00CA0C86">
      <w:pPr>
        <w:pStyle w:val="ListParagraph"/>
        <w:numPr>
          <w:ilvl w:val="0"/>
          <w:numId w:val="39"/>
        </w:numPr>
        <w:ind w:left="990" w:hanging="540"/>
      </w:pPr>
      <w:r>
        <w:t xml:space="preserve">Research and investigations done by industry and other DOE labs proving </w:t>
      </w:r>
      <w:r w:rsidR="00C87DED">
        <w:t>safety performance</w:t>
      </w:r>
      <w:r w:rsidR="00697BF2">
        <w:t xml:space="preserve"> equivalency</w:t>
      </w:r>
    </w:p>
    <w:p w14:paraId="4EC5258C" w14:textId="72E8CEAB" w:rsidR="00867587" w:rsidRDefault="00867587" w:rsidP="00CA0C86">
      <w:pPr>
        <w:pStyle w:val="ListParagraph"/>
        <w:numPr>
          <w:ilvl w:val="0"/>
          <w:numId w:val="39"/>
        </w:numPr>
        <w:ind w:left="990" w:hanging="540"/>
      </w:pPr>
      <w:r>
        <w:lastRenderedPageBreak/>
        <w:t>Design drawings, sketches, and calculations in support of findings</w:t>
      </w:r>
    </w:p>
    <w:p w14:paraId="15227950" w14:textId="2D4E2626" w:rsidR="00867587" w:rsidRDefault="00867587" w:rsidP="00CA0C86">
      <w:pPr>
        <w:pStyle w:val="ListParagraph"/>
        <w:numPr>
          <w:ilvl w:val="0"/>
          <w:numId w:val="39"/>
        </w:numPr>
        <w:ind w:left="990" w:hanging="540"/>
      </w:pPr>
      <w:r>
        <w:t>Examinations and inspections of materials, in-process fabrications, non-destructive tests, and acceptance test in support of findings</w:t>
      </w:r>
    </w:p>
    <w:p w14:paraId="619F2386" w14:textId="52BA01CD" w:rsidR="000B24C5" w:rsidRDefault="00867587" w:rsidP="00944D31">
      <w:pPr>
        <w:pStyle w:val="ListParagraph"/>
        <w:numPr>
          <w:ilvl w:val="0"/>
          <w:numId w:val="39"/>
        </w:numPr>
        <w:ind w:left="990" w:hanging="540"/>
      </w:pPr>
      <w:r>
        <w:t>Documentation, traceability, and accountability for each unique system, including descriptions of design, testing, inspection, operation, repair, and maintenance in support of findings</w:t>
      </w:r>
      <w:r w:rsidR="00944D31">
        <w:t>.</w:t>
      </w:r>
    </w:p>
    <w:p w14:paraId="49BCB2A5" w14:textId="77777777" w:rsidR="00867587" w:rsidRDefault="00867587" w:rsidP="00867587"/>
    <w:p w14:paraId="359C4639" w14:textId="102EAF79" w:rsidR="008147EC" w:rsidRDefault="008147EC" w:rsidP="008147EC">
      <w:pPr>
        <w:ind w:left="540"/>
      </w:pPr>
      <w:r>
        <w:t xml:space="preserve">The </w:t>
      </w:r>
      <w:r w:rsidR="00867587">
        <w:t xml:space="preserve">White Paper must provide recommendations to </w:t>
      </w:r>
      <w:r w:rsidR="00C87DED">
        <w:t xml:space="preserve">the </w:t>
      </w:r>
      <w:r>
        <w:t xml:space="preserve">CSO of </w:t>
      </w:r>
      <w:r w:rsidR="003141B1">
        <w:t>safety performance</w:t>
      </w:r>
      <w:r w:rsidR="00697BF2">
        <w:t xml:space="preserve"> equivalency</w:t>
      </w:r>
      <w:r>
        <w:t xml:space="preserve"> </w:t>
      </w:r>
      <w:r w:rsidR="003141B1">
        <w:t xml:space="preserve">between the codes, </w:t>
      </w:r>
      <w:r w:rsidR="000B24C5">
        <w:t xml:space="preserve">including any exceptions or exclusions </w:t>
      </w:r>
      <w:r>
        <w:t>between international</w:t>
      </w:r>
      <w:r w:rsidR="00C87DED">
        <w:t xml:space="preserve"> and U.S. codes or standards</w:t>
      </w:r>
      <w:r>
        <w:t xml:space="preserve">. The White Paper must be signed by all </w:t>
      </w:r>
      <w:r w:rsidR="000B24C5">
        <w:t>qualified persons who authored the white paper</w:t>
      </w:r>
      <w:r>
        <w:t xml:space="preserve">. </w:t>
      </w:r>
    </w:p>
    <w:p w14:paraId="0DA4920E" w14:textId="77777777" w:rsidR="008147EC" w:rsidRDefault="008147EC" w:rsidP="008147EC">
      <w:pPr>
        <w:ind w:left="540"/>
      </w:pPr>
    </w:p>
    <w:p w14:paraId="5A7FB143" w14:textId="6DFBE910" w:rsidR="008147EC" w:rsidRPr="00CA0C86" w:rsidRDefault="008147EC" w:rsidP="003E5207">
      <w:pPr>
        <w:pStyle w:val="Heading2"/>
        <w:numPr>
          <w:ilvl w:val="0"/>
          <w:numId w:val="0"/>
        </w:numPr>
        <w:ind w:left="504" w:hanging="504"/>
      </w:pPr>
      <w:bookmarkStart w:id="24" w:name="_Toc452620527"/>
      <w:r w:rsidRPr="00CA0C86">
        <w:t>4.2</w:t>
      </w:r>
      <w:r w:rsidR="00BB7539" w:rsidRPr="00CA0C86">
        <w:t xml:space="preserve">. </w:t>
      </w:r>
      <w:r w:rsidR="00BB7539" w:rsidRPr="003E5207">
        <w:rPr>
          <w:rStyle w:val="Heading2Char"/>
          <w:b/>
        </w:rPr>
        <w:t>CSO Approval and FSO concurrence</w:t>
      </w:r>
      <w:bookmarkEnd w:id="24"/>
    </w:p>
    <w:p w14:paraId="6E60A9DF" w14:textId="77777777" w:rsidR="008147EC" w:rsidRDefault="008147EC" w:rsidP="008147EC">
      <w:pPr>
        <w:ind w:left="540"/>
      </w:pPr>
    </w:p>
    <w:p w14:paraId="1029F121" w14:textId="3C1A149D" w:rsidR="008147EC" w:rsidRDefault="00951EBA" w:rsidP="008147EC">
      <w:pPr>
        <w:ind w:left="540"/>
      </w:pPr>
      <w:r w:rsidRPr="00951EBA">
        <w:t xml:space="preserve">If </w:t>
      </w:r>
      <w:r w:rsidR="003141B1">
        <w:t>safety performance</w:t>
      </w:r>
      <w:r w:rsidRPr="00951EBA">
        <w:t xml:space="preserve"> equivalency</w:t>
      </w:r>
      <w:r w:rsidR="003141B1">
        <w:t xml:space="preserve"> between the codes</w:t>
      </w:r>
      <w:r w:rsidRPr="00951EBA">
        <w:t xml:space="preserve"> can be established</w:t>
      </w:r>
      <w:r w:rsidR="003818FD">
        <w:t xml:space="preserve"> by the </w:t>
      </w:r>
      <w:r w:rsidR="003818FD" w:rsidRPr="003818FD">
        <w:t>SME group</w:t>
      </w:r>
      <w:r w:rsidR="003818FD">
        <w:t>,</w:t>
      </w:r>
      <w:r w:rsidR="003818FD" w:rsidRPr="003818FD">
        <w:t xml:space="preserve"> </w:t>
      </w:r>
      <w:r w:rsidRPr="00951EBA">
        <w:t xml:space="preserve">the findings of the </w:t>
      </w:r>
      <w:r>
        <w:t>W</w:t>
      </w:r>
      <w:r w:rsidRPr="00951EBA">
        <w:t xml:space="preserve">hite </w:t>
      </w:r>
      <w:r>
        <w:t>P</w:t>
      </w:r>
      <w:r w:rsidRPr="00951EBA">
        <w:t xml:space="preserve">aper will be discussed and reviewed by a wider audience of experts, typically </w:t>
      </w:r>
      <w:r w:rsidR="003818FD">
        <w:t>the</w:t>
      </w:r>
      <w:r w:rsidRPr="00951EBA">
        <w:t xml:space="preserve"> members of the appropriate FESHCom Subcommittee.  In some cases</w:t>
      </w:r>
      <w:r w:rsidR="006C2C6F">
        <w:t>,</w:t>
      </w:r>
      <w:bookmarkStart w:id="25" w:name="_GoBack"/>
      <w:bookmarkEnd w:id="25"/>
      <w:r w:rsidRPr="00951EBA">
        <w:t xml:space="preserve"> two or more </w:t>
      </w:r>
      <w:r w:rsidR="00A66768" w:rsidRPr="00951EBA">
        <w:t>FESHCom</w:t>
      </w:r>
      <w:r w:rsidRPr="00951EBA">
        <w:t xml:space="preserve"> Subcommittees may participate in the review if multiple areas of expertise are required. </w:t>
      </w:r>
      <w:r w:rsidR="008147EC">
        <w:t xml:space="preserve">Typically, for a review by the FESHCom subcommittee, the group of subject matter experts must also propose a modification of the existing FESHM chapter to indicate </w:t>
      </w:r>
      <w:r w:rsidR="00BD30F1">
        <w:t>safety performance</w:t>
      </w:r>
      <w:r w:rsidR="00697BF2">
        <w:t xml:space="preserve"> equivalency</w:t>
      </w:r>
      <w:r w:rsidR="00BD30F1">
        <w:t xml:space="preserve"> between </w:t>
      </w:r>
      <w:r w:rsidR="00C87DED">
        <w:t xml:space="preserve">the </w:t>
      </w:r>
      <w:r w:rsidR="00BD30F1">
        <w:t>codes</w:t>
      </w:r>
      <w:r w:rsidR="008147EC">
        <w:t xml:space="preserve">. </w:t>
      </w:r>
      <w:r w:rsidRPr="00951EBA">
        <w:t xml:space="preserve">The </w:t>
      </w:r>
      <w:r w:rsidR="00A66768" w:rsidRPr="00951EBA">
        <w:t>FESHCom</w:t>
      </w:r>
      <w:r w:rsidRPr="00951EBA">
        <w:t xml:space="preserve"> Subcommittee Chair(s) are responsible for organizing feedback from their committees and delivering the feedback to the authors of the </w:t>
      </w:r>
      <w:r>
        <w:t>W</w:t>
      </w:r>
      <w:r w:rsidRPr="00951EBA">
        <w:t xml:space="preserve">hite </w:t>
      </w:r>
      <w:r>
        <w:t>P</w:t>
      </w:r>
      <w:r w:rsidRPr="00951EBA">
        <w:t xml:space="preserve">aper.  </w:t>
      </w:r>
      <w:r w:rsidR="008147EC">
        <w:t xml:space="preserve">Finally, if </w:t>
      </w:r>
      <w:r w:rsidR="00802244">
        <w:t xml:space="preserve">a </w:t>
      </w:r>
      <w:r w:rsidR="008147EC">
        <w:t xml:space="preserve">White Paper </w:t>
      </w:r>
      <w:r w:rsidR="003818FD">
        <w:t>passes review process by the</w:t>
      </w:r>
      <w:r w:rsidR="008147EC">
        <w:t xml:space="preserve"> FESHCom subcommittee</w:t>
      </w:r>
      <w:r w:rsidR="003818FD">
        <w:t>(s)</w:t>
      </w:r>
      <w:r w:rsidR="008147EC">
        <w:t xml:space="preserve">, then it should be submitted </w:t>
      </w:r>
      <w:r w:rsidR="00802244">
        <w:t xml:space="preserve">to the </w:t>
      </w:r>
      <w:r w:rsidR="008147EC">
        <w:t xml:space="preserve">CSO for </w:t>
      </w:r>
      <w:r w:rsidR="00BB7539">
        <w:t>approval</w:t>
      </w:r>
      <w:r w:rsidR="008147EC">
        <w:t xml:space="preserve"> and subsequent submittal to FSO for </w:t>
      </w:r>
      <w:r w:rsidR="00BB7539">
        <w:t>concurrence</w:t>
      </w:r>
      <w:r w:rsidR="008147EC">
        <w:t xml:space="preserve">. </w:t>
      </w:r>
    </w:p>
    <w:p w14:paraId="092CC490" w14:textId="77777777" w:rsidR="008147EC" w:rsidRDefault="008147EC" w:rsidP="008147EC">
      <w:pPr>
        <w:ind w:left="540"/>
      </w:pPr>
    </w:p>
    <w:p w14:paraId="383A8ECE" w14:textId="389C1D56" w:rsidR="008147EC" w:rsidRDefault="008147EC" w:rsidP="008147EC">
      <w:pPr>
        <w:ind w:left="540"/>
      </w:pPr>
      <w:r>
        <w:t xml:space="preserve">If </w:t>
      </w:r>
      <w:r w:rsidR="007C30F4">
        <w:t>safety</w:t>
      </w:r>
      <w:r w:rsidR="00BD30F1">
        <w:t xml:space="preserve"> performance</w:t>
      </w:r>
      <w:r w:rsidR="00697BF2">
        <w:t xml:space="preserve"> equivalency</w:t>
      </w:r>
      <w:r w:rsidR="007C30F4">
        <w:t xml:space="preserve"> between the codes</w:t>
      </w:r>
      <w:r>
        <w:t xml:space="preserve"> is too ambiguous or cannot be established, then the group of SME</w:t>
      </w:r>
      <w:r w:rsidR="007C30F4">
        <w:t>s</w:t>
      </w:r>
      <w:r>
        <w:t xml:space="preserve"> must report such finding</w:t>
      </w:r>
      <w:r w:rsidR="00802244">
        <w:t>s</w:t>
      </w:r>
      <w:r>
        <w:t xml:space="preserve"> to </w:t>
      </w:r>
      <w:r w:rsidR="007C30F4">
        <w:t xml:space="preserve">the </w:t>
      </w:r>
      <w:r>
        <w:t xml:space="preserve">CSO. In such </w:t>
      </w:r>
      <w:r w:rsidR="00802244">
        <w:t xml:space="preserve">a </w:t>
      </w:r>
      <w:r>
        <w:t xml:space="preserve">scenario, each and every piece of equipment designed per international code must be </w:t>
      </w:r>
      <w:r w:rsidR="00870E7C">
        <w:t xml:space="preserve">reviewed </w:t>
      </w:r>
      <w:r w:rsidR="0027236C">
        <w:t xml:space="preserve">per established criteria of FESHM </w:t>
      </w:r>
      <w:r w:rsidR="00870E7C">
        <w:t xml:space="preserve">to establish its safety </w:t>
      </w:r>
      <w:r w:rsidR="0027236C" w:rsidRPr="0027236C">
        <w:t xml:space="preserve">and </w:t>
      </w:r>
      <w:r w:rsidR="0027236C">
        <w:t xml:space="preserve">acceptance for operations with a possibility of exception </w:t>
      </w:r>
      <w:r w:rsidR="003818FD" w:rsidRPr="003818FD">
        <w:t>granted by the Authority Having Jurisdiction</w:t>
      </w:r>
      <w:r w:rsidR="0027236C">
        <w:t>.</w:t>
      </w:r>
    </w:p>
    <w:p w14:paraId="4FA8F986" w14:textId="77777777" w:rsidR="00867587" w:rsidRDefault="00867587" w:rsidP="00716160">
      <w:pPr>
        <w:ind w:left="900" w:hanging="450"/>
        <w:rPr>
          <w:color w:val="FF0000"/>
        </w:rPr>
      </w:pPr>
    </w:p>
    <w:p w14:paraId="646075F8" w14:textId="652E517C" w:rsidR="00870E7C" w:rsidRPr="003E5207" w:rsidRDefault="00870E7C" w:rsidP="003E5207">
      <w:pPr>
        <w:pStyle w:val="Heading2"/>
        <w:numPr>
          <w:ilvl w:val="0"/>
          <w:numId w:val="0"/>
        </w:numPr>
        <w:ind w:left="504" w:hanging="504"/>
        <w:rPr>
          <w:b w:val="0"/>
        </w:rPr>
      </w:pPr>
      <w:bookmarkStart w:id="26" w:name="_Toc452620528"/>
      <w:r w:rsidRPr="00CA0C86">
        <w:t xml:space="preserve">4.3. </w:t>
      </w:r>
      <w:r w:rsidRPr="003E5207">
        <w:rPr>
          <w:rStyle w:val="Heading2Char"/>
          <w:b/>
        </w:rPr>
        <w:t xml:space="preserve">Modification of existing FESHM chapter or creation of new FESHM chapter allowing </w:t>
      </w:r>
      <w:r w:rsidR="00C87DED">
        <w:rPr>
          <w:rStyle w:val="Heading2Char"/>
          <w:b/>
        </w:rPr>
        <w:t>safety performance</w:t>
      </w:r>
      <w:r w:rsidR="00697BF2" w:rsidRPr="003E5207">
        <w:rPr>
          <w:rStyle w:val="Heading2Char"/>
          <w:b/>
        </w:rPr>
        <w:t xml:space="preserve"> equivalency</w:t>
      </w:r>
      <w:r w:rsidRPr="003E5207">
        <w:rPr>
          <w:rStyle w:val="Heading2Char"/>
          <w:b/>
        </w:rPr>
        <w:t xml:space="preserve"> between international and U.S. codes and standards.</w:t>
      </w:r>
      <w:bookmarkEnd w:id="26"/>
    </w:p>
    <w:p w14:paraId="5D5573CA" w14:textId="77777777" w:rsidR="00870E7C" w:rsidRDefault="00870E7C" w:rsidP="00870E7C">
      <w:pPr>
        <w:ind w:left="540"/>
      </w:pPr>
    </w:p>
    <w:p w14:paraId="3247E805" w14:textId="309F5532" w:rsidR="00870E7C" w:rsidRDefault="00870E7C" w:rsidP="00870E7C">
      <w:pPr>
        <w:ind w:left="540"/>
      </w:pPr>
      <w:r>
        <w:t xml:space="preserve">If </w:t>
      </w:r>
      <w:r w:rsidR="007C30F4">
        <w:t>safety</w:t>
      </w:r>
      <w:r w:rsidR="00697BF2">
        <w:t xml:space="preserve"> </w:t>
      </w:r>
      <w:r w:rsidR="00BD30F1">
        <w:t xml:space="preserve">performance </w:t>
      </w:r>
      <w:r w:rsidR="00697BF2">
        <w:t>equivalency</w:t>
      </w:r>
      <w:r w:rsidR="00BD30F1">
        <w:t xml:space="preserve"> between the codes</w:t>
      </w:r>
      <w:r>
        <w:t xml:space="preserve"> is established and recommendations of the</w:t>
      </w:r>
      <w:r w:rsidR="007C30F4">
        <w:t xml:space="preserve"> White Paper are approved by the CSO and the FSO concurs that the Laboratory followed their due process</w:t>
      </w:r>
      <w:r>
        <w:t xml:space="preserve">, an existing FESHM chapter can be amended/modified per established procedure to list international standards as appropriate standards for certain equipment. A typical example would be FESHM 5031 “Pressure Vessels” or 5031.1 “Process Piping”. Alternatively, a new FESHM chapter can be established to specifically list equipment (or part of equipment) designed per international code or standard. A typical example would be FESHM 5031.7 “Membrane cryostats”. </w:t>
      </w:r>
    </w:p>
    <w:p w14:paraId="72CA8BAE" w14:textId="77777777" w:rsidR="00870E7C" w:rsidRDefault="00870E7C" w:rsidP="00870E7C">
      <w:pPr>
        <w:ind w:left="540"/>
      </w:pPr>
    </w:p>
    <w:p w14:paraId="54AFBDB3" w14:textId="75C4F0A2" w:rsidR="00870E7C" w:rsidRPr="00AA7D16" w:rsidRDefault="00870E7C" w:rsidP="00CA0C86">
      <w:pPr>
        <w:rPr>
          <w:color w:val="FF0000"/>
        </w:rPr>
      </w:pPr>
      <w:r>
        <w:lastRenderedPageBreak/>
        <w:t xml:space="preserve">A chart </w:t>
      </w:r>
      <w:r w:rsidR="007A2F1E">
        <w:t xml:space="preserve">on Figure 1 below describes the </w:t>
      </w:r>
      <w:r>
        <w:t xml:space="preserve">process flow for accepting international code or standard </w:t>
      </w:r>
      <w:r w:rsidR="00697BF2">
        <w:t xml:space="preserve">code </w:t>
      </w:r>
      <w:r w:rsidR="00BD30F1">
        <w:t xml:space="preserve">safety performance </w:t>
      </w:r>
      <w:r w:rsidR="00697BF2">
        <w:t>equivalency</w:t>
      </w:r>
      <w:r w:rsidR="005D5F21">
        <w:t xml:space="preserve"> and paths leading to accepting non-US coded equipment for use at </w:t>
      </w:r>
      <w:r w:rsidR="005D5F21" w:rsidRPr="005D5F21">
        <w:t>Fermilab and at remote sites</w:t>
      </w:r>
      <w:r w:rsidR="005D5F21">
        <w:t xml:space="preserve">. </w:t>
      </w:r>
    </w:p>
    <w:p w14:paraId="02F98527" w14:textId="7C30BEA2" w:rsidR="00F243F1" w:rsidRDefault="00F243F1" w:rsidP="002D028E">
      <w:pPr>
        <w:pStyle w:val="NormalWeb"/>
        <w:spacing w:before="0" w:beforeAutospacing="0" w:after="0" w:afterAutospacing="0"/>
        <w:ind w:left="360" w:hanging="360"/>
        <w:rPr>
          <w:noProof/>
        </w:rPr>
      </w:pPr>
    </w:p>
    <w:p w14:paraId="282E0CCA" w14:textId="62864F44" w:rsidR="00802244" w:rsidRDefault="00493DB8" w:rsidP="00493DB8">
      <w:pPr>
        <w:pStyle w:val="NormalWeb"/>
        <w:spacing w:before="0" w:beforeAutospacing="0" w:after="0" w:afterAutospacing="0"/>
        <w:ind w:left="360" w:hanging="360"/>
        <w:jc w:val="center"/>
        <w:rPr>
          <w:noProof/>
        </w:rPr>
      </w:pPr>
      <w:r>
        <w:rPr>
          <w:noProof/>
        </w:rPr>
        <w:drawing>
          <wp:inline distT="0" distB="0" distL="0" distR="0" wp14:anchorId="671318BA" wp14:editId="2031F2E8">
            <wp:extent cx="5028221" cy="67818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6023" cy="6792324"/>
                    </a:xfrm>
                    <a:prstGeom prst="rect">
                      <a:avLst/>
                    </a:prstGeom>
                    <a:noFill/>
                  </pic:spPr>
                </pic:pic>
              </a:graphicData>
            </a:graphic>
          </wp:inline>
        </w:drawing>
      </w:r>
    </w:p>
    <w:p w14:paraId="6BCEA0FF" w14:textId="77777777" w:rsidR="007C7D77" w:rsidRDefault="007C7D77" w:rsidP="00493DB8">
      <w:pPr>
        <w:pStyle w:val="Caption"/>
        <w:jc w:val="both"/>
        <w:rPr>
          <w:b w:val="0"/>
        </w:rPr>
      </w:pPr>
    </w:p>
    <w:p w14:paraId="40C31A93" w14:textId="5E79DB8F" w:rsidR="00AA7D16" w:rsidRPr="008E187A" w:rsidRDefault="007C7D77" w:rsidP="00AF2AB1">
      <w:pPr>
        <w:pStyle w:val="Caption"/>
        <w:rPr>
          <w:noProof/>
        </w:rPr>
      </w:pPr>
      <w:r w:rsidRPr="007C7D77">
        <w:rPr>
          <w:b w:val="0"/>
        </w:rPr>
        <w:t xml:space="preserve">Figure </w:t>
      </w:r>
      <w:r w:rsidRPr="007C7D77">
        <w:rPr>
          <w:b w:val="0"/>
        </w:rPr>
        <w:fldChar w:fldCharType="begin"/>
      </w:r>
      <w:r w:rsidRPr="007C7D77">
        <w:rPr>
          <w:b w:val="0"/>
        </w:rPr>
        <w:instrText xml:space="preserve"> SEQ Figure \* ARABIC </w:instrText>
      </w:r>
      <w:r w:rsidRPr="007C7D77">
        <w:rPr>
          <w:b w:val="0"/>
        </w:rPr>
        <w:fldChar w:fldCharType="separate"/>
      </w:r>
      <w:r w:rsidR="003E5207">
        <w:rPr>
          <w:b w:val="0"/>
          <w:noProof/>
        </w:rPr>
        <w:t>1</w:t>
      </w:r>
      <w:r w:rsidRPr="007C7D77">
        <w:rPr>
          <w:b w:val="0"/>
        </w:rPr>
        <w:fldChar w:fldCharType="end"/>
      </w:r>
      <w:r w:rsidRPr="007C7D77">
        <w:rPr>
          <w:b w:val="0"/>
        </w:rPr>
        <w:t xml:space="preserve"> Process flow for accepting </w:t>
      </w:r>
      <w:r w:rsidR="00493DB8">
        <w:rPr>
          <w:b w:val="0"/>
        </w:rPr>
        <w:t xml:space="preserve">equivalency in safety performance </w:t>
      </w:r>
    </w:p>
    <w:sectPr w:rsidR="00AA7D16" w:rsidRPr="008E187A" w:rsidSect="00BD7048">
      <w:headerReference w:type="default" r:id="rId15"/>
      <w:footerReference w:type="default" r:id="rId16"/>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85C73" w14:textId="77777777" w:rsidR="00B3018B" w:rsidRDefault="00B3018B" w:rsidP="00CB66DF">
      <w:r>
        <w:separator/>
      </w:r>
    </w:p>
  </w:endnote>
  <w:endnote w:type="continuationSeparator" w:id="0">
    <w:p w14:paraId="43F24B93" w14:textId="77777777" w:rsidR="00B3018B" w:rsidRDefault="00B3018B"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E6C9" w14:textId="7980333E" w:rsidR="00CD7755" w:rsidRDefault="00CD7755" w:rsidP="00CD7755">
    <w:pPr>
      <w:pStyle w:val="Footer"/>
      <w:pBdr>
        <w:top w:val="single" w:sz="6" w:space="0" w:color="auto"/>
      </w:pBdr>
      <w:rPr>
        <w:rFonts w:ascii="Palatino" w:hAnsi="Palatino"/>
        <w:sz w:val="18"/>
      </w:rPr>
    </w:pPr>
    <w:r>
      <w:rPr>
        <w:i/>
        <w:sz w:val="18"/>
      </w:rPr>
      <w:t>Fermilab ES&amp;H Manual</w:t>
    </w:r>
    <w:r>
      <w:rPr>
        <w:i/>
        <w:sz w:val="18"/>
      </w:rPr>
      <w:tab/>
    </w:r>
    <w:r>
      <w:rPr>
        <w:i/>
        <w:sz w:val="18"/>
      </w:rPr>
      <w:tab/>
    </w:r>
    <w:r w:rsidR="007509A3">
      <w:rPr>
        <w:i/>
        <w:sz w:val="18"/>
      </w:rPr>
      <w:t>2110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6C2C6F">
      <w:rPr>
        <w:rFonts w:ascii="Palatino" w:hAnsi="Palatino"/>
        <w:noProof/>
        <w:sz w:val="18"/>
      </w:rPr>
      <w:t>2</w:t>
    </w:r>
    <w:r>
      <w:rPr>
        <w:rFonts w:ascii="Palatino" w:hAnsi="Palatino"/>
        <w:sz w:val="18"/>
      </w:rPr>
      <w:fldChar w:fldCharType="end"/>
    </w:r>
  </w:p>
  <w:p w14:paraId="25A180CB" w14:textId="5B0899F4" w:rsidR="00CD7755" w:rsidRDefault="00CB7138" w:rsidP="00CD7755">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sidR="00CD7755">
      <w:rPr>
        <w:rFonts w:ascii="Palatino" w:hAnsi="Palatino"/>
        <w:sz w:val="18"/>
      </w:rPr>
      <w:tab/>
    </w:r>
    <w:r w:rsidR="00306B67">
      <w:rPr>
        <w:sz w:val="18"/>
        <w:szCs w:val="18"/>
      </w:rPr>
      <w:t xml:space="preserve"> </w:t>
    </w:r>
    <w:r>
      <w:rPr>
        <w:sz w:val="18"/>
        <w:szCs w:val="18"/>
      </w:rPr>
      <w:t xml:space="preserve">Rev. </w:t>
    </w:r>
    <w:r w:rsidR="00795B92">
      <w:rPr>
        <w:sz w:val="18"/>
        <w:szCs w:val="18"/>
      </w:rPr>
      <w:t>0</w:t>
    </w:r>
    <w:r w:rsidR="006C2C6F">
      <w:rPr>
        <w:sz w:val="18"/>
        <w:szCs w:val="18"/>
      </w:rPr>
      <w:t>1</w:t>
    </w:r>
    <w:r w:rsidR="00CD7755" w:rsidRPr="00A71082">
      <w:rPr>
        <w:sz w:val="18"/>
        <w:szCs w:val="18"/>
      </w:rPr>
      <w:t>/201</w:t>
    </w:r>
    <w:r w:rsidR="006C2C6F">
      <w:rPr>
        <w:sz w:val="18"/>
        <w:szCs w:val="18"/>
      </w:rPr>
      <w:t>7</w:t>
    </w:r>
    <w:r w:rsidR="00CD7755" w:rsidRPr="00A71082">
      <w:rPr>
        <w:rFonts w:ascii="Palatino" w:hAnsi="Palatino"/>
        <w:sz w:val="18"/>
        <w:szCs w:val="18"/>
      </w:rPr>
      <w:t xml:space="preserve"> </w:t>
    </w:r>
  </w:p>
  <w:p w14:paraId="3FD6A212" w14:textId="77777777" w:rsidR="0086083E" w:rsidRDefault="0086083E"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8145A77" w14:textId="77777777" w:rsidR="0086083E" w:rsidRPr="00B072B8" w:rsidRDefault="0086083E"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C5DD" w14:textId="27979219" w:rsidR="005F6C1E" w:rsidRDefault="007509A3" w:rsidP="00CD7755">
    <w:pPr>
      <w:pStyle w:val="Footer"/>
      <w:pBdr>
        <w:top w:val="single" w:sz="6" w:space="0" w:color="auto"/>
      </w:pBdr>
      <w:rPr>
        <w:rFonts w:ascii="Palatino" w:hAnsi="Palatino"/>
        <w:sz w:val="18"/>
      </w:rPr>
    </w:pPr>
    <w:r>
      <w:rPr>
        <w:i/>
        <w:sz w:val="18"/>
      </w:rPr>
      <w:t>Fermilab ES&amp;H Manual</w:t>
    </w:r>
    <w:r>
      <w:rPr>
        <w:i/>
        <w:sz w:val="18"/>
      </w:rPr>
      <w:tab/>
    </w:r>
    <w:r>
      <w:rPr>
        <w:i/>
        <w:sz w:val="18"/>
      </w:rPr>
      <w:tab/>
      <w:t>2110</w:t>
    </w:r>
    <w:r w:rsidR="00CE1C0F">
      <w:rPr>
        <w:i/>
        <w:sz w:val="18"/>
      </w:rPr>
      <w:t>-</w:t>
    </w:r>
    <w:r w:rsidR="005F6C1E">
      <w:rPr>
        <w:rFonts w:ascii="Palatino" w:hAnsi="Palatino"/>
        <w:sz w:val="18"/>
      </w:rPr>
      <w:t>-</w:t>
    </w:r>
    <w:r w:rsidR="005F6C1E">
      <w:rPr>
        <w:rFonts w:ascii="Palatino" w:hAnsi="Palatino"/>
        <w:sz w:val="18"/>
      </w:rPr>
      <w:fldChar w:fldCharType="begin"/>
    </w:r>
    <w:r w:rsidR="005F6C1E">
      <w:rPr>
        <w:rFonts w:ascii="Palatino" w:hAnsi="Palatino"/>
        <w:sz w:val="18"/>
      </w:rPr>
      <w:instrText xml:space="preserve"> PAGE  </w:instrText>
    </w:r>
    <w:r w:rsidR="005F6C1E">
      <w:rPr>
        <w:rFonts w:ascii="Palatino" w:hAnsi="Palatino"/>
        <w:sz w:val="18"/>
      </w:rPr>
      <w:fldChar w:fldCharType="separate"/>
    </w:r>
    <w:r w:rsidR="006C2C6F">
      <w:rPr>
        <w:rFonts w:ascii="Palatino" w:hAnsi="Palatino"/>
        <w:noProof/>
        <w:sz w:val="18"/>
      </w:rPr>
      <w:t>7</w:t>
    </w:r>
    <w:r w:rsidR="005F6C1E">
      <w:rPr>
        <w:rFonts w:ascii="Palatino" w:hAnsi="Palatino"/>
        <w:sz w:val="18"/>
      </w:rPr>
      <w:fldChar w:fldCharType="end"/>
    </w:r>
  </w:p>
  <w:p w14:paraId="2102555A" w14:textId="32747DF7" w:rsidR="005F6C1E" w:rsidRDefault="005F6C1E" w:rsidP="00CD7755">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sidR="00CE1C0F">
      <w:rPr>
        <w:sz w:val="18"/>
        <w:szCs w:val="18"/>
      </w:rPr>
      <w:t xml:space="preserve"> Rev. 0</w:t>
    </w:r>
    <w:r w:rsidR="006C2C6F">
      <w:rPr>
        <w:sz w:val="18"/>
        <w:szCs w:val="18"/>
      </w:rPr>
      <w:t>1</w:t>
    </w:r>
    <w:r w:rsidRPr="00A71082">
      <w:rPr>
        <w:sz w:val="18"/>
        <w:szCs w:val="18"/>
      </w:rPr>
      <w:t>/201</w:t>
    </w:r>
    <w:r w:rsidR="006C2C6F">
      <w:rPr>
        <w:sz w:val="18"/>
        <w:szCs w:val="18"/>
      </w:rPr>
      <w:t>7</w:t>
    </w:r>
    <w:r w:rsidRPr="00A71082">
      <w:rPr>
        <w:rFonts w:ascii="Palatino" w:hAnsi="Palatino"/>
        <w:sz w:val="18"/>
        <w:szCs w:val="18"/>
      </w:rPr>
      <w:t xml:space="preserve"> </w:t>
    </w:r>
  </w:p>
  <w:p w14:paraId="71911BA9" w14:textId="77777777" w:rsidR="005F6C1E" w:rsidRDefault="005F6C1E"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66DF048C" w14:textId="77777777" w:rsidR="005F6C1E" w:rsidRPr="00B072B8" w:rsidRDefault="005F6C1E"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CE2D7" w14:textId="77777777" w:rsidR="00B3018B" w:rsidRDefault="00B3018B" w:rsidP="00CB66DF">
      <w:r>
        <w:separator/>
      </w:r>
    </w:p>
  </w:footnote>
  <w:footnote w:type="continuationSeparator" w:id="0">
    <w:p w14:paraId="6AC78E54" w14:textId="77777777" w:rsidR="00B3018B" w:rsidRDefault="00B3018B"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3"/>
      <w:gridCol w:w="2733"/>
    </w:tblGrid>
    <w:tr w:rsidR="00DE7FC1" w:rsidRPr="00423E3B" w14:paraId="21D5CF44" w14:textId="77777777" w:rsidTr="00F0429B">
      <w:trPr>
        <w:trHeight w:val="611"/>
      </w:trPr>
      <w:tc>
        <w:tcPr>
          <w:tcW w:w="1490" w:type="dxa"/>
        </w:tcPr>
        <w:p w14:paraId="331684F5" w14:textId="77777777" w:rsidR="00DE7FC1" w:rsidRPr="00423E3B" w:rsidRDefault="00DE7FC1" w:rsidP="0086083E">
          <w:pPr>
            <w:jc w:val="center"/>
          </w:pPr>
          <w:r w:rsidRPr="00684839">
            <w:rPr>
              <w:noProof/>
            </w:rPr>
            <w:drawing>
              <wp:anchor distT="0" distB="0" distL="114300" distR="114300" simplePos="0" relativeHeight="251658240" behindDoc="0" locked="0" layoutInCell="1" allowOverlap="0" wp14:anchorId="0DAEA310" wp14:editId="7FB2620B">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1F78093" w14:textId="77777777" w:rsidR="00DE7FC1" w:rsidRPr="00141E0D" w:rsidRDefault="00DE7FC1" w:rsidP="0086083E">
          <w:pPr>
            <w:ind w:right="36"/>
            <w:jc w:val="center"/>
            <w:rPr>
              <w:b/>
              <w:color w:val="000000"/>
            </w:rPr>
          </w:pPr>
          <w:r>
            <w:t>ES&amp;H Manual</w:t>
          </w:r>
        </w:p>
      </w:tc>
      <w:tc>
        <w:tcPr>
          <w:tcW w:w="3188" w:type="dxa"/>
          <w:vAlign w:val="center"/>
        </w:tcPr>
        <w:p w14:paraId="0F0C4B84" w14:textId="3F4210E9" w:rsidR="00DE7FC1" w:rsidRPr="00423E3B" w:rsidRDefault="007509A3" w:rsidP="00A121A6">
          <w:pPr>
            <w:jc w:val="center"/>
          </w:pPr>
          <w:r>
            <w:t>FESHM 2110</w:t>
          </w:r>
        </w:p>
        <w:p w14:paraId="65B9BEB3" w14:textId="3DE8818A" w:rsidR="00DE7FC1" w:rsidRPr="00423E3B" w:rsidRDefault="006C2C6F" w:rsidP="005108E3">
          <w:pPr>
            <w:jc w:val="center"/>
          </w:pPr>
          <w:r>
            <w:t>January</w:t>
          </w:r>
          <w:r w:rsidR="00044D19">
            <w:t xml:space="preserve"> </w:t>
          </w:r>
          <w:r w:rsidR="00DE7FC1">
            <w:t>201</w:t>
          </w:r>
          <w:r>
            <w:t>7</w:t>
          </w:r>
        </w:p>
      </w:tc>
    </w:tr>
  </w:tbl>
  <w:p w14:paraId="227D2F4F" w14:textId="77777777" w:rsidR="0086083E" w:rsidRDefault="0086083E"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3"/>
      <w:gridCol w:w="2733"/>
    </w:tblGrid>
    <w:tr w:rsidR="005F6C1E" w:rsidRPr="00423E3B" w14:paraId="2A8066D0" w14:textId="77777777" w:rsidTr="00F0429B">
      <w:trPr>
        <w:trHeight w:val="611"/>
      </w:trPr>
      <w:tc>
        <w:tcPr>
          <w:tcW w:w="1490" w:type="dxa"/>
        </w:tcPr>
        <w:p w14:paraId="5F44EA72" w14:textId="77777777" w:rsidR="005F6C1E" w:rsidRPr="00423E3B" w:rsidRDefault="005F6C1E" w:rsidP="0086083E">
          <w:pPr>
            <w:jc w:val="center"/>
          </w:pPr>
          <w:r w:rsidRPr="00684839">
            <w:rPr>
              <w:noProof/>
            </w:rPr>
            <w:drawing>
              <wp:anchor distT="0" distB="0" distL="114300" distR="114300" simplePos="0" relativeHeight="251662336" behindDoc="0" locked="0" layoutInCell="1" allowOverlap="0" wp14:anchorId="5609BD0C" wp14:editId="4EA64D53">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1E313A4" w14:textId="77777777" w:rsidR="005F6C1E" w:rsidRPr="00141E0D" w:rsidRDefault="005F6C1E" w:rsidP="0086083E">
          <w:pPr>
            <w:ind w:right="36"/>
            <w:jc w:val="center"/>
            <w:rPr>
              <w:b/>
              <w:color w:val="000000"/>
            </w:rPr>
          </w:pPr>
          <w:r>
            <w:t>ES&amp;H Manual</w:t>
          </w:r>
        </w:p>
      </w:tc>
      <w:tc>
        <w:tcPr>
          <w:tcW w:w="3188" w:type="dxa"/>
          <w:vAlign w:val="center"/>
        </w:tcPr>
        <w:p w14:paraId="2F7580ED" w14:textId="1F505AE9" w:rsidR="005F6C1E" w:rsidRPr="00423E3B" w:rsidRDefault="007509A3" w:rsidP="00A121A6">
          <w:pPr>
            <w:jc w:val="center"/>
          </w:pPr>
          <w:r>
            <w:t>FESHM 2110</w:t>
          </w:r>
          <w:r w:rsidR="00CE1C0F">
            <w:t xml:space="preserve"> </w:t>
          </w:r>
        </w:p>
        <w:p w14:paraId="49DFD1CC" w14:textId="50E6C190" w:rsidR="005F6C1E" w:rsidRPr="00423E3B" w:rsidRDefault="006C2C6F" w:rsidP="006C2C6F">
          <w:pPr>
            <w:jc w:val="center"/>
          </w:pPr>
          <w:r>
            <w:t>January</w:t>
          </w:r>
          <w:r w:rsidR="00C87DED">
            <w:t xml:space="preserve"> 201</w:t>
          </w:r>
          <w:r>
            <w:t>7</w:t>
          </w:r>
        </w:p>
      </w:tc>
    </w:tr>
  </w:tbl>
  <w:p w14:paraId="1AF4FC07" w14:textId="77777777" w:rsidR="005F6C1E" w:rsidRDefault="005F6C1E"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7807EC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40A"/>
    <w:multiLevelType w:val="multilevel"/>
    <w:tmpl w:val="0000088D"/>
    <w:lvl w:ilvl="0">
      <w:start w:val="3"/>
      <w:numFmt w:val="decimal"/>
      <w:lvlText w:val="%1"/>
      <w:lvlJc w:val="left"/>
      <w:pPr>
        <w:ind w:left="870" w:hanging="719"/>
      </w:pPr>
    </w:lvl>
    <w:lvl w:ilvl="1">
      <w:start w:val="1"/>
      <w:numFmt w:val="decimal"/>
      <w:lvlText w:val="%1.%2"/>
      <w:lvlJc w:val="left"/>
      <w:pPr>
        <w:ind w:left="870" w:hanging="719"/>
      </w:pPr>
      <w:rPr>
        <w:rFonts w:ascii="Arial" w:hAnsi="Arial" w:cs="Arial"/>
        <w:b/>
        <w:bCs/>
        <w:spacing w:val="-1"/>
        <w:w w:val="99"/>
        <w:sz w:val="28"/>
        <w:szCs w:val="28"/>
      </w:rPr>
    </w:lvl>
    <w:lvl w:ilvl="2">
      <w:numFmt w:val="bullet"/>
      <w:lvlText w:val=""/>
      <w:lvlJc w:val="left"/>
      <w:pPr>
        <w:ind w:left="872" w:hanging="360"/>
      </w:pPr>
      <w:rPr>
        <w:rFonts w:ascii="Symbol" w:hAnsi="Symbol" w:cs="Symbol"/>
        <w:b w:val="0"/>
        <w:bCs w:val="0"/>
        <w:w w:val="99"/>
        <w:sz w:val="20"/>
        <w:szCs w:val="20"/>
      </w:rPr>
    </w:lvl>
    <w:lvl w:ilvl="3">
      <w:numFmt w:val="bullet"/>
      <w:lvlText w:val="•"/>
      <w:lvlJc w:val="left"/>
      <w:pPr>
        <w:ind w:left="2816" w:hanging="360"/>
      </w:pPr>
    </w:lvl>
    <w:lvl w:ilvl="4">
      <w:numFmt w:val="bullet"/>
      <w:lvlText w:val="•"/>
      <w:lvlJc w:val="left"/>
      <w:pPr>
        <w:ind w:left="3788" w:hanging="360"/>
      </w:pPr>
    </w:lvl>
    <w:lvl w:ilvl="5">
      <w:numFmt w:val="bullet"/>
      <w:lvlText w:val="•"/>
      <w:lvlJc w:val="left"/>
      <w:pPr>
        <w:ind w:left="4760" w:hanging="360"/>
      </w:pPr>
    </w:lvl>
    <w:lvl w:ilvl="6">
      <w:numFmt w:val="bullet"/>
      <w:lvlText w:val="•"/>
      <w:lvlJc w:val="left"/>
      <w:pPr>
        <w:ind w:left="5732" w:hanging="360"/>
      </w:pPr>
    </w:lvl>
    <w:lvl w:ilvl="7">
      <w:numFmt w:val="bullet"/>
      <w:lvlText w:val="•"/>
      <w:lvlJc w:val="left"/>
      <w:pPr>
        <w:ind w:left="6704" w:hanging="360"/>
      </w:pPr>
    </w:lvl>
    <w:lvl w:ilvl="8">
      <w:numFmt w:val="bullet"/>
      <w:lvlText w:val="•"/>
      <w:lvlJc w:val="left"/>
      <w:pPr>
        <w:ind w:left="7676" w:hanging="360"/>
      </w:pPr>
    </w:lvl>
  </w:abstractNum>
  <w:abstractNum w:abstractNumId="4" w15:restartNumberingAfterBreak="0">
    <w:nsid w:val="0140330D"/>
    <w:multiLevelType w:val="hybridMultilevel"/>
    <w:tmpl w:val="69BA8F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49323C9"/>
    <w:multiLevelType w:val="hybridMultilevel"/>
    <w:tmpl w:val="3110AD3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01060C"/>
    <w:multiLevelType w:val="hybridMultilevel"/>
    <w:tmpl w:val="47FACDA2"/>
    <w:lvl w:ilvl="0" w:tplc="F7BEBC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F43DD"/>
    <w:multiLevelType w:val="hybridMultilevel"/>
    <w:tmpl w:val="7220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D7E05"/>
    <w:multiLevelType w:val="hybridMultilevel"/>
    <w:tmpl w:val="582ADC32"/>
    <w:lvl w:ilvl="0" w:tplc="000F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159640E1"/>
    <w:multiLevelType w:val="hybridMultilevel"/>
    <w:tmpl w:val="776E3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AE5482"/>
    <w:multiLevelType w:val="hybridMultilevel"/>
    <w:tmpl w:val="81041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04B6C"/>
    <w:multiLevelType w:val="hybridMultilevel"/>
    <w:tmpl w:val="BC686092"/>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15:restartNumberingAfterBreak="0">
    <w:nsid w:val="1A642D0D"/>
    <w:multiLevelType w:val="hybridMultilevel"/>
    <w:tmpl w:val="91284856"/>
    <w:lvl w:ilvl="0" w:tplc="0409000F">
      <w:start w:val="1"/>
      <w:numFmt w:val="decimal"/>
      <w:lvlText w:val="%1."/>
      <w:lvlJc w:val="left"/>
      <w:pPr>
        <w:tabs>
          <w:tab w:val="num" w:pos="780"/>
        </w:tabs>
        <w:ind w:left="780" w:hanging="360"/>
      </w:pPr>
      <w:rPr>
        <w:rFonts w:hint="default"/>
      </w:rPr>
    </w:lvl>
    <w:lvl w:ilvl="1" w:tplc="613214B2">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0F05E14"/>
    <w:multiLevelType w:val="hybridMultilevel"/>
    <w:tmpl w:val="8DCEBB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1754802"/>
    <w:multiLevelType w:val="hybridMultilevel"/>
    <w:tmpl w:val="85B017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3723F2"/>
    <w:multiLevelType w:val="hybridMultilevel"/>
    <w:tmpl w:val="7B2E26E2"/>
    <w:lvl w:ilvl="0" w:tplc="D59A103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D168B7"/>
    <w:multiLevelType w:val="hybridMultilevel"/>
    <w:tmpl w:val="0140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65DF2"/>
    <w:multiLevelType w:val="hybridMultilevel"/>
    <w:tmpl w:val="C2C22522"/>
    <w:lvl w:ilvl="0" w:tplc="A6766F5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95989"/>
    <w:multiLevelType w:val="hybridMultilevel"/>
    <w:tmpl w:val="72187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F21904"/>
    <w:multiLevelType w:val="hybridMultilevel"/>
    <w:tmpl w:val="A6DEFC0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CD44FE7"/>
    <w:multiLevelType w:val="hybridMultilevel"/>
    <w:tmpl w:val="3D3CB49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3DED6AC0"/>
    <w:multiLevelType w:val="hybridMultilevel"/>
    <w:tmpl w:val="1EA29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905E7E"/>
    <w:multiLevelType w:val="hybridMultilevel"/>
    <w:tmpl w:val="A24E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6" w15:restartNumberingAfterBreak="0">
    <w:nsid w:val="42E218F5"/>
    <w:multiLevelType w:val="hybridMultilevel"/>
    <w:tmpl w:val="10EC8058"/>
    <w:lvl w:ilvl="0" w:tplc="E778A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8" w15:restartNumberingAfterBreak="0">
    <w:nsid w:val="48AC427A"/>
    <w:multiLevelType w:val="hybridMultilevel"/>
    <w:tmpl w:val="F26CB412"/>
    <w:lvl w:ilvl="0" w:tplc="651AEC8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CDD7B94"/>
    <w:multiLevelType w:val="hybridMultilevel"/>
    <w:tmpl w:val="7A081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C7000C"/>
    <w:multiLevelType w:val="hybridMultilevel"/>
    <w:tmpl w:val="6AA6C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32344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4957F5D"/>
    <w:multiLevelType w:val="hybridMultilevel"/>
    <w:tmpl w:val="B7246A30"/>
    <w:lvl w:ilvl="0" w:tplc="0409000F">
      <w:start w:val="1"/>
      <w:numFmt w:val="decimal"/>
      <w:lvlText w:val="%1."/>
      <w:lvlJc w:val="left"/>
      <w:pPr>
        <w:tabs>
          <w:tab w:val="num" w:pos="720"/>
        </w:tabs>
        <w:ind w:left="720" w:hanging="360"/>
      </w:pPr>
    </w:lvl>
    <w:lvl w:ilvl="1" w:tplc="3B42BAB2">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5" w15:restartNumberingAfterBreak="0">
    <w:nsid w:val="7B1C3A81"/>
    <w:multiLevelType w:val="hybridMultilevel"/>
    <w:tmpl w:val="58A8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876620"/>
    <w:multiLevelType w:val="hybridMultilevel"/>
    <w:tmpl w:val="3A484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6091F"/>
    <w:multiLevelType w:val="hybridMultilevel"/>
    <w:tmpl w:val="381E5810"/>
    <w:lvl w:ilvl="0" w:tplc="81DEE6FA">
      <w:start w:val="1"/>
      <w:numFmt w:val="low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7F1469D1"/>
    <w:multiLevelType w:val="hybridMultilevel"/>
    <w:tmpl w:val="8208D9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27"/>
  </w:num>
  <w:num w:numId="3">
    <w:abstractNumId w:val="25"/>
  </w:num>
  <w:num w:numId="4">
    <w:abstractNumId w:val="6"/>
  </w:num>
  <w:num w:numId="5">
    <w:abstractNumId w:val="29"/>
  </w:num>
  <w:num w:numId="6">
    <w:abstractNumId w:val="2"/>
  </w:num>
  <w:num w:numId="7">
    <w:abstractNumId w:val="1"/>
  </w:num>
  <w:num w:numId="8">
    <w:abstractNumId w:val="23"/>
  </w:num>
  <w:num w:numId="9">
    <w:abstractNumId w:val="26"/>
  </w:num>
  <w:num w:numId="10">
    <w:abstractNumId w:val="13"/>
  </w:num>
  <w:num w:numId="11">
    <w:abstractNumId w:val="5"/>
  </w:num>
  <w:num w:numId="12">
    <w:abstractNumId w:val="31"/>
  </w:num>
  <w:num w:numId="13">
    <w:abstractNumId w:val="12"/>
  </w:num>
  <w:num w:numId="14">
    <w:abstractNumId w:val="19"/>
  </w:num>
  <w:num w:numId="15">
    <w:abstractNumId w:val="33"/>
  </w:num>
  <w:num w:numId="16">
    <w:abstractNumId w:val="35"/>
  </w:num>
  <w:num w:numId="17">
    <w:abstractNumId w:val="36"/>
  </w:num>
  <w:num w:numId="18">
    <w:abstractNumId w:val="22"/>
  </w:num>
  <w:num w:numId="19">
    <w:abstractNumId w:val="16"/>
  </w:num>
  <w:num w:numId="20">
    <w:abstractNumId w:val="9"/>
  </w:num>
  <w:num w:numId="21">
    <w:abstractNumId w:val="37"/>
  </w:num>
  <w:num w:numId="22">
    <w:abstractNumId w:val="14"/>
  </w:num>
  <w:num w:numId="23">
    <w:abstractNumId w:val="7"/>
  </w:num>
  <w:num w:numId="24">
    <w:abstractNumId w:val="4"/>
  </w:num>
  <w:num w:numId="25">
    <w:abstractNumId w:val="30"/>
  </w:num>
  <w:num w:numId="26">
    <w:abstractNumId w:val="38"/>
  </w:num>
  <w:num w:numId="27">
    <w:abstractNumId w:val="11"/>
  </w:num>
  <w:num w:numId="28">
    <w:abstractNumId w:val="32"/>
  </w:num>
  <w:num w:numId="29">
    <w:abstractNumId w:val="0"/>
  </w:num>
  <w:num w:numId="30">
    <w:abstractNumId w:val="15"/>
  </w:num>
  <w:num w:numId="31">
    <w:abstractNumId w:val="28"/>
  </w:num>
  <w:num w:numId="32">
    <w:abstractNumId w:val="10"/>
  </w:num>
  <w:num w:numId="33">
    <w:abstractNumId w:val="20"/>
  </w:num>
  <w:num w:numId="34">
    <w:abstractNumId w:val="8"/>
  </w:num>
  <w:num w:numId="35">
    <w:abstractNumId w:val="18"/>
  </w:num>
  <w:num w:numId="36">
    <w:abstractNumId w:val="21"/>
  </w:num>
  <w:num w:numId="37">
    <w:abstractNumId w:val="24"/>
  </w:num>
  <w:num w:numId="38">
    <w:abstractNumId w:val="3"/>
  </w:num>
  <w:num w:numId="3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12BF"/>
    <w:rsid w:val="00002DAB"/>
    <w:rsid w:val="000037AA"/>
    <w:rsid w:val="00006D6F"/>
    <w:rsid w:val="0000707A"/>
    <w:rsid w:val="0000745E"/>
    <w:rsid w:val="000116E7"/>
    <w:rsid w:val="00011BF7"/>
    <w:rsid w:val="00012A8C"/>
    <w:rsid w:val="000151E7"/>
    <w:rsid w:val="0001715A"/>
    <w:rsid w:val="00021BF3"/>
    <w:rsid w:val="00023346"/>
    <w:rsid w:val="00023D05"/>
    <w:rsid w:val="00024182"/>
    <w:rsid w:val="00025437"/>
    <w:rsid w:val="00025547"/>
    <w:rsid w:val="0002606F"/>
    <w:rsid w:val="00026D89"/>
    <w:rsid w:val="00026EB9"/>
    <w:rsid w:val="000272AF"/>
    <w:rsid w:val="00030BD7"/>
    <w:rsid w:val="000315E2"/>
    <w:rsid w:val="000324A4"/>
    <w:rsid w:val="00033747"/>
    <w:rsid w:val="00040EF5"/>
    <w:rsid w:val="0004185F"/>
    <w:rsid w:val="000423BC"/>
    <w:rsid w:val="00043D21"/>
    <w:rsid w:val="00044D19"/>
    <w:rsid w:val="000456A0"/>
    <w:rsid w:val="0004683B"/>
    <w:rsid w:val="00047208"/>
    <w:rsid w:val="000503E9"/>
    <w:rsid w:val="000524B8"/>
    <w:rsid w:val="000544A6"/>
    <w:rsid w:val="000563DD"/>
    <w:rsid w:val="00056DB6"/>
    <w:rsid w:val="000578BB"/>
    <w:rsid w:val="00057927"/>
    <w:rsid w:val="00060903"/>
    <w:rsid w:val="00061473"/>
    <w:rsid w:val="000629F3"/>
    <w:rsid w:val="00063F1F"/>
    <w:rsid w:val="00064C91"/>
    <w:rsid w:val="00065AC6"/>
    <w:rsid w:val="00067622"/>
    <w:rsid w:val="00071B76"/>
    <w:rsid w:val="00071D86"/>
    <w:rsid w:val="000753FB"/>
    <w:rsid w:val="00077A12"/>
    <w:rsid w:val="00077CC7"/>
    <w:rsid w:val="0008004A"/>
    <w:rsid w:val="0008019F"/>
    <w:rsid w:val="000811FA"/>
    <w:rsid w:val="0008360F"/>
    <w:rsid w:val="00084029"/>
    <w:rsid w:val="000843FD"/>
    <w:rsid w:val="00084E8E"/>
    <w:rsid w:val="00087098"/>
    <w:rsid w:val="00087650"/>
    <w:rsid w:val="000903AC"/>
    <w:rsid w:val="0009048F"/>
    <w:rsid w:val="00092162"/>
    <w:rsid w:val="00092598"/>
    <w:rsid w:val="00092AF3"/>
    <w:rsid w:val="00093370"/>
    <w:rsid w:val="0009599A"/>
    <w:rsid w:val="00095A16"/>
    <w:rsid w:val="00095F25"/>
    <w:rsid w:val="00096281"/>
    <w:rsid w:val="000967BA"/>
    <w:rsid w:val="000A0153"/>
    <w:rsid w:val="000A3E0D"/>
    <w:rsid w:val="000A425D"/>
    <w:rsid w:val="000A5E66"/>
    <w:rsid w:val="000B0E2E"/>
    <w:rsid w:val="000B1B47"/>
    <w:rsid w:val="000B1B65"/>
    <w:rsid w:val="000B24C5"/>
    <w:rsid w:val="000B4729"/>
    <w:rsid w:val="000B6364"/>
    <w:rsid w:val="000B6567"/>
    <w:rsid w:val="000B6B6E"/>
    <w:rsid w:val="000C067F"/>
    <w:rsid w:val="000C0F6D"/>
    <w:rsid w:val="000C4E23"/>
    <w:rsid w:val="000C4FB0"/>
    <w:rsid w:val="000C5636"/>
    <w:rsid w:val="000C6331"/>
    <w:rsid w:val="000C71AD"/>
    <w:rsid w:val="000C7994"/>
    <w:rsid w:val="000C7EF2"/>
    <w:rsid w:val="000D046F"/>
    <w:rsid w:val="000D13EB"/>
    <w:rsid w:val="000D1567"/>
    <w:rsid w:val="000D19A3"/>
    <w:rsid w:val="000D30D7"/>
    <w:rsid w:val="000D43A1"/>
    <w:rsid w:val="000D4910"/>
    <w:rsid w:val="000D4BCA"/>
    <w:rsid w:val="000D7FF2"/>
    <w:rsid w:val="000E2AF0"/>
    <w:rsid w:val="000E3625"/>
    <w:rsid w:val="000E7618"/>
    <w:rsid w:val="000F2DBD"/>
    <w:rsid w:val="000F55CC"/>
    <w:rsid w:val="000F5EFC"/>
    <w:rsid w:val="000F73F8"/>
    <w:rsid w:val="00100751"/>
    <w:rsid w:val="001018F5"/>
    <w:rsid w:val="00102003"/>
    <w:rsid w:val="0010257B"/>
    <w:rsid w:val="001033FA"/>
    <w:rsid w:val="001034A8"/>
    <w:rsid w:val="00103CFC"/>
    <w:rsid w:val="00111D51"/>
    <w:rsid w:val="00112583"/>
    <w:rsid w:val="00112AE3"/>
    <w:rsid w:val="00113419"/>
    <w:rsid w:val="001160E1"/>
    <w:rsid w:val="001201C7"/>
    <w:rsid w:val="00120D5B"/>
    <w:rsid w:val="00120D90"/>
    <w:rsid w:val="00121965"/>
    <w:rsid w:val="00124813"/>
    <w:rsid w:val="00130521"/>
    <w:rsid w:val="00130724"/>
    <w:rsid w:val="00131A6B"/>
    <w:rsid w:val="00134BF4"/>
    <w:rsid w:val="00134F2E"/>
    <w:rsid w:val="0013556F"/>
    <w:rsid w:val="001358C6"/>
    <w:rsid w:val="00135D98"/>
    <w:rsid w:val="0013716E"/>
    <w:rsid w:val="001377F4"/>
    <w:rsid w:val="001413CF"/>
    <w:rsid w:val="00141A7B"/>
    <w:rsid w:val="00141E0D"/>
    <w:rsid w:val="00142414"/>
    <w:rsid w:val="00142C80"/>
    <w:rsid w:val="001435A9"/>
    <w:rsid w:val="0014589B"/>
    <w:rsid w:val="001460E1"/>
    <w:rsid w:val="00147228"/>
    <w:rsid w:val="00150968"/>
    <w:rsid w:val="00153337"/>
    <w:rsid w:val="00153A7B"/>
    <w:rsid w:val="001545C6"/>
    <w:rsid w:val="001553D8"/>
    <w:rsid w:val="00155AFD"/>
    <w:rsid w:val="00156784"/>
    <w:rsid w:val="00162F78"/>
    <w:rsid w:val="001638A8"/>
    <w:rsid w:val="001641AD"/>
    <w:rsid w:val="00164528"/>
    <w:rsid w:val="00164868"/>
    <w:rsid w:val="00164B23"/>
    <w:rsid w:val="001671F2"/>
    <w:rsid w:val="001675C4"/>
    <w:rsid w:val="00167D53"/>
    <w:rsid w:val="00167EFC"/>
    <w:rsid w:val="001727E1"/>
    <w:rsid w:val="00173293"/>
    <w:rsid w:val="00173A2F"/>
    <w:rsid w:val="00175BCA"/>
    <w:rsid w:val="00177097"/>
    <w:rsid w:val="00177CD0"/>
    <w:rsid w:val="00180D9E"/>
    <w:rsid w:val="00181736"/>
    <w:rsid w:val="00181C2B"/>
    <w:rsid w:val="00182587"/>
    <w:rsid w:val="00183004"/>
    <w:rsid w:val="00186E0B"/>
    <w:rsid w:val="00187F2A"/>
    <w:rsid w:val="0019249C"/>
    <w:rsid w:val="00192D5D"/>
    <w:rsid w:val="00192E29"/>
    <w:rsid w:val="0019445E"/>
    <w:rsid w:val="00194594"/>
    <w:rsid w:val="001951AE"/>
    <w:rsid w:val="00195AF3"/>
    <w:rsid w:val="00196CE0"/>
    <w:rsid w:val="001973B6"/>
    <w:rsid w:val="001A2707"/>
    <w:rsid w:val="001A2CF3"/>
    <w:rsid w:val="001A2D45"/>
    <w:rsid w:val="001A3403"/>
    <w:rsid w:val="001A63A1"/>
    <w:rsid w:val="001A74A8"/>
    <w:rsid w:val="001B269F"/>
    <w:rsid w:val="001B30EE"/>
    <w:rsid w:val="001B33CF"/>
    <w:rsid w:val="001B4919"/>
    <w:rsid w:val="001B5668"/>
    <w:rsid w:val="001B5812"/>
    <w:rsid w:val="001B623B"/>
    <w:rsid w:val="001B6675"/>
    <w:rsid w:val="001B6A20"/>
    <w:rsid w:val="001C167C"/>
    <w:rsid w:val="001C3AB2"/>
    <w:rsid w:val="001D4317"/>
    <w:rsid w:val="001D435E"/>
    <w:rsid w:val="001D7801"/>
    <w:rsid w:val="001E20EF"/>
    <w:rsid w:val="001E3FC1"/>
    <w:rsid w:val="001E4839"/>
    <w:rsid w:val="001E4A8A"/>
    <w:rsid w:val="001E7609"/>
    <w:rsid w:val="001F0772"/>
    <w:rsid w:val="001F1126"/>
    <w:rsid w:val="001F1994"/>
    <w:rsid w:val="001F1FA5"/>
    <w:rsid w:val="001F36C2"/>
    <w:rsid w:val="001F38CB"/>
    <w:rsid w:val="001F3CEC"/>
    <w:rsid w:val="001F4FBF"/>
    <w:rsid w:val="001F6F81"/>
    <w:rsid w:val="002021BF"/>
    <w:rsid w:val="002024AE"/>
    <w:rsid w:val="002028EB"/>
    <w:rsid w:val="00203E01"/>
    <w:rsid w:val="002070AE"/>
    <w:rsid w:val="002078BB"/>
    <w:rsid w:val="00207EAC"/>
    <w:rsid w:val="00210CB6"/>
    <w:rsid w:val="002149DE"/>
    <w:rsid w:val="002169FD"/>
    <w:rsid w:val="0022039C"/>
    <w:rsid w:val="002206D0"/>
    <w:rsid w:val="00221181"/>
    <w:rsid w:val="00224423"/>
    <w:rsid w:val="00225EB0"/>
    <w:rsid w:val="00230C9C"/>
    <w:rsid w:val="00231245"/>
    <w:rsid w:val="00232BF4"/>
    <w:rsid w:val="00235741"/>
    <w:rsid w:val="0023600A"/>
    <w:rsid w:val="00237834"/>
    <w:rsid w:val="00240A0C"/>
    <w:rsid w:val="00241C70"/>
    <w:rsid w:val="002423A5"/>
    <w:rsid w:val="0024305F"/>
    <w:rsid w:val="00243AAE"/>
    <w:rsid w:val="002441F5"/>
    <w:rsid w:val="0024447E"/>
    <w:rsid w:val="0024485E"/>
    <w:rsid w:val="00244E31"/>
    <w:rsid w:val="002452C2"/>
    <w:rsid w:val="002454C0"/>
    <w:rsid w:val="002537CB"/>
    <w:rsid w:val="00256813"/>
    <w:rsid w:val="00257F0B"/>
    <w:rsid w:val="00260B8F"/>
    <w:rsid w:val="00263F3B"/>
    <w:rsid w:val="00265ED9"/>
    <w:rsid w:val="00266C7B"/>
    <w:rsid w:val="00267A46"/>
    <w:rsid w:val="0027236C"/>
    <w:rsid w:val="0027397C"/>
    <w:rsid w:val="0027613C"/>
    <w:rsid w:val="00276AB1"/>
    <w:rsid w:val="0028562B"/>
    <w:rsid w:val="00285A6D"/>
    <w:rsid w:val="00285CFC"/>
    <w:rsid w:val="00287B68"/>
    <w:rsid w:val="002900AF"/>
    <w:rsid w:val="00290DEC"/>
    <w:rsid w:val="00295187"/>
    <w:rsid w:val="00295D6F"/>
    <w:rsid w:val="0029668C"/>
    <w:rsid w:val="002A08B6"/>
    <w:rsid w:val="002A1E2F"/>
    <w:rsid w:val="002A6EDC"/>
    <w:rsid w:val="002A71D3"/>
    <w:rsid w:val="002B0B0A"/>
    <w:rsid w:val="002B107E"/>
    <w:rsid w:val="002B2D45"/>
    <w:rsid w:val="002B4274"/>
    <w:rsid w:val="002B551D"/>
    <w:rsid w:val="002B5B37"/>
    <w:rsid w:val="002C2CF5"/>
    <w:rsid w:val="002C6992"/>
    <w:rsid w:val="002C718E"/>
    <w:rsid w:val="002D028E"/>
    <w:rsid w:val="002D175B"/>
    <w:rsid w:val="002D19E5"/>
    <w:rsid w:val="002D2A16"/>
    <w:rsid w:val="002D59DB"/>
    <w:rsid w:val="002D7124"/>
    <w:rsid w:val="002E07D9"/>
    <w:rsid w:val="002E2986"/>
    <w:rsid w:val="002E3E18"/>
    <w:rsid w:val="002E47B2"/>
    <w:rsid w:val="002E5369"/>
    <w:rsid w:val="002E59FA"/>
    <w:rsid w:val="002E707A"/>
    <w:rsid w:val="002E7240"/>
    <w:rsid w:val="002F0968"/>
    <w:rsid w:val="002F0C68"/>
    <w:rsid w:val="002F1773"/>
    <w:rsid w:val="002F2503"/>
    <w:rsid w:val="002F2AA2"/>
    <w:rsid w:val="002F56F7"/>
    <w:rsid w:val="002F6595"/>
    <w:rsid w:val="002F71D7"/>
    <w:rsid w:val="003048EB"/>
    <w:rsid w:val="003064C6"/>
    <w:rsid w:val="00306B67"/>
    <w:rsid w:val="003108FF"/>
    <w:rsid w:val="0031189E"/>
    <w:rsid w:val="00311D13"/>
    <w:rsid w:val="003129BC"/>
    <w:rsid w:val="00313C35"/>
    <w:rsid w:val="003141B1"/>
    <w:rsid w:val="00317AF3"/>
    <w:rsid w:val="00320751"/>
    <w:rsid w:val="00320BE0"/>
    <w:rsid w:val="00321C54"/>
    <w:rsid w:val="00321CC4"/>
    <w:rsid w:val="00324707"/>
    <w:rsid w:val="003314AE"/>
    <w:rsid w:val="00331B7E"/>
    <w:rsid w:val="00332899"/>
    <w:rsid w:val="00332CE2"/>
    <w:rsid w:val="00333547"/>
    <w:rsid w:val="00334102"/>
    <w:rsid w:val="0033452E"/>
    <w:rsid w:val="00334D1F"/>
    <w:rsid w:val="00336459"/>
    <w:rsid w:val="00336470"/>
    <w:rsid w:val="0033704A"/>
    <w:rsid w:val="00337897"/>
    <w:rsid w:val="00337B75"/>
    <w:rsid w:val="003413F8"/>
    <w:rsid w:val="00341753"/>
    <w:rsid w:val="003422ED"/>
    <w:rsid w:val="00342FDF"/>
    <w:rsid w:val="003447F8"/>
    <w:rsid w:val="0034499D"/>
    <w:rsid w:val="00346B84"/>
    <w:rsid w:val="003477BB"/>
    <w:rsid w:val="00351F78"/>
    <w:rsid w:val="00352848"/>
    <w:rsid w:val="003559A3"/>
    <w:rsid w:val="00355F6A"/>
    <w:rsid w:val="00361AC4"/>
    <w:rsid w:val="00365CB6"/>
    <w:rsid w:val="00366440"/>
    <w:rsid w:val="00366ED2"/>
    <w:rsid w:val="0036718E"/>
    <w:rsid w:val="00370122"/>
    <w:rsid w:val="00371A11"/>
    <w:rsid w:val="00373B2D"/>
    <w:rsid w:val="003741B9"/>
    <w:rsid w:val="00375FF1"/>
    <w:rsid w:val="00380ED8"/>
    <w:rsid w:val="003818FD"/>
    <w:rsid w:val="00384B57"/>
    <w:rsid w:val="00385246"/>
    <w:rsid w:val="00385787"/>
    <w:rsid w:val="0039062C"/>
    <w:rsid w:val="003906BB"/>
    <w:rsid w:val="00391101"/>
    <w:rsid w:val="00391326"/>
    <w:rsid w:val="003913FD"/>
    <w:rsid w:val="00394948"/>
    <w:rsid w:val="00394C03"/>
    <w:rsid w:val="003A0BA7"/>
    <w:rsid w:val="003A1E88"/>
    <w:rsid w:val="003A2C85"/>
    <w:rsid w:val="003A2E91"/>
    <w:rsid w:val="003A531C"/>
    <w:rsid w:val="003A5AC0"/>
    <w:rsid w:val="003A7A38"/>
    <w:rsid w:val="003B0201"/>
    <w:rsid w:val="003B04C6"/>
    <w:rsid w:val="003B0790"/>
    <w:rsid w:val="003B4D3D"/>
    <w:rsid w:val="003B55B0"/>
    <w:rsid w:val="003B5E43"/>
    <w:rsid w:val="003B62C9"/>
    <w:rsid w:val="003B6782"/>
    <w:rsid w:val="003B6862"/>
    <w:rsid w:val="003B706C"/>
    <w:rsid w:val="003C0001"/>
    <w:rsid w:val="003C016F"/>
    <w:rsid w:val="003C08A3"/>
    <w:rsid w:val="003C1B54"/>
    <w:rsid w:val="003C1BB1"/>
    <w:rsid w:val="003C1FDE"/>
    <w:rsid w:val="003C37A6"/>
    <w:rsid w:val="003C4CE1"/>
    <w:rsid w:val="003C4FA1"/>
    <w:rsid w:val="003C53DE"/>
    <w:rsid w:val="003C5ADD"/>
    <w:rsid w:val="003D0967"/>
    <w:rsid w:val="003D219A"/>
    <w:rsid w:val="003D685E"/>
    <w:rsid w:val="003E0245"/>
    <w:rsid w:val="003E1F9A"/>
    <w:rsid w:val="003E2680"/>
    <w:rsid w:val="003E2A77"/>
    <w:rsid w:val="003E2C27"/>
    <w:rsid w:val="003E2CCD"/>
    <w:rsid w:val="003E5207"/>
    <w:rsid w:val="003E5372"/>
    <w:rsid w:val="003E613E"/>
    <w:rsid w:val="003E62C5"/>
    <w:rsid w:val="003F0220"/>
    <w:rsid w:val="003F09C1"/>
    <w:rsid w:val="003F2636"/>
    <w:rsid w:val="003F2D5E"/>
    <w:rsid w:val="003F4F93"/>
    <w:rsid w:val="003F5679"/>
    <w:rsid w:val="003F71F9"/>
    <w:rsid w:val="003F760F"/>
    <w:rsid w:val="00401546"/>
    <w:rsid w:val="00402787"/>
    <w:rsid w:val="0040419E"/>
    <w:rsid w:val="00404230"/>
    <w:rsid w:val="004049E6"/>
    <w:rsid w:val="00406BE2"/>
    <w:rsid w:val="004076BC"/>
    <w:rsid w:val="00407DDC"/>
    <w:rsid w:val="00411AB0"/>
    <w:rsid w:val="00411E81"/>
    <w:rsid w:val="00412AEF"/>
    <w:rsid w:val="00421741"/>
    <w:rsid w:val="00421E7E"/>
    <w:rsid w:val="0042249E"/>
    <w:rsid w:val="004253EE"/>
    <w:rsid w:val="0042555C"/>
    <w:rsid w:val="0042586B"/>
    <w:rsid w:val="004275BC"/>
    <w:rsid w:val="00430A76"/>
    <w:rsid w:val="00430F28"/>
    <w:rsid w:val="0043182C"/>
    <w:rsid w:val="0043512A"/>
    <w:rsid w:val="00436D22"/>
    <w:rsid w:val="004374E4"/>
    <w:rsid w:val="00437B3E"/>
    <w:rsid w:val="00443162"/>
    <w:rsid w:val="004441D6"/>
    <w:rsid w:val="00450166"/>
    <w:rsid w:val="004509BD"/>
    <w:rsid w:val="00450D2B"/>
    <w:rsid w:val="00450E63"/>
    <w:rsid w:val="00451757"/>
    <w:rsid w:val="00451BA9"/>
    <w:rsid w:val="004534A4"/>
    <w:rsid w:val="00454ED4"/>
    <w:rsid w:val="00455BEE"/>
    <w:rsid w:val="00456364"/>
    <w:rsid w:val="00456B16"/>
    <w:rsid w:val="004604FB"/>
    <w:rsid w:val="00460BB2"/>
    <w:rsid w:val="00463335"/>
    <w:rsid w:val="00471E8E"/>
    <w:rsid w:val="00471FD4"/>
    <w:rsid w:val="004721F8"/>
    <w:rsid w:val="0047304B"/>
    <w:rsid w:val="004763A5"/>
    <w:rsid w:val="00477270"/>
    <w:rsid w:val="00477ADE"/>
    <w:rsid w:val="004802B0"/>
    <w:rsid w:val="00481272"/>
    <w:rsid w:val="00481569"/>
    <w:rsid w:val="00481741"/>
    <w:rsid w:val="00482C2A"/>
    <w:rsid w:val="00483B5D"/>
    <w:rsid w:val="00483D63"/>
    <w:rsid w:val="004843C8"/>
    <w:rsid w:val="00484A5A"/>
    <w:rsid w:val="00485293"/>
    <w:rsid w:val="00486857"/>
    <w:rsid w:val="00487A7F"/>
    <w:rsid w:val="00492BF5"/>
    <w:rsid w:val="00493DB8"/>
    <w:rsid w:val="00494DE2"/>
    <w:rsid w:val="00494EF9"/>
    <w:rsid w:val="00496229"/>
    <w:rsid w:val="00496595"/>
    <w:rsid w:val="00497145"/>
    <w:rsid w:val="004979D8"/>
    <w:rsid w:val="00497BCF"/>
    <w:rsid w:val="004A31B8"/>
    <w:rsid w:val="004A38A4"/>
    <w:rsid w:val="004A4603"/>
    <w:rsid w:val="004A61DF"/>
    <w:rsid w:val="004A6C6B"/>
    <w:rsid w:val="004A6E56"/>
    <w:rsid w:val="004B077E"/>
    <w:rsid w:val="004B078A"/>
    <w:rsid w:val="004B1826"/>
    <w:rsid w:val="004B4172"/>
    <w:rsid w:val="004C3431"/>
    <w:rsid w:val="004C3C32"/>
    <w:rsid w:val="004D0ADB"/>
    <w:rsid w:val="004D2A1E"/>
    <w:rsid w:val="004D3359"/>
    <w:rsid w:val="004E061F"/>
    <w:rsid w:val="004E0DEC"/>
    <w:rsid w:val="004E381A"/>
    <w:rsid w:val="004E39E4"/>
    <w:rsid w:val="004E3FFF"/>
    <w:rsid w:val="004E4E33"/>
    <w:rsid w:val="004E561F"/>
    <w:rsid w:val="004E767D"/>
    <w:rsid w:val="004F0A28"/>
    <w:rsid w:val="004F254C"/>
    <w:rsid w:val="004F26A5"/>
    <w:rsid w:val="004F4540"/>
    <w:rsid w:val="004F69E5"/>
    <w:rsid w:val="005006F2"/>
    <w:rsid w:val="00500D7F"/>
    <w:rsid w:val="00501048"/>
    <w:rsid w:val="0050301A"/>
    <w:rsid w:val="0050529C"/>
    <w:rsid w:val="00507CCC"/>
    <w:rsid w:val="00510511"/>
    <w:rsid w:val="005108E3"/>
    <w:rsid w:val="005123C8"/>
    <w:rsid w:val="00512A38"/>
    <w:rsid w:val="00514461"/>
    <w:rsid w:val="0051527F"/>
    <w:rsid w:val="0051723C"/>
    <w:rsid w:val="00520642"/>
    <w:rsid w:val="005220AB"/>
    <w:rsid w:val="005248D9"/>
    <w:rsid w:val="00525ABA"/>
    <w:rsid w:val="00531918"/>
    <w:rsid w:val="00533AE2"/>
    <w:rsid w:val="00535396"/>
    <w:rsid w:val="00535BA0"/>
    <w:rsid w:val="00537EF1"/>
    <w:rsid w:val="0054060D"/>
    <w:rsid w:val="00541AB8"/>
    <w:rsid w:val="00541B15"/>
    <w:rsid w:val="0054296B"/>
    <w:rsid w:val="00543061"/>
    <w:rsid w:val="005444B9"/>
    <w:rsid w:val="00544901"/>
    <w:rsid w:val="00545A8B"/>
    <w:rsid w:val="00545AF8"/>
    <w:rsid w:val="00550959"/>
    <w:rsid w:val="005516FE"/>
    <w:rsid w:val="00551F17"/>
    <w:rsid w:val="005522C1"/>
    <w:rsid w:val="00554664"/>
    <w:rsid w:val="005561CE"/>
    <w:rsid w:val="00556C8F"/>
    <w:rsid w:val="00557D8C"/>
    <w:rsid w:val="0056397B"/>
    <w:rsid w:val="00564FE1"/>
    <w:rsid w:val="0056700E"/>
    <w:rsid w:val="00567C3E"/>
    <w:rsid w:val="0057080E"/>
    <w:rsid w:val="00570923"/>
    <w:rsid w:val="00570B9F"/>
    <w:rsid w:val="00573DA8"/>
    <w:rsid w:val="005753AB"/>
    <w:rsid w:val="00576174"/>
    <w:rsid w:val="005766C2"/>
    <w:rsid w:val="00580564"/>
    <w:rsid w:val="0058188E"/>
    <w:rsid w:val="005843F6"/>
    <w:rsid w:val="0058507D"/>
    <w:rsid w:val="00586E8C"/>
    <w:rsid w:val="00586F1A"/>
    <w:rsid w:val="00587C3E"/>
    <w:rsid w:val="00593343"/>
    <w:rsid w:val="005955E8"/>
    <w:rsid w:val="00595767"/>
    <w:rsid w:val="00595CE5"/>
    <w:rsid w:val="00597536"/>
    <w:rsid w:val="00597E1A"/>
    <w:rsid w:val="005A01EA"/>
    <w:rsid w:val="005A0424"/>
    <w:rsid w:val="005A057B"/>
    <w:rsid w:val="005A28DE"/>
    <w:rsid w:val="005A345A"/>
    <w:rsid w:val="005A44CC"/>
    <w:rsid w:val="005A581D"/>
    <w:rsid w:val="005A5829"/>
    <w:rsid w:val="005A6337"/>
    <w:rsid w:val="005A64E9"/>
    <w:rsid w:val="005A78C3"/>
    <w:rsid w:val="005B2589"/>
    <w:rsid w:val="005B2D92"/>
    <w:rsid w:val="005B44F1"/>
    <w:rsid w:val="005C1138"/>
    <w:rsid w:val="005C1721"/>
    <w:rsid w:val="005C18E0"/>
    <w:rsid w:val="005C3DE2"/>
    <w:rsid w:val="005C422D"/>
    <w:rsid w:val="005C68FC"/>
    <w:rsid w:val="005C7212"/>
    <w:rsid w:val="005D3690"/>
    <w:rsid w:val="005D3861"/>
    <w:rsid w:val="005D395D"/>
    <w:rsid w:val="005D3EA6"/>
    <w:rsid w:val="005D488C"/>
    <w:rsid w:val="005D4CF2"/>
    <w:rsid w:val="005D5059"/>
    <w:rsid w:val="005D5670"/>
    <w:rsid w:val="005D5F21"/>
    <w:rsid w:val="005D6697"/>
    <w:rsid w:val="005D7FB0"/>
    <w:rsid w:val="005E17F9"/>
    <w:rsid w:val="005E2756"/>
    <w:rsid w:val="005E35C3"/>
    <w:rsid w:val="005E36E1"/>
    <w:rsid w:val="005E4451"/>
    <w:rsid w:val="005E54C9"/>
    <w:rsid w:val="005E55D1"/>
    <w:rsid w:val="005E581E"/>
    <w:rsid w:val="005E6896"/>
    <w:rsid w:val="005E735B"/>
    <w:rsid w:val="005F0345"/>
    <w:rsid w:val="005F3DAF"/>
    <w:rsid w:val="005F421A"/>
    <w:rsid w:val="005F6C1E"/>
    <w:rsid w:val="00600EDD"/>
    <w:rsid w:val="006078FB"/>
    <w:rsid w:val="00610220"/>
    <w:rsid w:val="006104CF"/>
    <w:rsid w:val="006111E2"/>
    <w:rsid w:val="00612F85"/>
    <w:rsid w:val="006162B3"/>
    <w:rsid w:val="00616CEB"/>
    <w:rsid w:val="00617FA1"/>
    <w:rsid w:val="0062364D"/>
    <w:rsid w:val="00624781"/>
    <w:rsid w:val="0062521B"/>
    <w:rsid w:val="0062566D"/>
    <w:rsid w:val="00626A77"/>
    <w:rsid w:val="00627DBD"/>
    <w:rsid w:val="00630A4F"/>
    <w:rsid w:val="00631C53"/>
    <w:rsid w:val="00634122"/>
    <w:rsid w:val="00635911"/>
    <w:rsid w:val="00635BAF"/>
    <w:rsid w:val="00636BFB"/>
    <w:rsid w:val="00640557"/>
    <w:rsid w:val="0064112C"/>
    <w:rsid w:val="006430E0"/>
    <w:rsid w:val="00644AD5"/>
    <w:rsid w:val="006461BB"/>
    <w:rsid w:val="00646948"/>
    <w:rsid w:val="00647011"/>
    <w:rsid w:val="00653192"/>
    <w:rsid w:val="00653442"/>
    <w:rsid w:val="00654BE4"/>
    <w:rsid w:val="00656012"/>
    <w:rsid w:val="00656302"/>
    <w:rsid w:val="00657386"/>
    <w:rsid w:val="0065771E"/>
    <w:rsid w:val="00660EE5"/>
    <w:rsid w:val="00661088"/>
    <w:rsid w:val="0066173C"/>
    <w:rsid w:val="00661C2A"/>
    <w:rsid w:val="0066283F"/>
    <w:rsid w:val="006630E0"/>
    <w:rsid w:val="006643FE"/>
    <w:rsid w:val="00664A59"/>
    <w:rsid w:val="00664E5B"/>
    <w:rsid w:val="00666919"/>
    <w:rsid w:val="00672E7C"/>
    <w:rsid w:val="00675D60"/>
    <w:rsid w:val="00677CDB"/>
    <w:rsid w:val="00681003"/>
    <w:rsid w:val="0068747B"/>
    <w:rsid w:val="00687887"/>
    <w:rsid w:val="0069125A"/>
    <w:rsid w:val="00692023"/>
    <w:rsid w:val="00692AB4"/>
    <w:rsid w:val="0069414A"/>
    <w:rsid w:val="00697BF2"/>
    <w:rsid w:val="006A4814"/>
    <w:rsid w:val="006A7918"/>
    <w:rsid w:val="006A7CD1"/>
    <w:rsid w:val="006B037A"/>
    <w:rsid w:val="006B06BF"/>
    <w:rsid w:val="006B1391"/>
    <w:rsid w:val="006B1C92"/>
    <w:rsid w:val="006B6285"/>
    <w:rsid w:val="006B6510"/>
    <w:rsid w:val="006B680C"/>
    <w:rsid w:val="006C1FFA"/>
    <w:rsid w:val="006C29EA"/>
    <w:rsid w:val="006C2C6F"/>
    <w:rsid w:val="006C3666"/>
    <w:rsid w:val="006C4812"/>
    <w:rsid w:val="006C56E5"/>
    <w:rsid w:val="006C607F"/>
    <w:rsid w:val="006C7429"/>
    <w:rsid w:val="006D0A0A"/>
    <w:rsid w:val="006D21C5"/>
    <w:rsid w:val="006D49B3"/>
    <w:rsid w:val="006D68A2"/>
    <w:rsid w:val="006E1CA8"/>
    <w:rsid w:val="006E6054"/>
    <w:rsid w:val="006E6B33"/>
    <w:rsid w:val="006E7F4F"/>
    <w:rsid w:val="006F1673"/>
    <w:rsid w:val="006F6D29"/>
    <w:rsid w:val="006F7496"/>
    <w:rsid w:val="00700ECB"/>
    <w:rsid w:val="00702099"/>
    <w:rsid w:val="00704758"/>
    <w:rsid w:val="00707B61"/>
    <w:rsid w:val="007109F4"/>
    <w:rsid w:val="00711F4B"/>
    <w:rsid w:val="00713B6F"/>
    <w:rsid w:val="00713C77"/>
    <w:rsid w:val="00714A9C"/>
    <w:rsid w:val="00716160"/>
    <w:rsid w:val="00716B09"/>
    <w:rsid w:val="00721E35"/>
    <w:rsid w:val="00722A85"/>
    <w:rsid w:val="007254D8"/>
    <w:rsid w:val="00725F31"/>
    <w:rsid w:val="007271A3"/>
    <w:rsid w:val="00735190"/>
    <w:rsid w:val="00735583"/>
    <w:rsid w:val="00735B88"/>
    <w:rsid w:val="007379E1"/>
    <w:rsid w:val="00742C58"/>
    <w:rsid w:val="00743FAE"/>
    <w:rsid w:val="00744805"/>
    <w:rsid w:val="00746A06"/>
    <w:rsid w:val="0074739D"/>
    <w:rsid w:val="00747685"/>
    <w:rsid w:val="00747CA7"/>
    <w:rsid w:val="007509A3"/>
    <w:rsid w:val="007509AD"/>
    <w:rsid w:val="00751284"/>
    <w:rsid w:val="007517A1"/>
    <w:rsid w:val="00752A31"/>
    <w:rsid w:val="007535F6"/>
    <w:rsid w:val="00754D91"/>
    <w:rsid w:val="00756824"/>
    <w:rsid w:val="007637C5"/>
    <w:rsid w:val="00764DC9"/>
    <w:rsid w:val="00765DBA"/>
    <w:rsid w:val="00766496"/>
    <w:rsid w:val="00766539"/>
    <w:rsid w:val="007720D1"/>
    <w:rsid w:val="007743E8"/>
    <w:rsid w:val="00774629"/>
    <w:rsid w:val="00775A95"/>
    <w:rsid w:val="007774FE"/>
    <w:rsid w:val="0078282A"/>
    <w:rsid w:val="007830DB"/>
    <w:rsid w:val="007852F2"/>
    <w:rsid w:val="00786A77"/>
    <w:rsid w:val="007871D5"/>
    <w:rsid w:val="00790515"/>
    <w:rsid w:val="00790CBC"/>
    <w:rsid w:val="00790EC3"/>
    <w:rsid w:val="00791740"/>
    <w:rsid w:val="0079178C"/>
    <w:rsid w:val="00792643"/>
    <w:rsid w:val="00794290"/>
    <w:rsid w:val="00794AED"/>
    <w:rsid w:val="00795B92"/>
    <w:rsid w:val="00797DD5"/>
    <w:rsid w:val="007A03C8"/>
    <w:rsid w:val="007A2F1E"/>
    <w:rsid w:val="007A33A6"/>
    <w:rsid w:val="007A636B"/>
    <w:rsid w:val="007A6E0B"/>
    <w:rsid w:val="007B01C7"/>
    <w:rsid w:val="007B0BC7"/>
    <w:rsid w:val="007B24E2"/>
    <w:rsid w:val="007B2A87"/>
    <w:rsid w:val="007B5C03"/>
    <w:rsid w:val="007C1F6E"/>
    <w:rsid w:val="007C30F4"/>
    <w:rsid w:val="007C6A2B"/>
    <w:rsid w:val="007C7D77"/>
    <w:rsid w:val="007D5A75"/>
    <w:rsid w:val="007D5E01"/>
    <w:rsid w:val="007E0D20"/>
    <w:rsid w:val="007E1C72"/>
    <w:rsid w:val="007E260E"/>
    <w:rsid w:val="007E26F1"/>
    <w:rsid w:val="007E5BBC"/>
    <w:rsid w:val="007E762A"/>
    <w:rsid w:val="007F17C4"/>
    <w:rsid w:val="007F4C3F"/>
    <w:rsid w:val="007F5BBF"/>
    <w:rsid w:val="00802244"/>
    <w:rsid w:val="00803189"/>
    <w:rsid w:val="00804769"/>
    <w:rsid w:val="00806FA9"/>
    <w:rsid w:val="00813D39"/>
    <w:rsid w:val="0081475A"/>
    <w:rsid w:val="008147EC"/>
    <w:rsid w:val="00815C67"/>
    <w:rsid w:val="00821410"/>
    <w:rsid w:val="00821BF0"/>
    <w:rsid w:val="00824455"/>
    <w:rsid w:val="0082513A"/>
    <w:rsid w:val="0082691A"/>
    <w:rsid w:val="00827867"/>
    <w:rsid w:val="00831A98"/>
    <w:rsid w:val="00832CEC"/>
    <w:rsid w:val="0083350A"/>
    <w:rsid w:val="008349D8"/>
    <w:rsid w:val="008370AE"/>
    <w:rsid w:val="00840A8E"/>
    <w:rsid w:val="00841C86"/>
    <w:rsid w:val="008445CC"/>
    <w:rsid w:val="008456C3"/>
    <w:rsid w:val="008462A2"/>
    <w:rsid w:val="008469D0"/>
    <w:rsid w:val="00846AE7"/>
    <w:rsid w:val="008472AA"/>
    <w:rsid w:val="00847E37"/>
    <w:rsid w:val="008504F5"/>
    <w:rsid w:val="00851803"/>
    <w:rsid w:val="00852969"/>
    <w:rsid w:val="00852E46"/>
    <w:rsid w:val="008532CC"/>
    <w:rsid w:val="00853C2A"/>
    <w:rsid w:val="008564AB"/>
    <w:rsid w:val="0086083E"/>
    <w:rsid w:val="008618BF"/>
    <w:rsid w:val="008620B7"/>
    <w:rsid w:val="00862781"/>
    <w:rsid w:val="00862B4F"/>
    <w:rsid w:val="008636A4"/>
    <w:rsid w:val="00863AA2"/>
    <w:rsid w:val="00864673"/>
    <w:rsid w:val="008648A9"/>
    <w:rsid w:val="00866DC4"/>
    <w:rsid w:val="00867587"/>
    <w:rsid w:val="00867DD5"/>
    <w:rsid w:val="00870263"/>
    <w:rsid w:val="00870822"/>
    <w:rsid w:val="00870E3E"/>
    <w:rsid w:val="00870E7C"/>
    <w:rsid w:val="00871823"/>
    <w:rsid w:val="008728F9"/>
    <w:rsid w:val="008729A4"/>
    <w:rsid w:val="00872EB4"/>
    <w:rsid w:val="0087342B"/>
    <w:rsid w:val="00873FC9"/>
    <w:rsid w:val="008768A4"/>
    <w:rsid w:val="008844F1"/>
    <w:rsid w:val="00884552"/>
    <w:rsid w:val="008858C7"/>
    <w:rsid w:val="00892A5D"/>
    <w:rsid w:val="00893ACF"/>
    <w:rsid w:val="0089678F"/>
    <w:rsid w:val="00896E9B"/>
    <w:rsid w:val="008A0AE8"/>
    <w:rsid w:val="008A2DD0"/>
    <w:rsid w:val="008A52FB"/>
    <w:rsid w:val="008A775B"/>
    <w:rsid w:val="008A7D0C"/>
    <w:rsid w:val="008B13E7"/>
    <w:rsid w:val="008B1CCA"/>
    <w:rsid w:val="008B2331"/>
    <w:rsid w:val="008B4030"/>
    <w:rsid w:val="008B4701"/>
    <w:rsid w:val="008B5A3F"/>
    <w:rsid w:val="008B5C45"/>
    <w:rsid w:val="008B5EBC"/>
    <w:rsid w:val="008B6836"/>
    <w:rsid w:val="008C0B64"/>
    <w:rsid w:val="008C214E"/>
    <w:rsid w:val="008C2C8E"/>
    <w:rsid w:val="008C3D69"/>
    <w:rsid w:val="008C524B"/>
    <w:rsid w:val="008C6080"/>
    <w:rsid w:val="008C736C"/>
    <w:rsid w:val="008D020B"/>
    <w:rsid w:val="008D0878"/>
    <w:rsid w:val="008D0C60"/>
    <w:rsid w:val="008D1AEA"/>
    <w:rsid w:val="008D2324"/>
    <w:rsid w:val="008D28D7"/>
    <w:rsid w:val="008D3482"/>
    <w:rsid w:val="008D5630"/>
    <w:rsid w:val="008E0A6D"/>
    <w:rsid w:val="008E1302"/>
    <w:rsid w:val="008E187A"/>
    <w:rsid w:val="008E1E86"/>
    <w:rsid w:val="008E3141"/>
    <w:rsid w:val="008E5FE5"/>
    <w:rsid w:val="008E7BD6"/>
    <w:rsid w:val="008F033B"/>
    <w:rsid w:val="008F0F78"/>
    <w:rsid w:val="008F1BF5"/>
    <w:rsid w:val="008F1CA1"/>
    <w:rsid w:val="008F70C0"/>
    <w:rsid w:val="00901185"/>
    <w:rsid w:val="009019DC"/>
    <w:rsid w:val="00905E67"/>
    <w:rsid w:val="009062A9"/>
    <w:rsid w:val="00906C19"/>
    <w:rsid w:val="00906E7C"/>
    <w:rsid w:val="009079C3"/>
    <w:rsid w:val="00911216"/>
    <w:rsid w:val="00911CA6"/>
    <w:rsid w:val="00912006"/>
    <w:rsid w:val="009121E5"/>
    <w:rsid w:val="00912F61"/>
    <w:rsid w:val="009131F3"/>
    <w:rsid w:val="00915870"/>
    <w:rsid w:val="00920AAC"/>
    <w:rsid w:val="0092443D"/>
    <w:rsid w:val="0092515C"/>
    <w:rsid w:val="009272B7"/>
    <w:rsid w:val="0092767F"/>
    <w:rsid w:val="00930E9D"/>
    <w:rsid w:val="00931484"/>
    <w:rsid w:val="00933D50"/>
    <w:rsid w:val="009349E5"/>
    <w:rsid w:val="0093520B"/>
    <w:rsid w:val="00936BFE"/>
    <w:rsid w:val="009377C1"/>
    <w:rsid w:val="0094044D"/>
    <w:rsid w:val="00941B62"/>
    <w:rsid w:val="00943CD3"/>
    <w:rsid w:val="00944D31"/>
    <w:rsid w:val="009462A5"/>
    <w:rsid w:val="00951EBA"/>
    <w:rsid w:val="009533AB"/>
    <w:rsid w:val="009571BC"/>
    <w:rsid w:val="0096026A"/>
    <w:rsid w:val="00962080"/>
    <w:rsid w:val="00963616"/>
    <w:rsid w:val="00965807"/>
    <w:rsid w:val="009667C3"/>
    <w:rsid w:val="009676A5"/>
    <w:rsid w:val="00970071"/>
    <w:rsid w:val="009702F3"/>
    <w:rsid w:val="00971375"/>
    <w:rsid w:val="009728C9"/>
    <w:rsid w:val="00974519"/>
    <w:rsid w:val="009757B8"/>
    <w:rsid w:val="00975A9E"/>
    <w:rsid w:val="009803D2"/>
    <w:rsid w:val="00981885"/>
    <w:rsid w:val="00983586"/>
    <w:rsid w:val="00985367"/>
    <w:rsid w:val="00985D47"/>
    <w:rsid w:val="009960EB"/>
    <w:rsid w:val="00996411"/>
    <w:rsid w:val="009A0B67"/>
    <w:rsid w:val="009A16C3"/>
    <w:rsid w:val="009A1798"/>
    <w:rsid w:val="009A19F9"/>
    <w:rsid w:val="009A2BC3"/>
    <w:rsid w:val="009A2DDA"/>
    <w:rsid w:val="009A50E6"/>
    <w:rsid w:val="009A533C"/>
    <w:rsid w:val="009A59F3"/>
    <w:rsid w:val="009A7DC7"/>
    <w:rsid w:val="009B2BB6"/>
    <w:rsid w:val="009B4BE3"/>
    <w:rsid w:val="009B6E93"/>
    <w:rsid w:val="009C0657"/>
    <w:rsid w:val="009C1736"/>
    <w:rsid w:val="009C1E06"/>
    <w:rsid w:val="009C5885"/>
    <w:rsid w:val="009C7AC8"/>
    <w:rsid w:val="009D6173"/>
    <w:rsid w:val="009D677E"/>
    <w:rsid w:val="009E09EB"/>
    <w:rsid w:val="009E33CB"/>
    <w:rsid w:val="009E3E4D"/>
    <w:rsid w:val="009E4086"/>
    <w:rsid w:val="009E4D6D"/>
    <w:rsid w:val="009E4ED0"/>
    <w:rsid w:val="009E5CCE"/>
    <w:rsid w:val="009E601B"/>
    <w:rsid w:val="009E7798"/>
    <w:rsid w:val="009F01C3"/>
    <w:rsid w:val="009F1C25"/>
    <w:rsid w:val="009F6609"/>
    <w:rsid w:val="009F6853"/>
    <w:rsid w:val="009F736F"/>
    <w:rsid w:val="00A00040"/>
    <w:rsid w:val="00A031B0"/>
    <w:rsid w:val="00A03519"/>
    <w:rsid w:val="00A07DD6"/>
    <w:rsid w:val="00A10A70"/>
    <w:rsid w:val="00A110F1"/>
    <w:rsid w:val="00A12A3D"/>
    <w:rsid w:val="00A14FE3"/>
    <w:rsid w:val="00A17A51"/>
    <w:rsid w:val="00A17AD0"/>
    <w:rsid w:val="00A216A7"/>
    <w:rsid w:val="00A22817"/>
    <w:rsid w:val="00A2408C"/>
    <w:rsid w:val="00A24907"/>
    <w:rsid w:val="00A24D1B"/>
    <w:rsid w:val="00A27ED9"/>
    <w:rsid w:val="00A30732"/>
    <w:rsid w:val="00A3104E"/>
    <w:rsid w:val="00A341B7"/>
    <w:rsid w:val="00A40461"/>
    <w:rsid w:val="00A4075B"/>
    <w:rsid w:val="00A428EF"/>
    <w:rsid w:val="00A4316F"/>
    <w:rsid w:val="00A448B0"/>
    <w:rsid w:val="00A4491A"/>
    <w:rsid w:val="00A4679F"/>
    <w:rsid w:val="00A50F2A"/>
    <w:rsid w:val="00A50F36"/>
    <w:rsid w:val="00A524DE"/>
    <w:rsid w:val="00A5262D"/>
    <w:rsid w:val="00A56003"/>
    <w:rsid w:val="00A619B5"/>
    <w:rsid w:val="00A63FC2"/>
    <w:rsid w:val="00A66768"/>
    <w:rsid w:val="00A70984"/>
    <w:rsid w:val="00A71082"/>
    <w:rsid w:val="00A77CCE"/>
    <w:rsid w:val="00A805B8"/>
    <w:rsid w:val="00A810B1"/>
    <w:rsid w:val="00A830B1"/>
    <w:rsid w:val="00A84E18"/>
    <w:rsid w:val="00A85501"/>
    <w:rsid w:val="00A857F5"/>
    <w:rsid w:val="00A869F2"/>
    <w:rsid w:val="00A9001C"/>
    <w:rsid w:val="00A914DE"/>
    <w:rsid w:val="00A95B0B"/>
    <w:rsid w:val="00A96104"/>
    <w:rsid w:val="00A96FFC"/>
    <w:rsid w:val="00A975DC"/>
    <w:rsid w:val="00A9781C"/>
    <w:rsid w:val="00A97D31"/>
    <w:rsid w:val="00AA0421"/>
    <w:rsid w:val="00AA15A4"/>
    <w:rsid w:val="00AA1B0E"/>
    <w:rsid w:val="00AA2923"/>
    <w:rsid w:val="00AA34EA"/>
    <w:rsid w:val="00AA4991"/>
    <w:rsid w:val="00AA569F"/>
    <w:rsid w:val="00AA5E69"/>
    <w:rsid w:val="00AA7135"/>
    <w:rsid w:val="00AA7D16"/>
    <w:rsid w:val="00AB18EE"/>
    <w:rsid w:val="00AB23E5"/>
    <w:rsid w:val="00AB2959"/>
    <w:rsid w:val="00AB2B8C"/>
    <w:rsid w:val="00AB4281"/>
    <w:rsid w:val="00AB4D65"/>
    <w:rsid w:val="00AB64E0"/>
    <w:rsid w:val="00AB6725"/>
    <w:rsid w:val="00AB71C1"/>
    <w:rsid w:val="00AB7A03"/>
    <w:rsid w:val="00AC187B"/>
    <w:rsid w:val="00AD0240"/>
    <w:rsid w:val="00AD1225"/>
    <w:rsid w:val="00AD2534"/>
    <w:rsid w:val="00AD25E7"/>
    <w:rsid w:val="00AD6287"/>
    <w:rsid w:val="00AD7159"/>
    <w:rsid w:val="00AD748A"/>
    <w:rsid w:val="00AE05DB"/>
    <w:rsid w:val="00AE3874"/>
    <w:rsid w:val="00AE48D8"/>
    <w:rsid w:val="00AE6248"/>
    <w:rsid w:val="00AE7C8F"/>
    <w:rsid w:val="00AE7D5B"/>
    <w:rsid w:val="00AF19D1"/>
    <w:rsid w:val="00AF1BC4"/>
    <w:rsid w:val="00AF206E"/>
    <w:rsid w:val="00AF2AB1"/>
    <w:rsid w:val="00AF2AF2"/>
    <w:rsid w:val="00AF43AB"/>
    <w:rsid w:val="00AF4907"/>
    <w:rsid w:val="00AF7012"/>
    <w:rsid w:val="00B00D10"/>
    <w:rsid w:val="00B01722"/>
    <w:rsid w:val="00B01ECF"/>
    <w:rsid w:val="00B032FC"/>
    <w:rsid w:val="00B04F95"/>
    <w:rsid w:val="00B05624"/>
    <w:rsid w:val="00B05E7F"/>
    <w:rsid w:val="00B061FD"/>
    <w:rsid w:val="00B072B8"/>
    <w:rsid w:val="00B12F7C"/>
    <w:rsid w:val="00B14F1F"/>
    <w:rsid w:val="00B17AC0"/>
    <w:rsid w:val="00B2091B"/>
    <w:rsid w:val="00B21226"/>
    <w:rsid w:val="00B25390"/>
    <w:rsid w:val="00B256E6"/>
    <w:rsid w:val="00B26D1E"/>
    <w:rsid w:val="00B27950"/>
    <w:rsid w:val="00B3018B"/>
    <w:rsid w:val="00B32ABB"/>
    <w:rsid w:val="00B32E1C"/>
    <w:rsid w:val="00B33BFC"/>
    <w:rsid w:val="00B37588"/>
    <w:rsid w:val="00B40A00"/>
    <w:rsid w:val="00B4311A"/>
    <w:rsid w:val="00B43813"/>
    <w:rsid w:val="00B44E0F"/>
    <w:rsid w:val="00B44E2B"/>
    <w:rsid w:val="00B46233"/>
    <w:rsid w:val="00B53917"/>
    <w:rsid w:val="00B53B45"/>
    <w:rsid w:val="00B53CB2"/>
    <w:rsid w:val="00B574D0"/>
    <w:rsid w:val="00B57588"/>
    <w:rsid w:val="00B57AA8"/>
    <w:rsid w:val="00B60F64"/>
    <w:rsid w:val="00B618FA"/>
    <w:rsid w:val="00B61C02"/>
    <w:rsid w:val="00B63E62"/>
    <w:rsid w:val="00B641B2"/>
    <w:rsid w:val="00B70729"/>
    <w:rsid w:val="00B71A82"/>
    <w:rsid w:val="00B72DB2"/>
    <w:rsid w:val="00B73273"/>
    <w:rsid w:val="00B74341"/>
    <w:rsid w:val="00B7507E"/>
    <w:rsid w:val="00B76427"/>
    <w:rsid w:val="00B778ED"/>
    <w:rsid w:val="00B80F62"/>
    <w:rsid w:val="00B81B00"/>
    <w:rsid w:val="00B84753"/>
    <w:rsid w:val="00B85B17"/>
    <w:rsid w:val="00B90A24"/>
    <w:rsid w:val="00B91D84"/>
    <w:rsid w:val="00B92898"/>
    <w:rsid w:val="00B931D5"/>
    <w:rsid w:val="00B93B7E"/>
    <w:rsid w:val="00B94DC8"/>
    <w:rsid w:val="00B94F1D"/>
    <w:rsid w:val="00B94FBD"/>
    <w:rsid w:val="00BA161C"/>
    <w:rsid w:val="00BA173E"/>
    <w:rsid w:val="00BA355E"/>
    <w:rsid w:val="00BA40A0"/>
    <w:rsid w:val="00BA4B5A"/>
    <w:rsid w:val="00BA5A41"/>
    <w:rsid w:val="00BA70C1"/>
    <w:rsid w:val="00BA73F9"/>
    <w:rsid w:val="00BA7B7A"/>
    <w:rsid w:val="00BB4B88"/>
    <w:rsid w:val="00BB50D0"/>
    <w:rsid w:val="00BB6D37"/>
    <w:rsid w:val="00BB7539"/>
    <w:rsid w:val="00BC0736"/>
    <w:rsid w:val="00BC28A6"/>
    <w:rsid w:val="00BC3922"/>
    <w:rsid w:val="00BC3D90"/>
    <w:rsid w:val="00BD056C"/>
    <w:rsid w:val="00BD0818"/>
    <w:rsid w:val="00BD17E2"/>
    <w:rsid w:val="00BD270B"/>
    <w:rsid w:val="00BD30F1"/>
    <w:rsid w:val="00BD4B56"/>
    <w:rsid w:val="00BD577E"/>
    <w:rsid w:val="00BD7048"/>
    <w:rsid w:val="00BE0B51"/>
    <w:rsid w:val="00BE0C08"/>
    <w:rsid w:val="00BE18B4"/>
    <w:rsid w:val="00BE203F"/>
    <w:rsid w:val="00BE698E"/>
    <w:rsid w:val="00BF047E"/>
    <w:rsid w:val="00BF19A0"/>
    <w:rsid w:val="00BF208E"/>
    <w:rsid w:val="00BF3072"/>
    <w:rsid w:val="00BF4030"/>
    <w:rsid w:val="00BF41F5"/>
    <w:rsid w:val="00BF54F4"/>
    <w:rsid w:val="00BF57DE"/>
    <w:rsid w:val="00C02A84"/>
    <w:rsid w:val="00C02DBE"/>
    <w:rsid w:val="00C02EAF"/>
    <w:rsid w:val="00C03295"/>
    <w:rsid w:val="00C035A5"/>
    <w:rsid w:val="00C05982"/>
    <w:rsid w:val="00C0673F"/>
    <w:rsid w:val="00C1176D"/>
    <w:rsid w:val="00C13EEC"/>
    <w:rsid w:val="00C148CE"/>
    <w:rsid w:val="00C16468"/>
    <w:rsid w:val="00C17904"/>
    <w:rsid w:val="00C21783"/>
    <w:rsid w:val="00C21903"/>
    <w:rsid w:val="00C23BCB"/>
    <w:rsid w:val="00C23CE8"/>
    <w:rsid w:val="00C24640"/>
    <w:rsid w:val="00C263FE"/>
    <w:rsid w:val="00C278EC"/>
    <w:rsid w:val="00C3102C"/>
    <w:rsid w:val="00C32B6B"/>
    <w:rsid w:val="00C33CAA"/>
    <w:rsid w:val="00C3427F"/>
    <w:rsid w:val="00C342B4"/>
    <w:rsid w:val="00C34507"/>
    <w:rsid w:val="00C34C1B"/>
    <w:rsid w:val="00C35F70"/>
    <w:rsid w:val="00C362BD"/>
    <w:rsid w:val="00C36F9E"/>
    <w:rsid w:val="00C402C0"/>
    <w:rsid w:val="00C42208"/>
    <w:rsid w:val="00C5272C"/>
    <w:rsid w:val="00C52B6D"/>
    <w:rsid w:val="00C52E94"/>
    <w:rsid w:val="00C54343"/>
    <w:rsid w:val="00C54A92"/>
    <w:rsid w:val="00C552C0"/>
    <w:rsid w:val="00C55913"/>
    <w:rsid w:val="00C6359A"/>
    <w:rsid w:val="00C6391C"/>
    <w:rsid w:val="00C66483"/>
    <w:rsid w:val="00C66644"/>
    <w:rsid w:val="00C704B6"/>
    <w:rsid w:val="00C706A1"/>
    <w:rsid w:val="00C71B3D"/>
    <w:rsid w:val="00C73EA3"/>
    <w:rsid w:val="00C7778E"/>
    <w:rsid w:val="00C810D3"/>
    <w:rsid w:val="00C8490B"/>
    <w:rsid w:val="00C87DED"/>
    <w:rsid w:val="00C925E3"/>
    <w:rsid w:val="00C93B80"/>
    <w:rsid w:val="00C96B5F"/>
    <w:rsid w:val="00CA0C86"/>
    <w:rsid w:val="00CA2691"/>
    <w:rsid w:val="00CA546A"/>
    <w:rsid w:val="00CA5935"/>
    <w:rsid w:val="00CA6CC8"/>
    <w:rsid w:val="00CB14B3"/>
    <w:rsid w:val="00CB28DE"/>
    <w:rsid w:val="00CB60BF"/>
    <w:rsid w:val="00CB66DF"/>
    <w:rsid w:val="00CB70E2"/>
    <w:rsid w:val="00CB7138"/>
    <w:rsid w:val="00CB7C7B"/>
    <w:rsid w:val="00CC03C2"/>
    <w:rsid w:val="00CC0494"/>
    <w:rsid w:val="00CC2448"/>
    <w:rsid w:val="00CC5D2D"/>
    <w:rsid w:val="00CC5D76"/>
    <w:rsid w:val="00CC685A"/>
    <w:rsid w:val="00CC798E"/>
    <w:rsid w:val="00CD1215"/>
    <w:rsid w:val="00CD16F8"/>
    <w:rsid w:val="00CD285B"/>
    <w:rsid w:val="00CD290B"/>
    <w:rsid w:val="00CD2CA7"/>
    <w:rsid w:val="00CD4C54"/>
    <w:rsid w:val="00CD644B"/>
    <w:rsid w:val="00CD7755"/>
    <w:rsid w:val="00CE1C0F"/>
    <w:rsid w:val="00CE2059"/>
    <w:rsid w:val="00CE325B"/>
    <w:rsid w:val="00CE3442"/>
    <w:rsid w:val="00CE4C8E"/>
    <w:rsid w:val="00CE5B8A"/>
    <w:rsid w:val="00CE662B"/>
    <w:rsid w:val="00CE7B12"/>
    <w:rsid w:val="00CF001F"/>
    <w:rsid w:val="00CF376F"/>
    <w:rsid w:val="00CF47A1"/>
    <w:rsid w:val="00D01108"/>
    <w:rsid w:val="00D01B68"/>
    <w:rsid w:val="00D01EFC"/>
    <w:rsid w:val="00D02C3C"/>
    <w:rsid w:val="00D03B9F"/>
    <w:rsid w:val="00D06DB9"/>
    <w:rsid w:val="00D0703F"/>
    <w:rsid w:val="00D0747D"/>
    <w:rsid w:val="00D07C9B"/>
    <w:rsid w:val="00D115E0"/>
    <w:rsid w:val="00D116F4"/>
    <w:rsid w:val="00D11819"/>
    <w:rsid w:val="00D134D5"/>
    <w:rsid w:val="00D14F49"/>
    <w:rsid w:val="00D152BB"/>
    <w:rsid w:val="00D170C7"/>
    <w:rsid w:val="00D1799A"/>
    <w:rsid w:val="00D203C9"/>
    <w:rsid w:val="00D2151F"/>
    <w:rsid w:val="00D236BA"/>
    <w:rsid w:val="00D238C7"/>
    <w:rsid w:val="00D24040"/>
    <w:rsid w:val="00D26582"/>
    <w:rsid w:val="00D26594"/>
    <w:rsid w:val="00D26645"/>
    <w:rsid w:val="00D30623"/>
    <w:rsid w:val="00D35457"/>
    <w:rsid w:val="00D42337"/>
    <w:rsid w:val="00D435EC"/>
    <w:rsid w:val="00D43617"/>
    <w:rsid w:val="00D43D47"/>
    <w:rsid w:val="00D45211"/>
    <w:rsid w:val="00D4782F"/>
    <w:rsid w:val="00D5107F"/>
    <w:rsid w:val="00D51EEA"/>
    <w:rsid w:val="00D52AE5"/>
    <w:rsid w:val="00D54F0F"/>
    <w:rsid w:val="00D55528"/>
    <w:rsid w:val="00D55F6E"/>
    <w:rsid w:val="00D56935"/>
    <w:rsid w:val="00D57A2C"/>
    <w:rsid w:val="00D60892"/>
    <w:rsid w:val="00D6149A"/>
    <w:rsid w:val="00D6371B"/>
    <w:rsid w:val="00D64B0D"/>
    <w:rsid w:val="00D65289"/>
    <w:rsid w:val="00D7215D"/>
    <w:rsid w:val="00D72AD6"/>
    <w:rsid w:val="00D72D01"/>
    <w:rsid w:val="00D73F3B"/>
    <w:rsid w:val="00D805D3"/>
    <w:rsid w:val="00D85385"/>
    <w:rsid w:val="00D853AF"/>
    <w:rsid w:val="00D86BF8"/>
    <w:rsid w:val="00D92045"/>
    <w:rsid w:val="00D929BC"/>
    <w:rsid w:val="00D93737"/>
    <w:rsid w:val="00D95981"/>
    <w:rsid w:val="00D9770E"/>
    <w:rsid w:val="00DA1C1E"/>
    <w:rsid w:val="00DA1E29"/>
    <w:rsid w:val="00DA2737"/>
    <w:rsid w:val="00DA2F30"/>
    <w:rsid w:val="00DA580F"/>
    <w:rsid w:val="00DA592B"/>
    <w:rsid w:val="00DA5E98"/>
    <w:rsid w:val="00DA6860"/>
    <w:rsid w:val="00DB1A57"/>
    <w:rsid w:val="00DB1F4E"/>
    <w:rsid w:val="00DB5D5A"/>
    <w:rsid w:val="00DB627C"/>
    <w:rsid w:val="00DB63E7"/>
    <w:rsid w:val="00DB6B03"/>
    <w:rsid w:val="00DB71AC"/>
    <w:rsid w:val="00DB7754"/>
    <w:rsid w:val="00DC289E"/>
    <w:rsid w:val="00DC3A1B"/>
    <w:rsid w:val="00DC40A6"/>
    <w:rsid w:val="00DC495F"/>
    <w:rsid w:val="00DC635A"/>
    <w:rsid w:val="00DD36A7"/>
    <w:rsid w:val="00DD53CB"/>
    <w:rsid w:val="00DD5ECC"/>
    <w:rsid w:val="00DD6D2F"/>
    <w:rsid w:val="00DD71DC"/>
    <w:rsid w:val="00DE2BC0"/>
    <w:rsid w:val="00DE35C0"/>
    <w:rsid w:val="00DE409C"/>
    <w:rsid w:val="00DE4955"/>
    <w:rsid w:val="00DE5369"/>
    <w:rsid w:val="00DE7FC1"/>
    <w:rsid w:val="00DF1234"/>
    <w:rsid w:val="00DF2686"/>
    <w:rsid w:val="00DF4E88"/>
    <w:rsid w:val="00DF66D9"/>
    <w:rsid w:val="00DF6F1D"/>
    <w:rsid w:val="00DF782C"/>
    <w:rsid w:val="00E00D72"/>
    <w:rsid w:val="00E01C24"/>
    <w:rsid w:val="00E02928"/>
    <w:rsid w:val="00E03CFC"/>
    <w:rsid w:val="00E0475D"/>
    <w:rsid w:val="00E053C5"/>
    <w:rsid w:val="00E05D95"/>
    <w:rsid w:val="00E07DBF"/>
    <w:rsid w:val="00E100AB"/>
    <w:rsid w:val="00E1105F"/>
    <w:rsid w:val="00E11876"/>
    <w:rsid w:val="00E126F0"/>
    <w:rsid w:val="00E153DE"/>
    <w:rsid w:val="00E162AC"/>
    <w:rsid w:val="00E208DA"/>
    <w:rsid w:val="00E21A25"/>
    <w:rsid w:val="00E21F92"/>
    <w:rsid w:val="00E22642"/>
    <w:rsid w:val="00E2285A"/>
    <w:rsid w:val="00E229B2"/>
    <w:rsid w:val="00E229E1"/>
    <w:rsid w:val="00E266EE"/>
    <w:rsid w:val="00E3113A"/>
    <w:rsid w:val="00E34ECF"/>
    <w:rsid w:val="00E35D43"/>
    <w:rsid w:val="00E35D71"/>
    <w:rsid w:val="00E46554"/>
    <w:rsid w:val="00E4667D"/>
    <w:rsid w:val="00E46C36"/>
    <w:rsid w:val="00E47427"/>
    <w:rsid w:val="00E47E94"/>
    <w:rsid w:val="00E51298"/>
    <w:rsid w:val="00E51DFA"/>
    <w:rsid w:val="00E5651F"/>
    <w:rsid w:val="00E57C3E"/>
    <w:rsid w:val="00E637C9"/>
    <w:rsid w:val="00E63958"/>
    <w:rsid w:val="00E6555E"/>
    <w:rsid w:val="00E66004"/>
    <w:rsid w:val="00E668BC"/>
    <w:rsid w:val="00E7004C"/>
    <w:rsid w:val="00E70F81"/>
    <w:rsid w:val="00E720D5"/>
    <w:rsid w:val="00E72DD6"/>
    <w:rsid w:val="00E7401A"/>
    <w:rsid w:val="00E76B87"/>
    <w:rsid w:val="00E7783D"/>
    <w:rsid w:val="00E8083B"/>
    <w:rsid w:val="00E814FF"/>
    <w:rsid w:val="00E86128"/>
    <w:rsid w:val="00E91BA9"/>
    <w:rsid w:val="00E93086"/>
    <w:rsid w:val="00E946C5"/>
    <w:rsid w:val="00EA09FC"/>
    <w:rsid w:val="00EA6560"/>
    <w:rsid w:val="00EA6DEF"/>
    <w:rsid w:val="00EA7011"/>
    <w:rsid w:val="00EB39F6"/>
    <w:rsid w:val="00EB3C8E"/>
    <w:rsid w:val="00EB6851"/>
    <w:rsid w:val="00EC06FA"/>
    <w:rsid w:val="00EC23F0"/>
    <w:rsid w:val="00EC5CA2"/>
    <w:rsid w:val="00ED1BA3"/>
    <w:rsid w:val="00ED626E"/>
    <w:rsid w:val="00EE0E10"/>
    <w:rsid w:val="00EE103C"/>
    <w:rsid w:val="00EE1374"/>
    <w:rsid w:val="00EE1663"/>
    <w:rsid w:val="00EE1FAA"/>
    <w:rsid w:val="00EE2298"/>
    <w:rsid w:val="00EE28AC"/>
    <w:rsid w:val="00EE4743"/>
    <w:rsid w:val="00EE5967"/>
    <w:rsid w:val="00EE6221"/>
    <w:rsid w:val="00EE6681"/>
    <w:rsid w:val="00EF0818"/>
    <w:rsid w:val="00EF09A4"/>
    <w:rsid w:val="00EF24C9"/>
    <w:rsid w:val="00EF2898"/>
    <w:rsid w:val="00EF2B36"/>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3F1"/>
    <w:rsid w:val="00F24FF4"/>
    <w:rsid w:val="00F254EB"/>
    <w:rsid w:val="00F273F2"/>
    <w:rsid w:val="00F30C86"/>
    <w:rsid w:val="00F329E0"/>
    <w:rsid w:val="00F34429"/>
    <w:rsid w:val="00F35988"/>
    <w:rsid w:val="00F36B2A"/>
    <w:rsid w:val="00F43368"/>
    <w:rsid w:val="00F43EC4"/>
    <w:rsid w:val="00F46BB4"/>
    <w:rsid w:val="00F4760A"/>
    <w:rsid w:val="00F47943"/>
    <w:rsid w:val="00F514FD"/>
    <w:rsid w:val="00F52734"/>
    <w:rsid w:val="00F57E50"/>
    <w:rsid w:val="00F60496"/>
    <w:rsid w:val="00F604F7"/>
    <w:rsid w:val="00F619D6"/>
    <w:rsid w:val="00F622FC"/>
    <w:rsid w:val="00F6531C"/>
    <w:rsid w:val="00F655E2"/>
    <w:rsid w:val="00F66BC7"/>
    <w:rsid w:val="00F674B6"/>
    <w:rsid w:val="00F6767F"/>
    <w:rsid w:val="00F7117D"/>
    <w:rsid w:val="00F71C55"/>
    <w:rsid w:val="00F723A7"/>
    <w:rsid w:val="00F7242A"/>
    <w:rsid w:val="00F73FE6"/>
    <w:rsid w:val="00F777A7"/>
    <w:rsid w:val="00F8284F"/>
    <w:rsid w:val="00F82A11"/>
    <w:rsid w:val="00F8337F"/>
    <w:rsid w:val="00F83C17"/>
    <w:rsid w:val="00F86384"/>
    <w:rsid w:val="00F8755E"/>
    <w:rsid w:val="00F90498"/>
    <w:rsid w:val="00F96059"/>
    <w:rsid w:val="00F97800"/>
    <w:rsid w:val="00FA1BF4"/>
    <w:rsid w:val="00FA1EB1"/>
    <w:rsid w:val="00FA2CC9"/>
    <w:rsid w:val="00FA3225"/>
    <w:rsid w:val="00FA370A"/>
    <w:rsid w:val="00FA7A84"/>
    <w:rsid w:val="00FB0ABC"/>
    <w:rsid w:val="00FB4B57"/>
    <w:rsid w:val="00FB4FB5"/>
    <w:rsid w:val="00FB6BF7"/>
    <w:rsid w:val="00FB725D"/>
    <w:rsid w:val="00FB7942"/>
    <w:rsid w:val="00FC06B8"/>
    <w:rsid w:val="00FC4B3B"/>
    <w:rsid w:val="00FC540F"/>
    <w:rsid w:val="00FC5736"/>
    <w:rsid w:val="00FC6EF1"/>
    <w:rsid w:val="00FC7A57"/>
    <w:rsid w:val="00FD0C1E"/>
    <w:rsid w:val="00FD1CF7"/>
    <w:rsid w:val="00FD2D88"/>
    <w:rsid w:val="00FD5BF2"/>
    <w:rsid w:val="00FD7CE0"/>
    <w:rsid w:val="00FD7F21"/>
    <w:rsid w:val="00FE158B"/>
    <w:rsid w:val="00FE1C3E"/>
    <w:rsid w:val="00FE5FAB"/>
    <w:rsid w:val="00FE601F"/>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yle="mso-wrap-style:none;mso-position-vertical-relative:line" fillcolor="yellow">
      <v:fill color="yellow"/>
      <v:textbox style="mso-fit-shape-to-text:t"/>
    </o:shapedefaults>
    <o:shapelayout v:ext="edit">
      <o:idmap v:ext="edit" data="1"/>
    </o:shapelayout>
  </w:shapeDefaults>
  <w:decimalSymbol w:val="."/>
  <w:listSeparator w:val=","/>
  <w14:docId w14:val="300E0BA7"/>
  <w15:docId w15:val="{87E8BBAB-40CA-4A9E-AC82-183B00FA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0D13EB"/>
    <w:pPr>
      <w:tabs>
        <w:tab w:val="left" w:pos="-1800"/>
        <w:tab w:val="left" w:pos="630"/>
        <w:tab w:val="right" w:leader="dot" w:pos="9710"/>
      </w:tabs>
      <w:ind w:left="630" w:hanging="630"/>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0703F"/>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C3427F"/>
    <w:pPr>
      <w:widowControl w:val="0"/>
      <w:snapToGrid w:val="0"/>
      <w:spacing w:before="100" w:after="100"/>
      <w:jc w:val="center"/>
    </w:pPr>
    <w:rPr>
      <w:rFonts w:ascii="Palatino" w:hAnsi="Palatino"/>
      <w:b/>
      <w:szCs w:val="20"/>
    </w:rPr>
  </w:style>
  <w:style w:type="character" w:customStyle="1" w:styleId="BodyTextChar">
    <w:name w:val="Body Text Char"/>
    <w:basedOn w:val="DefaultParagraphFont"/>
    <w:link w:val="BodyText"/>
    <w:rsid w:val="00C3427F"/>
    <w:rPr>
      <w:rFonts w:ascii="Palatino" w:hAnsi="Palatino"/>
      <w:b/>
      <w:sz w:val="24"/>
    </w:rPr>
  </w:style>
  <w:style w:type="paragraph" w:styleId="BodyTextIndent">
    <w:name w:val="Body Text Indent"/>
    <w:basedOn w:val="Normal"/>
    <w:link w:val="BodyTextIndentChar"/>
    <w:rsid w:val="00C3427F"/>
    <w:pPr>
      <w:widowControl w:val="0"/>
      <w:snapToGrid w:val="0"/>
      <w:spacing w:before="100" w:after="100"/>
      <w:ind w:left="810"/>
      <w:jc w:val="left"/>
      <w:outlineLvl w:val="0"/>
    </w:pPr>
    <w:rPr>
      <w:b/>
      <w:szCs w:val="20"/>
    </w:rPr>
  </w:style>
  <w:style w:type="character" w:customStyle="1" w:styleId="BodyTextIndentChar">
    <w:name w:val="Body Text Indent Char"/>
    <w:basedOn w:val="DefaultParagraphFont"/>
    <w:link w:val="BodyTextIndent"/>
    <w:rsid w:val="00C3427F"/>
    <w:rPr>
      <w:b/>
      <w:sz w:val="24"/>
    </w:rPr>
  </w:style>
  <w:style w:type="paragraph" w:styleId="BodyTextIndent3">
    <w:name w:val="Body Text Indent 3"/>
    <w:basedOn w:val="Normal"/>
    <w:link w:val="BodyTextIndent3Char"/>
    <w:rsid w:val="00C3427F"/>
    <w:pPr>
      <w:widowControl w:val="0"/>
      <w:snapToGrid w:val="0"/>
      <w:spacing w:before="100" w:after="100"/>
      <w:ind w:left="720"/>
      <w:jc w:val="left"/>
    </w:pPr>
    <w:rPr>
      <w:rFonts w:ascii="Palatino" w:hAnsi="Palatino"/>
      <w:szCs w:val="20"/>
    </w:rPr>
  </w:style>
  <w:style w:type="character" w:customStyle="1" w:styleId="BodyTextIndent3Char">
    <w:name w:val="Body Text Indent 3 Char"/>
    <w:basedOn w:val="DefaultParagraphFont"/>
    <w:link w:val="BodyTextIndent3"/>
    <w:rsid w:val="00C3427F"/>
    <w:rPr>
      <w:rFonts w:ascii="Palatino" w:hAnsi="Palatino"/>
      <w:sz w:val="24"/>
    </w:rPr>
  </w:style>
  <w:style w:type="paragraph" w:styleId="BodyTextIndent2">
    <w:name w:val="Body Text Indent 2"/>
    <w:basedOn w:val="Normal"/>
    <w:link w:val="BodyTextIndent2Char"/>
    <w:uiPriority w:val="99"/>
    <w:semiHidden/>
    <w:unhideWhenUsed/>
    <w:rsid w:val="00E63958"/>
    <w:pPr>
      <w:spacing w:after="120" w:line="480" w:lineRule="auto"/>
      <w:ind w:left="360"/>
    </w:pPr>
  </w:style>
  <w:style w:type="character" w:customStyle="1" w:styleId="BodyTextIndent2Char">
    <w:name w:val="Body Text Indent 2 Char"/>
    <w:basedOn w:val="DefaultParagraphFont"/>
    <w:link w:val="BodyTextIndent2"/>
    <w:uiPriority w:val="99"/>
    <w:semiHidden/>
    <w:rsid w:val="00E63958"/>
    <w:rPr>
      <w:sz w:val="24"/>
      <w:szCs w:val="24"/>
    </w:rPr>
  </w:style>
  <w:style w:type="character" w:styleId="LineNumber">
    <w:name w:val="line number"/>
    <w:basedOn w:val="DefaultParagraphFont"/>
    <w:uiPriority w:val="99"/>
    <w:semiHidden/>
    <w:unhideWhenUsed/>
    <w:rsid w:val="00545AF8"/>
  </w:style>
  <w:style w:type="paragraph" w:styleId="PlainText">
    <w:name w:val="Plain Text"/>
    <w:basedOn w:val="Normal"/>
    <w:link w:val="PlainTextChar"/>
    <w:rsid w:val="00B63E62"/>
    <w:pPr>
      <w:jc w:val="left"/>
    </w:pPr>
    <w:rPr>
      <w:rFonts w:ascii="Courier New" w:hAnsi="Courier New"/>
      <w:sz w:val="20"/>
      <w:szCs w:val="20"/>
    </w:rPr>
  </w:style>
  <w:style w:type="character" w:customStyle="1" w:styleId="PlainTextChar">
    <w:name w:val="Plain Text Char"/>
    <w:basedOn w:val="DefaultParagraphFont"/>
    <w:link w:val="PlainText"/>
    <w:rsid w:val="00B63E62"/>
    <w:rPr>
      <w:rFonts w:ascii="Courier New" w:hAnsi="Courier New"/>
    </w:rPr>
  </w:style>
  <w:style w:type="paragraph" w:styleId="ListBullet4">
    <w:name w:val="List Bullet 4"/>
    <w:basedOn w:val="Normal"/>
    <w:autoRedefine/>
    <w:rsid w:val="00B63E62"/>
    <w:pPr>
      <w:numPr>
        <w:numId w:val="29"/>
      </w:numPr>
      <w:jc w:val="left"/>
    </w:pPr>
    <w:rPr>
      <w:sz w:val="20"/>
      <w:szCs w:val="20"/>
    </w:rPr>
  </w:style>
  <w:style w:type="character" w:styleId="CommentReference">
    <w:name w:val="annotation reference"/>
    <w:basedOn w:val="DefaultParagraphFont"/>
    <w:uiPriority w:val="99"/>
    <w:semiHidden/>
    <w:unhideWhenUsed/>
    <w:rsid w:val="002C718E"/>
    <w:rPr>
      <w:sz w:val="16"/>
      <w:szCs w:val="16"/>
    </w:rPr>
  </w:style>
  <w:style w:type="paragraph" w:styleId="CommentText">
    <w:name w:val="annotation text"/>
    <w:basedOn w:val="Normal"/>
    <w:link w:val="CommentTextChar"/>
    <w:uiPriority w:val="99"/>
    <w:semiHidden/>
    <w:unhideWhenUsed/>
    <w:rsid w:val="002C718E"/>
    <w:rPr>
      <w:sz w:val="20"/>
      <w:szCs w:val="20"/>
    </w:rPr>
  </w:style>
  <w:style w:type="character" w:customStyle="1" w:styleId="CommentTextChar">
    <w:name w:val="Comment Text Char"/>
    <w:basedOn w:val="DefaultParagraphFont"/>
    <w:link w:val="CommentText"/>
    <w:uiPriority w:val="99"/>
    <w:semiHidden/>
    <w:rsid w:val="002C718E"/>
  </w:style>
  <w:style w:type="paragraph" w:styleId="CommentSubject">
    <w:name w:val="annotation subject"/>
    <w:basedOn w:val="CommentText"/>
    <w:next w:val="CommentText"/>
    <w:link w:val="CommentSubjectChar"/>
    <w:uiPriority w:val="99"/>
    <w:semiHidden/>
    <w:unhideWhenUsed/>
    <w:rsid w:val="002C718E"/>
    <w:rPr>
      <w:b/>
      <w:bCs/>
    </w:rPr>
  </w:style>
  <w:style w:type="character" w:customStyle="1" w:styleId="CommentSubjectChar">
    <w:name w:val="Comment Subject Char"/>
    <w:basedOn w:val="CommentTextChar"/>
    <w:link w:val="CommentSubject"/>
    <w:uiPriority w:val="99"/>
    <w:semiHidden/>
    <w:rsid w:val="002C718E"/>
    <w:rPr>
      <w:b/>
      <w:bCs/>
    </w:rPr>
  </w:style>
  <w:style w:type="paragraph" w:styleId="Revision">
    <w:name w:val="Revision"/>
    <w:hidden/>
    <w:uiPriority w:val="99"/>
    <w:semiHidden/>
    <w:rsid w:val="00EC06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2149">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11004753">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58473006">
      <w:bodyDiv w:val="1"/>
      <w:marLeft w:val="0"/>
      <w:marRight w:val="0"/>
      <w:marTop w:val="30"/>
      <w:marBottom w:val="750"/>
      <w:divBdr>
        <w:top w:val="none" w:sz="0" w:space="0" w:color="auto"/>
        <w:left w:val="none" w:sz="0" w:space="0" w:color="auto"/>
        <w:bottom w:val="none" w:sz="0" w:space="0" w:color="auto"/>
        <w:right w:val="none" w:sz="0" w:space="0" w:color="auto"/>
      </w:divBdr>
      <w:divsChild>
        <w:div w:id="1811820000">
          <w:marLeft w:val="0"/>
          <w:marRight w:val="0"/>
          <w:marTop w:val="0"/>
          <w:marBottom w:val="0"/>
          <w:divBdr>
            <w:top w:val="none" w:sz="0" w:space="0" w:color="auto"/>
            <w:left w:val="none" w:sz="0" w:space="0" w:color="auto"/>
            <w:bottom w:val="none" w:sz="0" w:space="0" w:color="auto"/>
            <w:right w:val="none" w:sz="0" w:space="0" w:color="auto"/>
          </w:divBdr>
        </w:div>
      </w:divsChild>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5081660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274823909">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44017098">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69690331">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99DFAD8B484954F9EC29AEBD04153F6" ma:contentTypeVersion="22" ma:contentTypeDescription="Create a new document." ma:contentTypeScope="" ma:versionID="97b59af02f9fb0889353baf32d692c0d">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684d57e-1e2d-4e4e-b964-3c7a0f1fc74b">-607-1403</_dlc_DocId>
    <_dlc_DocIdUrl xmlns="0684d57e-1e2d-4e4e-b964-3c7a0f1fc74b">
      <Url>https://fermipoint.fnal.gov/organization/eshq/mss/_layouts/15/DocIdRedir.aspx?ID=-607-1403</Url>
      <Description>-607-1403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987EDA6-6E1B-45E8-A0C3-620934E69BAC}">
  <ds:schemaRefs>
    <ds:schemaRef ds:uri="http://schemas.microsoft.com/sharepoint/events"/>
  </ds:schemaRefs>
</ds:datastoreItem>
</file>

<file path=customXml/itemProps2.xml><?xml version="1.0" encoding="utf-8"?>
<ds:datastoreItem xmlns:ds="http://schemas.openxmlformats.org/officeDocument/2006/customXml" ds:itemID="{567B6FF8-AC61-42DD-A6E4-48516F7A1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8162F-D7CE-4DC1-AF98-9E21008F35CB}">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0684d57e-1e2d-4e4e-b964-3c7a0f1fc74b"/>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F93E780F-90B9-4958-8A79-4EA6C454DF31}">
  <ds:schemaRefs>
    <ds:schemaRef ds:uri="http://schemas.microsoft.com/sharepoint/v3/contenttype/forms"/>
  </ds:schemaRefs>
</ds:datastoreItem>
</file>

<file path=customXml/itemProps5.xml><?xml version="1.0" encoding="utf-8"?>
<ds:datastoreItem xmlns:ds="http://schemas.openxmlformats.org/officeDocument/2006/customXml" ds:itemID="{DB24352F-B804-49FD-8608-EA6F2B73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1952</Words>
  <Characters>11129</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13055</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Jo Bailey</dc:creator>
  <cp:lastModifiedBy>Jody L Federwitz</cp:lastModifiedBy>
  <cp:revision>2</cp:revision>
  <cp:lastPrinted>2016-06-02T13:41:00Z</cp:lastPrinted>
  <dcterms:created xsi:type="dcterms:W3CDTF">2017-01-26T20:35:00Z</dcterms:created>
  <dcterms:modified xsi:type="dcterms:W3CDTF">2017-01-26T20:35:00Z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10bdf543-31ee-44c6-97bb-949781b4850a</vt:lpwstr>
  </property>
  <property fmtid="{D5CDD505-2E9C-101B-9397-08002B2CF9AE}" pid="3" name="ContentTypeId">
    <vt:lpwstr>0x010100C99DFAD8B484954F9EC29AEBD04153F6</vt:lpwstr>
  </property>
</Properties>
</file>