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2C80" w:rsidRPr="00970071" w:rsidRDefault="00142C80" w:rsidP="00C677B3">
      <w:pPr>
        <w:rPr>
          <w:b/>
          <w:sz w:val="28"/>
          <w:szCs w:val="28"/>
        </w:rPr>
      </w:pPr>
    </w:p>
    <w:p w:rsidR="00142C80" w:rsidRPr="00970071" w:rsidRDefault="004F254C" w:rsidP="00E93086">
      <w:pPr>
        <w:ind w:right="36"/>
        <w:jc w:val="center"/>
        <w:rPr>
          <w:color w:val="000000"/>
          <w:sz w:val="36"/>
          <w:szCs w:val="36"/>
        </w:rPr>
      </w:pPr>
      <w:r w:rsidRPr="00970071">
        <w:rPr>
          <w:color w:val="000000"/>
          <w:sz w:val="36"/>
          <w:szCs w:val="36"/>
        </w:rPr>
        <w:t xml:space="preserve">FESHM </w:t>
      </w:r>
      <w:r w:rsidR="00BD7048" w:rsidRPr="0045000F">
        <w:rPr>
          <w:color w:val="000000"/>
          <w:sz w:val="36"/>
          <w:szCs w:val="36"/>
        </w:rPr>
        <w:t>2005</w:t>
      </w:r>
      <w:r w:rsidRPr="0045000F">
        <w:rPr>
          <w:color w:val="000000"/>
          <w:sz w:val="36"/>
          <w:szCs w:val="36"/>
        </w:rPr>
        <w:t>:</w:t>
      </w:r>
      <w:r w:rsidRPr="00970071">
        <w:rPr>
          <w:color w:val="000000"/>
          <w:sz w:val="36"/>
          <w:szCs w:val="36"/>
        </w:rPr>
        <w:t xml:space="preserve"> </w:t>
      </w:r>
      <w:r w:rsidR="00BD7048">
        <w:rPr>
          <w:color w:val="000000"/>
          <w:sz w:val="36"/>
          <w:szCs w:val="36"/>
        </w:rPr>
        <w:t xml:space="preserve">Operational Readiness Clearance </w:t>
      </w:r>
    </w:p>
    <w:p w:rsidR="00142C80" w:rsidRPr="00970071" w:rsidRDefault="00142C80" w:rsidP="00C677B3">
      <w:pPr>
        <w:rPr>
          <w:b/>
          <w:sz w:val="28"/>
          <w:szCs w:val="28"/>
        </w:rPr>
      </w:pPr>
    </w:p>
    <w:p w:rsidR="00DB5D5A" w:rsidRPr="00970071" w:rsidRDefault="00743FAE" w:rsidP="00DB5D5A">
      <w:pPr>
        <w:ind w:right="-140"/>
        <w:jc w:val="center"/>
        <w:rPr>
          <w:b/>
          <w:color w:val="000000"/>
        </w:rPr>
      </w:pPr>
      <w:r w:rsidRPr="00970071">
        <w:rPr>
          <w:b/>
          <w:color w:val="000000"/>
        </w:rPr>
        <w:t>Revision History</w:t>
      </w:r>
    </w:p>
    <w:p w:rsidR="00DB5D5A" w:rsidRPr="00970071" w:rsidRDefault="00DB5D5A" w:rsidP="00DB5D5A">
      <w:pPr>
        <w:ind w:right="-140"/>
        <w:rPr>
          <w:b/>
          <w:color w:val="000000"/>
        </w:rPr>
      </w:pPr>
    </w:p>
    <w:tbl>
      <w:tblPr>
        <w:tblW w:w="989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155"/>
        <w:gridCol w:w="5940"/>
        <w:gridCol w:w="1800"/>
      </w:tblGrid>
      <w:tr w:rsidR="00EF2B36" w:rsidRPr="00970071" w:rsidTr="00F12F2F">
        <w:tc>
          <w:tcPr>
            <w:tcW w:w="2155" w:type="dxa"/>
          </w:tcPr>
          <w:p w:rsidR="00743FAE" w:rsidRPr="00970071" w:rsidRDefault="00743FAE" w:rsidP="0086083E">
            <w:pPr>
              <w:tabs>
                <w:tab w:val="left" w:pos="720"/>
              </w:tabs>
              <w:jc w:val="center"/>
              <w:rPr>
                <w:b/>
              </w:rPr>
            </w:pPr>
            <w:r w:rsidRPr="00970071">
              <w:rPr>
                <w:b/>
              </w:rPr>
              <w:t>Author</w:t>
            </w:r>
          </w:p>
        </w:tc>
        <w:tc>
          <w:tcPr>
            <w:tcW w:w="5940" w:type="dxa"/>
          </w:tcPr>
          <w:p w:rsidR="00743FAE" w:rsidRPr="00970071" w:rsidRDefault="00743FAE" w:rsidP="0086083E">
            <w:pPr>
              <w:tabs>
                <w:tab w:val="left" w:pos="720"/>
              </w:tabs>
              <w:jc w:val="center"/>
              <w:rPr>
                <w:b/>
              </w:rPr>
            </w:pPr>
            <w:r w:rsidRPr="00970071">
              <w:rPr>
                <w:b/>
              </w:rPr>
              <w:t>Description of Change</w:t>
            </w:r>
          </w:p>
        </w:tc>
        <w:tc>
          <w:tcPr>
            <w:tcW w:w="1800" w:type="dxa"/>
          </w:tcPr>
          <w:p w:rsidR="00743FAE" w:rsidRPr="00970071" w:rsidRDefault="00CD7755" w:rsidP="00CD7755">
            <w:pPr>
              <w:tabs>
                <w:tab w:val="left" w:pos="720"/>
              </w:tabs>
              <w:jc w:val="center"/>
              <w:rPr>
                <w:b/>
              </w:rPr>
            </w:pPr>
            <w:r>
              <w:rPr>
                <w:b/>
              </w:rPr>
              <w:t xml:space="preserve">Revision </w:t>
            </w:r>
            <w:r w:rsidR="00743FAE" w:rsidRPr="00970071">
              <w:rPr>
                <w:b/>
              </w:rPr>
              <w:t>Date</w:t>
            </w:r>
          </w:p>
        </w:tc>
      </w:tr>
      <w:tr w:rsidR="006668DA" w:rsidRPr="00970071" w:rsidTr="00F12F2F">
        <w:tc>
          <w:tcPr>
            <w:tcW w:w="2155" w:type="dxa"/>
          </w:tcPr>
          <w:p w:rsidR="006668DA" w:rsidRDefault="006668DA" w:rsidP="00024182">
            <w:pPr>
              <w:tabs>
                <w:tab w:val="left" w:pos="720"/>
              </w:tabs>
              <w:jc w:val="center"/>
            </w:pPr>
            <w:r>
              <w:t>Eric McHugh</w:t>
            </w:r>
          </w:p>
        </w:tc>
        <w:tc>
          <w:tcPr>
            <w:tcW w:w="5940" w:type="dxa"/>
          </w:tcPr>
          <w:p w:rsidR="006668DA" w:rsidRDefault="006668DA" w:rsidP="005F3525">
            <w:pPr>
              <w:tabs>
                <w:tab w:val="left" w:pos="720"/>
              </w:tabs>
              <w:spacing w:after="60"/>
              <w:jc w:val="left"/>
            </w:pPr>
            <w:r>
              <w:t xml:space="preserve">Amended the ORC flowchart, delete the specific beam and no beam flowcharts.  Editorial changes to reflect the change in flowcharts. </w:t>
            </w:r>
            <w:r w:rsidR="00F009E6">
              <w:t>Added FESHM 4310 Nanomaterials to the technical appendix</w:t>
            </w:r>
            <w:r w:rsidR="005F3525">
              <w:t>.</w:t>
            </w:r>
          </w:p>
        </w:tc>
        <w:tc>
          <w:tcPr>
            <w:tcW w:w="1800" w:type="dxa"/>
          </w:tcPr>
          <w:p w:rsidR="006668DA" w:rsidRDefault="006668DA" w:rsidP="009E601B">
            <w:pPr>
              <w:tabs>
                <w:tab w:val="left" w:pos="720"/>
              </w:tabs>
              <w:jc w:val="center"/>
            </w:pPr>
            <w:r>
              <w:t>July 2018</w:t>
            </w:r>
          </w:p>
        </w:tc>
      </w:tr>
      <w:tr w:rsidR="00AC47E5" w:rsidRPr="00970071" w:rsidTr="00F12F2F">
        <w:tc>
          <w:tcPr>
            <w:tcW w:w="2155" w:type="dxa"/>
          </w:tcPr>
          <w:p w:rsidR="00AC47E5" w:rsidRDefault="00AC47E5" w:rsidP="00024182">
            <w:pPr>
              <w:tabs>
                <w:tab w:val="left" w:pos="720"/>
              </w:tabs>
              <w:jc w:val="center"/>
            </w:pPr>
            <w:r>
              <w:t>Eric McHugh</w:t>
            </w:r>
          </w:p>
        </w:tc>
        <w:tc>
          <w:tcPr>
            <w:tcW w:w="5940" w:type="dxa"/>
          </w:tcPr>
          <w:p w:rsidR="00AC47E5" w:rsidRDefault="00AC47E5" w:rsidP="005F3525">
            <w:pPr>
              <w:tabs>
                <w:tab w:val="left" w:pos="720"/>
              </w:tabs>
              <w:spacing w:after="60"/>
              <w:jc w:val="left"/>
            </w:pPr>
            <w:r>
              <w:t>Changes to give ORC chairperson authority to customize the ORC panel composition per the hazards presented</w:t>
            </w:r>
            <w:r w:rsidR="00033DDD">
              <w:t xml:space="preserve"> to match current practices</w:t>
            </w:r>
            <w:r w:rsidR="005F3525">
              <w:t>.</w:t>
            </w:r>
          </w:p>
        </w:tc>
        <w:tc>
          <w:tcPr>
            <w:tcW w:w="1800" w:type="dxa"/>
          </w:tcPr>
          <w:p w:rsidR="00AC47E5" w:rsidRDefault="00AC47E5" w:rsidP="009E601B">
            <w:pPr>
              <w:tabs>
                <w:tab w:val="left" w:pos="720"/>
              </w:tabs>
              <w:jc w:val="center"/>
            </w:pPr>
            <w:r>
              <w:t>February 2018</w:t>
            </w:r>
          </w:p>
        </w:tc>
      </w:tr>
      <w:tr w:rsidR="003D6E3C" w:rsidRPr="00970071" w:rsidTr="00F12F2F">
        <w:tc>
          <w:tcPr>
            <w:tcW w:w="2155" w:type="dxa"/>
          </w:tcPr>
          <w:p w:rsidR="003D6E3C" w:rsidRDefault="003D6E3C" w:rsidP="00024182">
            <w:pPr>
              <w:tabs>
                <w:tab w:val="left" w:pos="720"/>
              </w:tabs>
              <w:jc w:val="center"/>
            </w:pPr>
            <w:r>
              <w:t>Eric McHugh</w:t>
            </w:r>
          </w:p>
        </w:tc>
        <w:tc>
          <w:tcPr>
            <w:tcW w:w="5940" w:type="dxa"/>
          </w:tcPr>
          <w:p w:rsidR="003D6E3C" w:rsidRDefault="003D6E3C" w:rsidP="005F3525">
            <w:pPr>
              <w:tabs>
                <w:tab w:val="left" w:pos="720"/>
              </w:tabs>
              <w:spacing w:after="60"/>
              <w:jc w:val="left"/>
            </w:pPr>
            <w:r>
              <w:t xml:space="preserve">Editorial changes to clarify that this chapter applies to </w:t>
            </w:r>
            <w:r w:rsidR="005F3525">
              <w:t>Fermilab leased spaces</w:t>
            </w:r>
            <w:r>
              <w:t xml:space="preserve"> and not just Fermilab proper</w:t>
            </w:r>
            <w:r w:rsidR="005F3525">
              <w:t>.</w:t>
            </w:r>
          </w:p>
        </w:tc>
        <w:tc>
          <w:tcPr>
            <w:tcW w:w="1800" w:type="dxa"/>
          </w:tcPr>
          <w:p w:rsidR="003D6E3C" w:rsidRDefault="00F12F2F" w:rsidP="009E601B">
            <w:pPr>
              <w:tabs>
                <w:tab w:val="left" w:pos="720"/>
              </w:tabs>
              <w:jc w:val="center"/>
            </w:pPr>
            <w:r>
              <w:t>December 2017</w:t>
            </w:r>
          </w:p>
        </w:tc>
      </w:tr>
      <w:tr w:rsidR="00A4426F" w:rsidRPr="00970071" w:rsidTr="00F12F2F">
        <w:tc>
          <w:tcPr>
            <w:tcW w:w="2155" w:type="dxa"/>
          </w:tcPr>
          <w:p w:rsidR="00A4426F" w:rsidRDefault="00A4426F" w:rsidP="00024182">
            <w:pPr>
              <w:tabs>
                <w:tab w:val="left" w:pos="720"/>
              </w:tabs>
              <w:jc w:val="center"/>
            </w:pPr>
            <w:r>
              <w:t>Eric McHugh</w:t>
            </w:r>
          </w:p>
        </w:tc>
        <w:tc>
          <w:tcPr>
            <w:tcW w:w="5940" w:type="dxa"/>
          </w:tcPr>
          <w:p w:rsidR="00A4426F" w:rsidRDefault="00A4426F" w:rsidP="00A4426F">
            <w:pPr>
              <w:tabs>
                <w:tab w:val="left" w:pos="720"/>
              </w:tabs>
              <w:jc w:val="left"/>
            </w:pPr>
            <w:r>
              <w:t xml:space="preserve">Updated Technical Appendix to include: </w:t>
            </w:r>
          </w:p>
          <w:p w:rsidR="00A4426F" w:rsidRDefault="00A4426F" w:rsidP="00C677B3">
            <w:pPr>
              <w:pStyle w:val="ListParagraph"/>
              <w:numPr>
                <w:ilvl w:val="0"/>
                <w:numId w:val="42"/>
              </w:numPr>
              <w:ind w:left="526" w:hanging="284"/>
              <w:jc w:val="left"/>
            </w:pPr>
            <w:r>
              <w:t>DocDB references to guidance chapters compiled by Fermilab Subject Matter Experts for ORC reviews</w:t>
            </w:r>
          </w:p>
          <w:p w:rsidR="00A4426F" w:rsidRDefault="00A4426F" w:rsidP="00C677B3">
            <w:pPr>
              <w:pStyle w:val="ListParagraph"/>
              <w:numPr>
                <w:ilvl w:val="0"/>
                <w:numId w:val="42"/>
              </w:numPr>
              <w:ind w:left="526" w:hanging="284"/>
              <w:jc w:val="left"/>
            </w:pPr>
            <w:r>
              <w:t>Electrical Safety ORC Review Guidelines</w:t>
            </w:r>
          </w:p>
          <w:p w:rsidR="00A4426F" w:rsidRDefault="00A4426F" w:rsidP="00C677B3">
            <w:pPr>
              <w:pStyle w:val="ListParagraph"/>
              <w:numPr>
                <w:ilvl w:val="0"/>
                <w:numId w:val="42"/>
              </w:numPr>
              <w:ind w:left="526" w:hanging="284"/>
              <w:jc w:val="left"/>
            </w:pPr>
            <w:r>
              <w:t>Environmental ORC Review Guidelines</w:t>
            </w:r>
          </w:p>
          <w:p w:rsidR="00A4426F" w:rsidRDefault="00A4426F" w:rsidP="005F3525">
            <w:pPr>
              <w:pStyle w:val="ListParagraph"/>
              <w:numPr>
                <w:ilvl w:val="0"/>
                <w:numId w:val="42"/>
              </w:numPr>
              <w:spacing w:after="60"/>
              <w:ind w:left="526" w:hanging="284"/>
              <w:jc w:val="left"/>
            </w:pPr>
            <w:r>
              <w:t>Fire/Life Safety ORC Review Guidelines</w:t>
            </w:r>
          </w:p>
        </w:tc>
        <w:tc>
          <w:tcPr>
            <w:tcW w:w="1800" w:type="dxa"/>
          </w:tcPr>
          <w:p w:rsidR="00A4426F" w:rsidRDefault="00A4426F" w:rsidP="009E601B">
            <w:pPr>
              <w:tabs>
                <w:tab w:val="left" w:pos="720"/>
              </w:tabs>
              <w:jc w:val="center"/>
            </w:pPr>
            <w:r>
              <w:t>January 2017</w:t>
            </w:r>
          </w:p>
        </w:tc>
      </w:tr>
      <w:tr w:rsidR="00EF2B36" w:rsidRPr="00970071" w:rsidTr="00F12F2F">
        <w:tc>
          <w:tcPr>
            <w:tcW w:w="2155" w:type="dxa"/>
          </w:tcPr>
          <w:p w:rsidR="00BC3A09" w:rsidRDefault="00BD7048" w:rsidP="00024182">
            <w:pPr>
              <w:tabs>
                <w:tab w:val="left" w:pos="720"/>
              </w:tabs>
              <w:jc w:val="center"/>
            </w:pPr>
            <w:r>
              <w:t>Amber Kenney</w:t>
            </w:r>
          </w:p>
          <w:p w:rsidR="00BC3A09" w:rsidRDefault="00BC3A09" w:rsidP="00024182">
            <w:pPr>
              <w:tabs>
                <w:tab w:val="left" w:pos="720"/>
              </w:tabs>
              <w:jc w:val="center"/>
            </w:pPr>
            <w:r>
              <w:t>Eric McHugh</w:t>
            </w:r>
          </w:p>
          <w:p w:rsidR="00BC3A09" w:rsidRDefault="00BC3A09" w:rsidP="00024182">
            <w:pPr>
              <w:tabs>
                <w:tab w:val="left" w:pos="720"/>
              </w:tabs>
              <w:jc w:val="center"/>
            </w:pPr>
            <w:r>
              <w:t>Kathy Zappia</w:t>
            </w:r>
          </w:p>
          <w:p w:rsidR="00BC3A09" w:rsidRDefault="00BC3A09" w:rsidP="00024182">
            <w:pPr>
              <w:tabs>
                <w:tab w:val="left" w:pos="720"/>
              </w:tabs>
              <w:jc w:val="center"/>
            </w:pPr>
            <w:r>
              <w:t>Raymond Lewis</w:t>
            </w:r>
          </w:p>
          <w:p w:rsidR="00B85B17" w:rsidRDefault="00BC3A09" w:rsidP="00BC3A09">
            <w:pPr>
              <w:tabs>
                <w:tab w:val="left" w:pos="720"/>
              </w:tabs>
              <w:jc w:val="center"/>
            </w:pPr>
            <w:r>
              <w:t>Don Cossairt</w:t>
            </w:r>
          </w:p>
          <w:p w:rsidR="0052320A" w:rsidRDefault="0052320A" w:rsidP="00BC3A09">
            <w:pPr>
              <w:tabs>
                <w:tab w:val="left" w:pos="720"/>
              </w:tabs>
              <w:jc w:val="center"/>
            </w:pPr>
            <w:r>
              <w:t>Richard Ruthe</w:t>
            </w:r>
          </w:p>
          <w:p w:rsidR="0052320A" w:rsidRPr="00BD7048" w:rsidRDefault="0052320A" w:rsidP="00BC3A09">
            <w:pPr>
              <w:tabs>
                <w:tab w:val="left" w:pos="720"/>
              </w:tabs>
              <w:jc w:val="center"/>
            </w:pPr>
            <w:r>
              <w:t>John Anderson, Jr.</w:t>
            </w:r>
          </w:p>
        </w:tc>
        <w:tc>
          <w:tcPr>
            <w:tcW w:w="5940" w:type="dxa"/>
          </w:tcPr>
          <w:p w:rsidR="001B73C6" w:rsidRDefault="00BD7048" w:rsidP="0045000F">
            <w:pPr>
              <w:tabs>
                <w:tab w:val="left" w:pos="720"/>
              </w:tabs>
              <w:jc w:val="left"/>
            </w:pPr>
            <w:r>
              <w:t>Initial release of chapter</w:t>
            </w:r>
          </w:p>
          <w:p w:rsidR="009E601B" w:rsidRDefault="001B73C6" w:rsidP="00C677B3">
            <w:pPr>
              <w:pStyle w:val="ListParagraph"/>
              <w:numPr>
                <w:ilvl w:val="0"/>
                <w:numId w:val="41"/>
              </w:numPr>
              <w:ind w:left="526" w:hanging="284"/>
              <w:jc w:val="left"/>
            </w:pPr>
            <w:r>
              <w:t>D</w:t>
            </w:r>
            <w:r w:rsidR="0045000F">
              <w:t>efines a lab-wide process for ORCs applicable to experiments, tests, R&amp;D and other activities required by D/S management</w:t>
            </w:r>
            <w:r>
              <w:t xml:space="preserve"> that have the potential to cause harm to personnel, property or the environment</w:t>
            </w:r>
          </w:p>
          <w:p w:rsidR="001B73C6" w:rsidRDefault="001B73C6" w:rsidP="00C677B3">
            <w:pPr>
              <w:pStyle w:val="ListParagraph"/>
              <w:numPr>
                <w:ilvl w:val="0"/>
                <w:numId w:val="41"/>
              </w:numPr>
              <w:ind w:left="526" w:hanging="284"/>
              <w:jc w:val="left"/>
            </w:pPr>
            <w:r>
              <w:t>Defines a standard terminology for ORCs</w:t>
            </w:r>
          </w:p>
          <w:p w:rsidR="001B73C6" w:rsidRDefault="001B73C6" w:rsidP="00C677B3">
            <w:pPr>
              <w:pStyle w:val="ListParagraph"/>
              <w:numPr>
                <w:ilvl w:val="0"/>
                <w:numId w:val="41"/>
              </w:numPr>
              <w:ind w:left="526" w:hanging="284"/>
              <w:jc w:val="left"/>
            </w:pPr>
            <w:r>
              <w:t>Introduces the online/automated ORC review and approval process</w:t>
            </w:r>
          </w:p>
          <w:p w:rsidR="001B73C6" w:rsidRPr="00BA7B7A" w:rsidRDefault="001B73C6" w:rsidP="005F3525">
            <w:pPr>
              <w:pStyle w:val="ListParagraph"/>
              <w:numPr>
                <w:ilvl w:val="0"/>
                <w:numId w:val="41"/>
              </w:numPr>
              <w:spacing w:after="60"/>
              <w:ind w:left="526" w:hanging="284"/>
              <w:jc w:val="left"/>
            </w:pPr>
            <w:r>
              <w:t>Provides an appendix that includes references to all other FESHM required ESH reviews</w:t>
            </w:r>
          </w:p>
        </w:tc>
        <w:tc>
          <w:tcPr>
            <w:tcW w:w="1800" w:type="dxa"/>
          </w:tcPr>
          <w:p w:rsidR="00B85B17" w:rsidRPr="00BA7B7A" w:rsidRDefault="0017017E" w:rsidP="009E601B">
            <w:pPr>
              <w:tabs>
                <w:tab w:val="left" w:pos="720"/>
              </w:tabs>
              <w:jc w:val="center"/>
            </w:pPr>
            <w:r>
              <w:t xml:space="preserve">September </w:t>
            </w:r>
            <w:r w:rsidR="00BD7048">
              <w:t>2016</w:t>
            </w:r>
          </w:p>
        </w:tc>
      </w:tr>
    </w:tbl>
    <w:p w:rsidR="00142C80" w:rsidRPr="00970071" w:rsidRDefault="00142C80" w:rsidP="00142C80">
      <w:pPr>
        <w:jc w:val="center"/>
        <w:rPr>
          <w:b/>
          <w:sz w:val="28"/>
          <w:szCs w:val="28"/>
        </w:rPr>
      </w:pPr>
    </w:p>
    <w:p w:rsidR="00142C80" w:rsidRPr="00970071" w:rsidRDefault="00142C80" w:rsidP="00142C80">
      <w:pPr>
        <w:jc w:val="center"/>
        <w:rPr>
          <w:b/>
          <w:sz w:val="28"/>
          <w:szCs w:val="28"/>
        </w:rPr>
      </w:pPr>
    </w:p>
    <w:p w:rsidR="00142C80" w:rsidRPr="00970071" w:rsidRDefault="00142C80" w:rsidP="00142C80">
      <w:pPr>
        <w:jc w:val="center"/>
        <w:rPr>
          <w:b/>
          <w:sz w:val="28"/>
          <w:szCs w:val="28"/>
        </w:rPr>
      </w:pPr>
    </w:p>
    <w:p w:rsidR="00142C80" w:rsidRPr="00970071" w:rsidRDefault="00142C80" w:rsidP="00142C80">
      <w:pPr>
        <w:jc w:val="center"/>
        <w:rPr>
          <w:b/>
          <w:sz w:val="28"/>
          <w:szCs w:val="28"/>
        </w:rPr>
      </w:pPr>
    </w:p>
    <w:p w:rsidR="008648A9" w:rsidRPr="00970071" w:rsidRDefault="008648A9" w:rsidP="00142C80">
      <w:pPr>
        <w:jc w:val="left"/>
        <w:rPr>
          <w:b/>
          <w:sz w:val="28"/>
          <w:szCs w:val="28"/>
        </w:rPr>
      </w:pPr>
    </w:p>
    <w:p w:rsidR="008648A9" w:rsidRPr="00970071" w:rsidRDefault="008648A9" w:rsidP="00142C80">
      <w:pPr>
        <w:jc w:val="left"/>
        <w:rPr>
          <w:b/>
          <w:sz w:val="28"/>
          <w:szCs w:val="28"/>
        </w:rPr>
      </w:pPr>
    </w:p>
    <w:p w:rsidR="008648A9" w:rsidRPr="00970071" w:rsidRDefault="008648A9" w:rsidP="008648A9">
      <w:pPr>
        <w:jc w:val="left"/>
        <w:rPr>
          <w:b/>
          <w:sz w:val="28"/>
          <w:szCs w:val="28"/>
        </w:rPr>
        <w:sectPr w:rsidR="008648A9" w:rsidRPr="00970071" w:rsidSect="00C677B3">
          <w:headerReference w:type="default" r:id="rId12"/>
          <w:footerReference w:type="default" r:id="rId13"/>
          <w:pgSz w:w="12240" w:h="15840" w:code="1"/>
          <w:pgMar w:top="720" w:right="1080" w:bottom="720" w:left="1440" w:header="720" w:footer="389" w:gutter="0"/>
          <w:cols w:space="720"/>
          <w:docGrid w:linePitch="360"/>
        </w:sectPr>
      </w:pPr>
    </w:p>
    <w:p w:rsidR="00A96FFC" w:rsidRPr="00970071" w:rsidRDefault="00A96FFC" w:rsidP="001A2CF3">
      <w:pPr>
        <w:jc w:val="center"/>
        <w:rPr>
          <w:b/>
          <w:sz w:val="28"/>
          <w:szCs w:val="28"/>
        </w:rPr>
      </w:pPr>
      <w:r w:rsidRPr="00970071">
        <w:rPr>
          <w:b/>
          <w:sz w:val="28"/>
          <w:szCs w:val="28"/>
        </w:rPr>
        <w:lastRenderedPageBreak/>
        <w:t>TABLE OF CONTENTS</w:t>
      </w:r>
    </w:p>
    <w:p w:rsidR="00A96FFC" w:rsidRPr="00970071" w:rsidRDefault="00A96FFC">
      <w:pPr>
        <w:rPr>
          <w:bCs/>
        </w:rPr>
      </w:pPr>
    </w:p>
    <w:p w:rsidR="008769BB" w:rsidRDefault="0031189E">
      <w:pPr>
        <w:pStyle w:val="TOC1"/>
        <w:rPr>
          <w:rFonts w:asciiTheme="minorHAnsi" w:eastAsiaTheme="minorEastAsia" w:hAnsiTheme="minorHAnsi" w:cstheme="minorBidi"/>
          <w:noProof/>
          <w:sz w:val="22"/>
          <w:szCs w:val="22"/>
        </w:rPr>
      </w:pPr>
      <w:r w:rsidRPr="00970071">
        <w:rPr>
          <w:bCs/>
        </w:rPr>
        <w:fldChar w:fldCharType="begin"/>
      </w:r>
      <w:r w:rsidR="00A96FFC" w:rsidRPr="00970071">
        <w:rPr>
          <w:bCs/>
        </w:rPr>
        <w:instrText xml:space="preserve"> TOC \o "1-3" \h \z \u </w:instrText>
      </w:r>
      <w:r w:rsidRPr="00970071">
        <w:rPr>
          <w:bCs/>
        </w:rPr>
        <w:fldChar w:fldCharType="separate"/>
      </w:r>
      <w:hyperlink w:anchor="_Toc519686115" w:history="1">
        <w:r w:rsidR="008769BB" w:rsidRPr="00931980">
          <w:rPr>
            <w:rStyle w:val="Hyperlink"/>
            <w:rFonts w:ascii="Times New Roman Bold" w:hAnsi="Times New Roman Bold"/>
            <w:noProof/>
          </w:rPr>
          <w:t>1.0</w:t>
        </w:r>
        <w:r w:rsidR="008769BB">
          <w:rPr>
            <w:rFonts w:asciiTheme="minorHAnsi" w:eastAsiaTheme="minorEastAsia" w:hAnsiTheme="minorHAnsi" w:cstheme="minorBidi"/>
            <w:noProof/>
            <w:sz w:val="22"/>
            <w:szCs w:val="22"/>
          </w:rPr>
          <w:tab/>
        </w:r>
        <w:r w:rsidR="008769BB" w:rsidRPr="00931980">
          <w:rPr>
            <w:rStyle w:val="Hyperlink"/>
            <w:noProof/>
          </w:rPr>
          <w:t>INTRODUCTION</w:t>
        </w:r>
        <w:r w:rsidR="008769BB">
          <w:rPr>
            <w:noProof/>
            <w:webHidden/>
          </w:rPr>
          <w:tab/>
        </w:r>
        <w:r w:rsidR="008769BB">
          <w:rPr>
            <w:noProof/>
            <w:webHidden/>
          </w:rPr>
          <w:fldChar w:fldCharType="begin"/>
        </w:r>
        <w:r w:rsidR="008769BB">
          <w:rPr>
            <w:noProof/>
            <w:webHidden/>
          </w:rPr>
          <w:instrText xml:space="preserve"> PAGEREF _Toc519686115 \h </w:instrText>
        </w:r>
        <w:r w:rsidR="008769BB">
          <w:rPr>
            <w:noProof/>
            <w:webHidden/>
          </w:rPr>
        </w:r>
        <w:r w:rsidR="008769BB">
          <w:rPr>
            <w:noProof/>
            <w:webHidden/>
          </w:rPr>
          <w:fldChar w:fldCharType="separate"/>
        </w:r>
        <w:r w:rsidR="008769BB">
          <w:rPr>
            <w:noProof/>
            <w:webHidden/>
          </w:rPr>
          <w:t>3</w:t>
        </w:r>
        <w:r w:rsidR="008769BB">
          <w:rPr>
            <w:noProof/>
            <w:webHidden/>
          </w:rPr>
          <w:fldChar w:fldCharType="end"/>
        </w:r>
      </w:hyperlink>
    </w:p>
    <w:p w:rsidR="008769BB" w:rsidRDefault="00960A5C">
      <w:pPr>
        <w:pStyle w:val="TOC1"/>
        <w:rPr>
          <w:rFonts w:asciiTheme="minorHAnsi" w:eastAsiaTheme="minorEastAsia" w:hAnsiTheme="minorHAnsi" w:cstheme="minorBidi"/>
          <w:noProof/>
          <w:sz w:val="22"/>
          <w:szCs w:val="22"/>
        </w:rPr>
      </w:pPr>
      <w:hyperlink w:anchor="_Toc519686116" w:history="1">
        <w:r w:rsidR="008769BB" w:rsidRPr="00931980">
          <w:rPr>
            <w:rStyle w:val="Hyperlink"/>
            <w:rFonts w:ascii="Times New Roman Bold" w:hAnsi="Times New Roman Bold"/>
            <w:noProof/>
          </w:rPr>
          <w:t>2.0</w:t>
        </w:r>
        <w:r w:rsidR="008769BB">
          <w:rPr>
            <w:rFonts w:asciiTheme="minorHAnsi" w:eastAsiaTheme="minorEastAsia" w:hAnsiTheme="minorHAnsi" w:cstheme="minorBidi"/>
            <w:noProof/>
            <w:sz w:val="22"/>
            <w:szCs w:val="22"/>
          </w:rPr>
          <w:tab/>
        </w:r>
        <w:r w:rsidR="008769BB" w:rsidRPr="00931980">
          <w:rPr>
            <w:rStyle w:val="Hyperlink"/>
            <w:noProof/>
          </w:rPr>
          <w:t>DEFINITIONS</w:t>
        </w:r>
        <w:r w:rsidR="008769BB">
          <w:rPr>
            <w:noProof/>
            <w:webHidden/>
          </w:rPr>
          <w:tab/>
        </w:r>
        <w:r w:rsidR="008769BB">
          <w:rPr>
            <w:noProof/>
            <w:webHidden/>
          </w:rPr>
          <w:fldChar w:fldCharType="begin"/>
        </w:r>
        <w:r w:rsidR="008769BB">
          <w:rPr>
            <w:noProof/>
            <w:webHidden/>
          </w:rPr>
          <w:instrText xml:space="preserve"> PAGEREF _Toc519686116 \h </w:instrText>
        </w:r>
        <w:r w:rsidR="008769BB">
          <w:rPr>
            <w:noProof/>
            <w:webHidden/>
          </w:rPr>
        </w:r>
        <w:r w:rsidR="008769BB">
          <w:rPr>
            <w:noProof/>
            <w:webHidden/>
          </w:rPr>
          <w:fldChar w:fldCharType="separate"/>
        </w:r>
        <w:r w:rsidR="008769BB">
          <w:rPr>
            <w:noProof/>
            <w:webHidden/>
          </w:rPr>
          <w:t>3</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17" w:history="1">
        <w:r w:rsidR="008769BB" w:rsidRPr="00931980">
          <w:rPr>
            <w:rStyle w:val="Hyperlink"/>
            <w:rFonts w:ascii="Times New Roman Bold" w:hAnsi="Times New Roman Bold"/>
            <w:noProof/>
          </w:rPr>
          <w:t>2.1</w:t>
        </w:r>
        <w:r w:rsidR="008769BB">
          <w:rPr>
            <w:rFonts w:asciiTheme="minorHAnsi" w:eastAsiaTheme="minorEastAsia" w:hAnsiTheme="minorHAnsi" w:cstheme="minorBidi"/>
            <w:noProof/>
            <w:sz w:val="22"/>
            <w:szCs w:val="22"/>
          </w:rPr>
          <w:tab/>
        </w:r>
        <w:r w:rsidR="008769BB" w:rsidRPr="00931980">
          <w:rPr>
            <w:rStyle w:val="Hyperlink"/>
            <w:noProof/>
          </w:rPr>
          <w:t>Activity Owner</w:t>
        </w:r>
        <w:r w:rsidR="008769BB">
          <w:rPr>
            <w:noProof/>
            <w:webHidden/>
          </w:rPr>
          <w:tab/>
        </w:r>
        <w:r w:rsidR="008769BB">
          <w:rPr>
            <w:noProof/>
            <w:webHidden/>
          </w:rPr>
          <w:fldChar w:fldCharType="begin"/>
        </w:r>
        <w:r w:rsidR="008769BB">
          <w:rPr>
            <w:noProof/>
            <w:webHidden/>
          </w:rPr>
          <w:instrText xml:space="preserve"> PAGEREF _Toc519686117 \h </w:instrText>
        </w:r>
        <w:r w:rsidR="008769BB">
          <w:rPr>
            <w:noProof/>
            <w:webHidden/>
          </w:rPr>
        </w:r>
        <w:r w:rsidR="008769BB">
          <w:rPr>
            <w:noProof/>
            <w:webHidden/>
          </w:rPr>
          <w:fldChar w:fldCharType="separate"/>
        </w:r>
        <w:r w:rsidR="008769BB">
          <w:rPr>
            <w:noProof/>
            <w:webHidden/>
          </w:rPr>
          <w:t>3</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18" w:history="1">
        <w:r w:rsidR="008769BB" w:rsidRPr="00931980">
          <w:rPr>
            <w:rStyle w:val="Hyperlink"/>
            <w:rFonts w:ascii="Times New Roman Bold" w:hAnsi="Times New Roman Bold"/>
            <w:noProof/>
          </w:rPr>
          <w:t>2.2</w:t>
        </w:r>
        <w:r w:rsidR="008769BB">
          <w:rPr>
            <w:rFonts w:asciiTheme="minorHAnsi" w:eastAsiaTheme="minorEastAsia" w:hAnsiTheme="minorHAnsi" w:cstheme="minorBidi"/>
            <w:noProof/>
            <w:sz w:val="22"/>
            <w:szCs w:val="22"/>
          </w:rPr>
          <w:tab/>
        </w:r>
        <w:r w:rsidR="008769BB" w:rsidRPr="00931980">
          <w:rPr>
            <w:rStyle w:val="Hyperlink"/>
            <w:noProof/>
          </w:rPr>
          <w:t>Beam Coordinator</w:t>
        </w:r>
        <w:r w:rsidR="008769BB">
          <w:rPr>
            <w:noProof/>
            <w:webHidden/>
          </w:rPr>
          <w:tab/>
        </w:r>
        <w:r w:rsidR="008769BB">
          <w:rPr>
            <w:noProof/>
            <w:webHidden/>
          </w:rPr>
          <w:fldChar w:fldCharType="begin"/>
        </w:r>
        <w:r w:rsidR="008769BB">
          <w:rPr>
            <w:noProof/>
            <w:webHidden/>
          </w:rPr>
          <w:instrText xml:space="preserve"> PAGEREF _Toc519686118 \h </w:instrText>
        </w:r>
        <w:r w:rsidR="008769BB">
          <w:rPr>
            <w:noProof/>
            <w:webHidden/>
          </w:rPr>
        </w:r>
        <w:r w:rsidR="008769BB">
          <w:rPr>
            <w:noProof/>
            <w:webHidden/>
          </w:rPr>
          <w:fldChar w:fldCharType="separate"/>
        </w:r>
        <w:r w:rsidR="008769BB">
          <w:rPr>
            <w:noProof/>
            <w:webHidden/>
          </w:rPr>
          <w:t>3</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19" w:history="1">
        <w:r w:rsidR="008769BB" w:rsidRPr="00931980">
          <w:rPr>
            <w:rStyle w:val="Hyperlink"/>
            <w:rFonts w:ascii="Times New Roman Bold" w:hAnsi="Times New Roman Bold"/>
            <w:noProof/>
          </w:rPr>
          <w:t>2.3</w:t>
        </w:r>
        <w:r w:rsidR="008769BB">
          <w:rPr>
            <w:rFonts w:asciiTheme="minorHAnsi" w:eastAsiaTheme="minorEastAsia" w:hAnsiTheme="minorHAnsi" w:cstheme="minorBidi"/>
            <w:noProof/>
            <w:sz w:val="22"/>
            <w:szCs w:val="22"/>
          </w:rPr>
          <w:tab/>
        </w:r>
        <w:r w:rsidR="008769BB" w:rsidRPr="00931980">
          <w:rPr>
            <w:rStyle w:val="Hyperlink"/>
            <w:noProof/>
          </w:rPr>
          <w:t>ESH&amp;Q Review</w:t>
        </w:r>
        <w:r w:rsidR="008769BB">
          <w:rPr>
            <w:noProof/>
            <w:webHidden/>
          </w:rPr>
          <w:tab/>
        </w:r>
        <w:r w:rsidR="008769BB">
          <w:rPr>
            <w:noProof/>
            <w:webHidden/>
          </w:rPr>
          <w:fldChar w:fldCharType="begin"/>
        </w:r>
        <w:r w:rsidR="008769BB">
          <w:rPr>
            <w:noProof/>
            <w:webHidden/>
          </w:rPr>
          <w:instrText xml:space="preserve"> PAGEREF _Toc519686119 \h </w:instrText>
        </w:r>
        <w:r w:rsidR="008769BB">
          <w:rPr>
            <w:noProof/>
            <w:webHidden/>
          </w:rPr>
        </w:r>
        <w:r w:rsidR="008769BB">
          <w:rPr>
            <w:noProof/>
            <w:webHidden/>
          </w:rPr>
          <w:fldChar w:fldCharType="separate"/>
        </w:r>
        <w:r w:rsidR="008769BB">
          <w:rPr>
            <w:noProof/>
            <w:webHidden/>
          </w:rPr>
          <w:t>3</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20" w:history="1">
        <w:r w:rsidR="008769BB" w:rsidRPr="00931980">
          <w:rPr>
            <w:rStyle w:val="Hyperlink"/>
            <w:rFonts w:ascii="Times New Roman Bold" w:hAnsi="Times New Roman Bold"/>
            <w:noProof/>
          </w:rPr>
          <w:t>2.4</w:t>
        </w:r>
        <w:r w:rsidR="008769BB">
          <w:rPr>
            <w:rFonts w:asciiTheme="minorHAnsi" w:eastAsiaTheme="minorEastAsia" w:hAnsiTheme="minorHAnsi" w:cstheme="minorBidi"/>
            <w:noProof/>
            <w:sz w:val="22"/>
            <w:szCs w:val="22"/>
          </w:rPr>
          <w:tab/>
        </w:r>
        <w:r w:rsidR="008769BB" w:rsidRPr="00931980">
          <w:rPr>
            <w:rStyle w:val="Hyperlink"/>
            <w:noProof/>
          </w:rPr>
          <w:t>Facility Manager</w:t>
        </w:r>
        <w:r w:rsidR="008769BB">
          <w:rPr>
            <w:noProof/>
            <w:webHidden/>
          </w:rPr>
          <w:tab/>
        </w:r>
        <w:r w:rsidR="008769BB">
          <w:rPr>
            <w:noProof/>
            <w:webHidden/>
          </w:rPr>
          <w:fldChar w:fldCharType="begin"/>
        </w:r>
        <w:r w:rsidR="008769BB">
          <w:rPr>
            <w:noProof/>
            <w:webHidden/>
          </w:rPr>
          <w:instrText xml:space="preserve"> PAGEREF _Toc519686120 \h </w:instrText>
        </w:r>
        <w:r w:rsidR="008769BB">
          <w:rPr>
            <w:noProof/>
            <w:webHidden/>
          </w:rPr>
        </w:r>
        <w:r w:rsidR="008769BB">
          <w:rPr>
            <w:noProof/>
            <w:webHidden/>
          </w:rPr>
          <w:fldChar w:fldCharType="separate"/>
        </w:r>
        <w:r w:rsidR="008769BB">
          <w:rPr>
            <w:noProof/>
            <w:webHidden/>
          </w:rPr>
          <w:t>3</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21" w:history="1">
        <w:r w:rsidR="008769BB" w:rsidRPr="00931980">
          <w:rPr>
            <w:rStyle w:val="Hyperlink"/>
            <w:rFonts w:ascii="Times New Roman Bold" w:hAnsi="Times New Roman Bold"/>
            <w:noProof/>
          </w:rPr>
          <w:t>2.5</w:t>
        </w:r>
        <w:r w:rsidR="008769BB">
          <w:rPr>
            <w:rFonts w:asciiTheme="minorHAnsi" w:eastAsiaTheme="minorEastAsia" w:hAnsiTheme="minorHAnsi" w:cstheme="minorBidi"/>
            <w:noProof/>
            <w:sz w:val="22"/>
            <w:szCs w:val="22"/>
          </w:rPr>
          <w:tab/>
        </w:r>
        <w:r w:rsidR="008769BB" w:rsidRPr="00931980">
          <w:rPr>
            <w:rStyle w:val="Hyperlink"/>
            <w:noProof/>
          </w:rPr>
          <w:t>Operational Readiness Clearance (ORC)</w:t>
        </w:r>
        <w:r w:rsidR="008769BB">
          <w:rPr>
            <w:noProof/>
            <w:webHidden/>
          </w:rPr>
          <w:tab/>
        </w:r>
        <w:r w:rsidR="008769BB">
          <w:rPr>
            <w:noProof/>
            <w:webHidden/>
          </w:rPr>
          <w:fldChar w:fldCharType="begin"/>
        </w:r>
        <w:r w:rsidR="008769BB">
          <w:rPr>
            <w:noProof/>
            <w:webHidden/>
          </w:rPr>
          <w:instrText xml:space="preserve"> PAGEREF _Toc519686121 \h </w:instrText>
        </w:r>
        <w:r w:rsidR="008769BB">
          <w:rPr>
            <w:noProof/>
            <w:webHidden/>
          </w:rPr>
        </w:r>
        <w:r w:rsidR="008769BB">
          <w:rPr>
            <w:noProof/>
            <w:webHidden/>
          </w:rPr>
          <w:fldChar w:fldCharType="separate"/>
        </w:r>
        <w:r w:rsidR="008769BB">
          <w:rPr>
            <w:noProof/>
            <w:webHidden/>
          </w:rPr>
          <w:t>3</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22" w:history="1">
        <w:r w:rsidR="008769BB" w:rsidRPr="00931980">
          <w:rPr>
            <w:rStyle w:val="Hyperlink"/>
            <w:rFonts w:ascii="Times New Roman Bold" w:hAnsi="Times New Roman Bold"/>
            <w:noProof/>
          </w:rPr>
          <w:t>2.6</w:t>
        </w:r>
        <w:r w:rsidR="008769BB">
          <w:rPr>
            <w:rFonts w:asciiTheme="minorHAnsi" w:eastAsiaTheme="minorEastAsia" w:hAnsiTheme="minorHAnsi" w:cstheme="minorBidi"/>
            <w:noProof/>
            <w:sz w:val="22"/>
            <w:szCs w:val="22"/>
          </w:rPr>
          <w:tab/>
        </w:r>
        <w:r w:rsidR="008769BB" w:rsidRPr="00931980">
          <w:rPr>
            <w:rStyle w:val="Hyperlink"/>
            <w:noProof/>
          </w:rPr>
          <w:t>Operational Readiness Clearance Chairperson</w:t>
        </w:r>
        <w:r w:rsidR="008769BB">
          <w:rPr>
            <w:noProof/>
            <w:webHidden/>
          </w:rPr>
          <w:tab/>
        </w:r>
        <w:r w:rsidR="008769BB">
          <w:rPr>
            <w:noProof/>
            <w:webHidden/>
          </w:rPr>
          <w:fldChar w:fldCharType="begin"/>
        </w:r>
        <w:r w:rsidR="008769BB">
          <w:rPr>
            <w:noProof/>
            <w:webHidden/>
          </w:rPr>
          <w:instrText xml:space="preserve"> PAGEREF _Toc519686122 \h </w:instrText>
        </w:r>
        <w:r w:rsidR="008769BB">
          <w:rPr>
            <w:noProof/>
            <w:webHidden/>
          </w:rPr>
        </w:r>
        <w:r w:rsidR="008769BB">
          <w:rPr>
            <w:noProof/>
            <w:webHidden/>
          </w:rPr>
          <w:fldChar w:fldCharType="separate"/>
        </w:r>
        <w:r w:rsidR="008769BB">
          <w:rPr>
            <w:noProof/>
            <w:webHidden/>
          </w:rPr>
          <w:t>3</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23" w:history="1">
        <w:r w:rsidR="008769BB" w:rsidRPr="00931980">
          <w:rPr>
            <w:rStyle w:val="Hyperlink"/>
            <w:rFonts w:ascii="Times New Roman Bold" w:hAnsi="Times New Roman Bold"/>
            <w:noProof/>
          </w:rPr>
          <w:t>2.7</w:t>
        </w:r>
        <w:r w:rsidR="008769BB">
          <w:rPr>
            <w:rFonts w:asciiTheme="minorHAnsi" w:eastAsiaTheme="minorEastAsia" w:hAnsiTheme="minorHAnsi" w:cstheme="minorBidi"/>
            <w:noProof/>
            <w:sz w:val="22"/>
            <w:szCs w:val="22"/>
          </w:rPr>
          <w:tab/>
        </w:r>
        <w:r w:rsidR="008769BB" w:rsidRPr="00931980">
          <w:rPr>
            <w:rStyle w:val="Hyperlink"/>
            <w:noProof/>
          </w:rPr>
          <w:t>Operational Readiness Clearance Committee</w:t>
        </w:r>
        <w:r w:rsidR="008769BB">
          <w:rPr>
            <w:noProof/>
            <w:webHidden/>
          </w:rPr>
          <w:tab/>
        </w:r>
        <w:r w:rsidR="008769BB">
          <w:rPr>
            <w:noProof/>
            <w:webHidden/>
          </w:rPr>
          <w:fldChar w:fldCharType="begin"/>
        </w:r>
        <w:r w:rsidR="008769BB">
          <w:rPr>
            <w:noProof/>
            <w:webHidden/>
          </w:rPr>
          <w:instrText xml:space="preserve"> PAGEREF _Toc519686123 \h </w:instrText>
        </w:r>
        <w:r w:rsidR="008769BB">
          <w:rPr>
            <w:noProof/>
            <w:webHidden/>
          </w:rPr>
        </w:r>
        <w:r w:rsidR="008769BB">
          <w:rPr>
            <w:noProof/>
            <w:webHidden/>
          </w:rPr>
          <w:fldChar w:fldCharType="separate"/>
        </w:r>
        <w:r w:rsidR="008769BB">
          <w:rPr>
            <w:noProof/>
            <w:webHidden/>
          </w:rPr>
          <w:t>4</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24" w:history="1">
        <w:r w:rsidR="008769BB" w:rsidRPr="00931980">
          <w:rPr>
            <w:rStyle w:val="Hyperlink"/>
            <w:rFonts w:ascii="Times New Roman Bold" w:hAnsi="Times New Roman Bold"/>
            <w:noProof/>
          </w:rPr>
          <w:t>2.8</w:t>
        </w:r>
        <w:r w:rsidR="008769BB">
          <w:rPr>
            <w:rFonts w:asciiTheme="minorHAnsi" w:eastAsiaTheme="minorEastAsia" w:hAnsiTheme="minorHAnsi" w:cstheme="minorBidi"/>
            <w:noProof/>
            <w:sz w:val="22"/>
            <w:szCs w:val="22"/>
          </w:rPr>
          <w:tab/>
        </w:r>
        <w:r w:rsidR="008769BB" w:rsidRPr="00931980">
          <w:rPr>
            <w:rStyle w:val="Hyperlink"/>
            <w:noProof/>
          </w:rPr>
          <w:t>ORC Point of Contact (POC)</w:t>
        </w:r>
        <w:r w:rsidR="008769BB">
          <w:rPr>
            <w:noProof/>
            <w:webHidden/>
          </w:rPr>
          <w:tab/>
        </w:r>
        <w:r w:rsidR="008769BB">
          <w:rPr>
            <w:noProof/>
            <w:webHidden/>
          </w:rPr>
          <w:fldChar w:fldCharType="begin"/>
        </w:r>
        <w:r w:rsidR="008769BB">
          <w:rPr>
            <w:noProof/>
            <w:webHidden/>
          </w:rPr>
          <w:instrText xml:space="preserve"> PAGEREF _Toc519686124 \h </w:instrText>
        </w:r>
        <w:r w:rsidR="008769BB">
          <w:rPr>
            <w:noProof/>
            <w:webHidden/>
          </w:rPr>
        </w:r>
        <w:r w:rsidR="008769BB">
          <w:rPr>
            <w:noProof/>
            <w:webHidden/>
          </w:rPr>
          <w:fldChar w:fldCharType="separate"/>
        </w:r>
        <w:r w:rsidR="008769BB">
          <w:rPr>
            <w:noProof/>
            <w:webHidden/>
          </w:rPr>
          <w:t>4</w:t>
        </w:r>
        <w:r w:rsidR="008769BB">
          <w:rPr>
            <w:noProof/>
            <w:webHidden/>
          </w:rPr>
          <w:fldChar w:fldCharType="end"/>
        </w:r>
      </w:hyperlink>
    </w:p>
    <w:p w:rsidR="008769BB" w:rsidRDefault="00960A5C">
      <w:pPr>
        <w:pStyle w:val="TOC1"/>
        <w:rPr>
          <w:rFonts w:asciiTheme="minorHAnsi" w:eastAsiaTheme="minorEastAsia" w:hAnsiTheme="minorHAnsi" w:cstheme="minorBidi"/>
          <w:noProof/>
          <w:sz w:val="22"/>
          <w:szCs w:val="22"/>
        </w:rPr>
      </w:pPr>
      <w:hyperlink w:anchor="_Toc519686125" w:history="1">
        <w:r w:rsidR="008769BB" w:rsidRPr="00931980">
          <w:rPr>
            <w:rStyle w:val="Hyperlink"/>
            <w:rFonts w:ascii="Times New Roman Bold" w:hAnsi="Times New Roman Bold"/>
            <w:noProof/>
          </w:rPr>
          <w:t>3.0</w:t>
        </w:r>
        <w:r w:rsidR="008769BB">
          <w:rPr>
            <w:rFonts w:asciiTheme="minorHAnsi" w:eastAsiaTheme="minorEastAsia" w:hAnsiTheme="minorHAnsi" w:cstheme="minorBidi"/>
            <w:noProof/>
            <w:sz w:val="22"/>
            <w:szCs w:val="22"/>
          </w:rPr>
          <w:tab/>
        </w:r>
        <w:r w:rsidR="008769BB" w:rsidRPr="00931980">
          <w:rPr>
            <w:rStyle w:val="Hyperlink"/>
            <w:noProof/>
          </w:rPr>
          <w:t>RESPONSIBILITIES</w:t>
        </w:r>
        <w:r w:rsidR="008769BB">
          <w:rPr>
            <w:noProof/>
            <w:webHidden/>
          </w:rPr>
          <w:tab/>
        </w:r>
        <w:r w:rsidR="008769BB">
          <w:rPr>
            <w:noProof/>
            <w:webHidden/>
          </w:rPr>
          <w:fldChar w:fldCharType="begin"/>
        </w:r>
        <w:r w:rsidR="008769BB">
          <w:rPr>
            <w:noProof/>
            <w:webHidden/>
          </w:rPr>
          <w:instrText xml:space="preserve"> PAGEREF _Toc519686125 \h </w:instrText>
        </w:r>
        <w:r w:rsidR="008769BB">
          <w:rPr>
            <w:noProof/>
            <w:webHidden/>
          </w:rPr>
        </w:r>
        <w:r w:rsidR="008769BB">
          <w:rPr>
            <w:noProof/>
            <w:webHidden/>
          </w:rPr>
          <w:fldChar w:fldCharType="separate"/>
        </w:r>
        <w:r w:rsidR="008769BB">
          <w:rPr>
            <w:noProof/>
            <w:webHidden/>
          </w:rPr>
          <w:t>4</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26" w:history="1">
        <w:r w:rsidR="008769BB" w:rsidRPr="00931980">
          <w:rPr>
            <w:rStyle w:val="Hyperlink"/>
            <w:rFonts w:ascii="Times New Roman Bold" w:hAnsi="Times New Roman Bold"/>
            <w:noProof/>
          </w:rPr>
          <w:t>3.1</w:t>
        </w:r>
        <w:r w:rsidR="008769BB">
          <w:rPr>
            <w:rFonts w:asciiTheme="minorHAnsi" w:eastAsiaTheme="minorEastAsia" w:hAnsiTheme="minorHAnsi" w:cstheme="minorBidi"/>
            <w:noProof/>
            <w:sz w:val="22"/>
            <w:szCs w:val="22"/>
          </w:rPr>
          <w:tab/>
        </w:r>
        <w:r w:rsidR="008769BB" w:rsidRPr="00931980">
          <w:rPr>
            <w:rStyle w:val="Hyperlink"/>
            <w:noProof/>
          </w:rPr>
          <w:t>Accelerator Division (AD) Operations Department Head</w:t>
        </w:r>
        <w:r w:rsidR="008769BB">
          <w:rPr>
            <w:noProof/>
            <w:webHidden/>
          </w:rPr>
          <w:tab/>
        </w:r>
        <w:r w:rsidR="008769BB">
          <w:rPr>
            <w:noProof/>
            <w:webHidden/>
          </w:rPr>
          <w:fldChar w:fldCharType="begin"/>
        </w:r>
        <w:r w:rsidR="008769BB">
          <w:rPr>
            <w:noProof/>
            <w:webHidden/>
          </w:rPr>
          <w:instrText xml:space="preserve"> PAGEREF _Toc519686126 \h </w:instrText>
        </w:r>
        <w:r w:rsidR="008769BB">
          <w:rPr>
            <w:noProof/>
            <w:webHidden/>
          </w:rPr>
        </w:r>
        <w:r w:rsidR="008769BB">
          <w:rPr>
            <w:noProof/>
            <w:webHidden/>
          </w:rPr>
          <w:fldChar w:fldCharType="separate"/>
        </w:r>
        <w:r w:rsidR="008769BB">
          <w:rPr>
            <w:noProof/>
            <w:webHidden/>
          </w:rPr>
          <w:t>4</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27" w:history="1">
        <w:r w:rsidR="008769BB" w:rsidRPr="00931980">
          <w:rPr>
            <w:rStyle w:val="Hyperlink"/>
            <w:rFonts w:ascii="Times New Roman Bold" w:hAnsi="Times New Roman Bold"/>
            <w:noProof/>
          </w:rPr>
          <w:t>3.2</w:t>
        </w:r>
        <w:r w:rsidR="008769BB">
          <w:rPr>
            <w:rFonts w:asciiTheme="minorHAnsi" w:eastAsiaTheme="minorEastAsia" w:hAnsiTheme="minorHAnsi" w:cstheme="minorBidi"/>
            <w:noProof/>
            <w:sz w:val="22"/>
            <w:szCs w:val="22"/>
          </w:rPr>
          <w:tab/>
        </w:r>
        <w:r w:rsidR="008769BB" w:rsidRPr="00931980">
          <w:rPr>
            <w:rStyle w:val="Hyperlink"/>
            <w:noProof/>
          </w:rPr>
          <w:t>Accelerator Division Radiation Safety Officer</w:t>
        </w:r>
        <w:r w:rsidR="008769BB">
          <w:rPr>
            <w:noProof/>
            <w:webHidden/>
          </w:rPr>
          <w:tab/>
        </w:r>
        <w:r w:rsidR="008769BB">
          <w:rPr>
            <w:noProof/>
            <w:webHidden/>
          </w:rPr>
          <w:fldChar w:fldCharType="begin"/>
        </w:r>
        <w:r w:rsidR="008769BB">
          <w:rPr>
            <w:noProof/>
            <w:webHidden/>
          </w:rPr>
          <w:instrText xml:space="preserve"> PAGEREF _Toc519686127 \h </w:instrText>
        </w:r>
        <w:r w:rsidR="008769BB">
          <w:rPr>
            <w:noProof/>
            <w:webHidden/>
          </w:rPr>
        </w:r>
        <w:r w:rsidR="008769BB">
          <w:rPr>
            <w:noProof/>
            <w:webHidden/>
          </w:rPr>
          <w:fldChar w:fldCharType="separate"/>
        </w:r>
        <w:r w:rsidR="008769BB">
          <w:rPr>
            <w:noProof/>
            <w:webHidden/>
          </w:rPr>
          <w:t>4</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28" w:history="1">
        <w:r w:rsidR="008769BB" w:rsidRPr="00931980">
          <w:rPr>
            <w:rStyle w:val="Hyperlink"/>
            <w:rFonts w:ascii="Times New Roman Bold" w:hAnsi="Times New Roman Bold"/>
            <w:noProof/>
          </w:rPr>
          <w:t>3.3</w:t>
        </w:r>
        <w:r w:rsidR="008769BB">
          <w:rPr>
            <w:rFonts w:asciiTheme="minorHAnsi" w:eastAsiaTheme="minorEastAsia" w:hAnsiTheme="minorHAnsi" w:cstheme="minorBidi"/>
            <w:noProof/>
            <w:sz w:val="22"/>
            <w:szCs w:val="22"/>
          </w:rPr>
          <w:tab/>
        </w:r>
        <w:r w:rsidR="008769BB" w:rsidRPr="00931980">
          <w:rPr>
            <w:rStyle w:val="Hyperlink"/>
            <w:noProof/>
          </w:rPr>
          <w:t>Activity Owner</w:t>
        </w:r>
        <w:r w:rsidR="008769BB">
          <w:rPr>
            <w:noProof/>
            <w:webHidden/>
          </w:rPr>
          <w:tab/>
        </w:r>
        <w:r w:rsidR="008769BB">
          <w:rPr>
            <w:noProof/>
            <w:webHidden/>
          </w:rPr>
          <w:fldChar w:fldCharType="begin"/>
        </w:r>
        <w:r w:rsidR="008769BB">
          <w:rPr>
            <w:noProof/>
            <w:webHidden/>
          </w:rPr>
          <w:instrText xml:space="preserve"> PAGEREF _Toc519686128 \h </w:instrText>
        </w:r>
        <w:r w:rsidR="008769BB">
          <w:rPr>
            <w:noProof/>
            <w:webHidden/>
          </w:rPr>
        </w:r>
        <w:r w:rsidR="008769BB">
          <w:rPr>
            <w:noProof/>
            <w:webHidden/>
          </w:rPr>
          <w:fldChar w:fldCharType="separate"/>
        </w:r>
        <w:r w:rsidR="008769BB">
          <w:rPr>
            <w:noProof/>
            <w:webHidden/>
          </w:rPr>
          <w:t>4</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29" w:history="1">
        <w:r w:rsidR="008769BB" w:rsidRPr="00931980">
          <w:rPr>
            <w:rStyle w:val="Hyperlink"/>
            <w:rFonts w:ascii="Times New Roman Bold" w:hAnsi="Times New Roman Bold"/>
            <w:noProof/>
          </w:rPr>
          <w:t>3.4</w:t>
        </w:r>
        <w:r w:rsidR="008769BB">
          <w:rPr>
            <w:rFonts w:asciiTheme="minorHAnsi" w:eastAsiaTheme="minorEastAsia" w:hAnsiTheme="minorHAnsi" w:cstheme="minorBidi"/>
            <w:noProof/>
            <w:sz w:val="22"/>
            <w:szCs w:val="22"/>
          </w:rPr>
          <w:tab/>
        </w:r>
        <w:r w:rsidR="008769BB" w:rsidRPr="00931980">
          <w:rPr>
            <w:rStyle w:val="Hyperlink"/>
            <w:noProof/>
          </w:rPr>
          <w:t>Beam Coordinator</w:t>
        </w:r>
        <w:r w:rsidR="008769BB">
          <w:rPr>
            <w:noProof/>
            <w:webHidden/>
          </w:rPr>
          <w:tab/>
        </w:r>
        <w:r w:rsidR="008769BB">
          <w:rPr>
            <w:noProof/>
            <w:webHidden/>
          </w:rPr>
          <w:fldChar w:fldCharType="begin"/>
        </w:r>
        <w:r w:rsidR="008769BB">
          <w:rPr>
            <w:noProof/>
            <w:webHidden/>
          </w:rPr>
          <w:instrText xml:space="preserve"> PAGEREF _Toc519686129 \h </w:instrText>
        </w:r>
        <w:r w:rsidR="008769BB">
          <w:rPr>
            <w:noProof/>
            <w:webHidden/>
          </w:rPr>
        </w:r>
        <w:r w:rsidR="008769BB">
          <w:rPr>
            <w:noProof/>
            <w:webHidden/>
          </w:rPr>
          <w:fldChar w:fldCharType="separate"/>
        </w:r>
        <w:r w:rsidR="008769BB">
          <w:rPr>
            <w:noProof/>
            <w:webHidden/>
          </w:rPr>
          <w:t>4</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30" w:history="1">
        <w:r w:rsidR="008769BB" w:rsidRPr="00931980">
          <w:rPr>
            <w:rStyle w:val="Hyperlink"/>
            <w:rFonts w:ascii="Times New Roman Bold" w:hAnsi="Times New Roman Bold"/>
            <w:noProof/>
          </w:rPr>
          <w:t>3.5</w:t>
        </w:r>
        <w:r w:rsidR="008769BB">
          <w:rPr>
            <w:rFonts w:asciiTheme="minorHAnsi" w:eastAsiaTheme="minorEastAsia" w:hAnsiTheme="minorHAnsi" w:cstheme="minorBidi"/>
            <w:noProof/>
            <w:sz w:val="22"/>
            <w:szCs w:val="22"/>
          </w:rPr>
          <w:tab/>
        </w:r>
        <w:r w:rsidR="008769BB" w:rsidRPr="00931980">
          <w:rPr>
            <w:rStyle w:val="Hyperlink"/>
            <w:noProof/>
          </w:rPr>
          <w:t>Chief Safety Officer (CSO)</w:t>
        </w:r>
        <w:r w:rsidR="008769BB">
          <w:rPr>
            <w:noProof/>
            <w:webHidden/>
          </w:rPr>
          <w:tab/>
        </w:r>
        <w:r w:rsidR="008769BB">
          <w:rPr>
            <w:noProof/>
            <w:webHidden/>
          </w:rPr>
          <w:fldChar w:fldCharType="begin"/>
        </w:r>
        <w:r w:rsidR="008769BB">
          <w:rPr>
            <w:noProof/>
            <w:webHidden/>
          </w:rPr>
          <w:instrText xml:space="preserve"> PAGEREF _Toc519686130 \h </w:instrText>
        </w:r>
        <w:r w:rsidR="008769BB">
          <w:rPr>
            <w:noProof/>
            <w:webHidden/>
          </w:rPr>
        </w:r>
        <w:r w:rsidR="008769BB">
          <w:rPr>
            <w:noProof/>
            <w:webHidden/>
          </w:rPr>
          <w:fldChar w:fldCharType="separate"/>
        </w:r>
        <w:r w:rsidR="008769BB">
          <w:rPr>
            <w:noProof/>
            <w:webHidden/>
          </w:rPr>
          <w:t>4</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31" w:history="1">
        <w:r w:rsidR="008769BB" w:rsidRPr="00931980">
          <w:rPr>
            <w:rStyle w:val="Hyperlink"/>
            <w:rFonts w:ascii="Times New Roman Bold" w:hAnsi="Times New Roman Bold"/>
            <w:noProof/>
          </w:rPr>
          <w:t>3.6</w:t>
        </w:r>
        <w:r w:rsidR="008769BB">
          <w:rPr>
            <w:rFonts w:asciiTheme="minorHAnsi" w:eastAsiaTheme="minorEastAsia" w:hAnsiTheme="minorHAnsi" w:cstheme="minorBidi"/>
            <w:noProof/>
            <w:sz w:val="22"/>
            <w:szCs w:val="22"/>
          </w:rPr>
          <w:tab/>
        </w:r>
        <w:r w:rsidR="008769BB" w:rsidRPr="00931980">
          <w:rPr>
            <w:rStyle w:val="Hyperlink"/>
            <w:noProof/>
          </w:rPr>
          <w:t>Division/Section Head/Project Manager (D/S/P)</w:t>
        </w:r>
        <w:r w:rsidR="008769BB">
          <w:rPr>
            <w:noProof/>
            <w:webHidden/>
          </w:rPr>
          <w:tab/>
        </w:r>
        <w:r w:rsidR="008769BB">
          <w:rPr>
            <w:noProof/>
            <w:webHidden/>
          </w:rPr>
          <w:fldChar w:fldCharType="begin"/>
        </w:r>
        <w:r w:rsidR="008769BB">
          <w:rPr>
            <w:noProof/>
            <w:webHidden/>
          </w:rPr>
          <w:instrText xml:space="preserve"> PAGEREF _Toc519686131 \h </w:instrText>
        </w:r>
        <w:r w:rsidR="008769BB">
          <w:rPr>
            <w:noProof/>
            <w:webHidden/>
          </w:rPr>
        </w:r>
        <w:r w:rsidR="008769BB">
          <w:rPr>
            <w:noProof/>
            <w:webHidden/>
          </w:rPr>
          <w:fldChar w:fldCharType="separate"/>
        </w:r>
        <w:r w:rsidR="008769BB">
          <w:rPr>
            <w:noProof/>
            <w:webHidden/>
          </w:rPr>
          <w:t>4</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32" w:history="1">
        <w:r w:rsidR="008769BB" w:rsidRPr="00931980">
          <w:rPr>
            <w:rStyle w:val="Hyperlink"/>
            <w:rFonts w:ascii="Times New Roman Bold" w:hAnsi="Times New Roman Bold"/>
            <w:noProof/>
          </w:rPr>
          <w:t>3.7</w:t>
        </w:r>
        <w:r w:rsidR="008769BB">
          <w:rPr>
            <w:rFonts w:asciiTheme="minorHAnsi" w:eastAsiaTheme="minorEastAsia" w:hAnsiTheme="minorHAnsi" w:cstheme="minorBidi"/>
            <w:noProof/>
            <w:sz w:val="22"/>
            <w:szCs w:val="22"/>
          </w:rPr>
          <w:tab/>
        </w:r>
        <w:r w:rsidR="008769BB" w:rsidRPr="00931980">
          <w:rPr>
            <w:rStyle w:val="Hyperlink"/>
            <w:noProof/>
          </w:rPr>
          <w:t>Division Safety Officer (DSO)</w:t>
        </w:r>
        <w:r w:rsidR="008769BB">
          <w:rPr>
            <w:noProof/>
            <w:webHidden/>
          </w:rPr>
          <w:tab/>
        </w:r>
        <w:r w:rsidR="008769BB">
          <w:rPr>
            <w:noProof/>
            <w:webHidden/>
          </w:rPr>
          <w:fldChar w:fldCharType="begin"/>
        </w:r>
        <w:r w:rsidR="008769BB">
          <w:rPr>
            <w:noProof/>
            <w:webHidden/>
          </w:rPr>
          <w:instrText xml:space="preserve"> PAGEREF _Toc519686132 \h </w:instrText>
        </w:r>
        <w:r w:rsidR="008769BB">
          <w:rPr>
            <w:noProof/>
            <w:webHidden/>
          </w:rPr>
        </w:r>
        <w:r w:rsidR="008769BB">
          <w:rPr>
            <w:noProof/>
            <w:webHidden/>
          </w:rPr>
          <w:fldChar w:fldCharType="separate"/>
        </w:r>
        <w:r w:rsidR="008769BB">
          <w:rPr>
            <w:noProof/>
            <w:webHidden/>
          </w:rPr>
          <w:t>5</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33" w:history="1">
        <w:r w:rsidR="008769BB" w:rsidRPr="00931980">
          <w:rPr>
            <w:rStyle w:val="Hyperlink"/>
            <w:rFonts w:ascii="Times New Roman Bold" w:hAnsi="Times New Roman Bold"/>
            <w:noProof/>
          </w:rPr>
          <w:t>3.8</w:t>
        </w:r>
        <w:r w:rsidR="008769BB">
          <w:rPr>
            <w:rFonts w:asciiTheme="minorHAnsi" w:eastAsiaTheme="minorEastAsia" w:hAnsiTheme="minorHAnsi" w:cstheme="minorBidi"/>
            <w:noProof/>
            <w:sz w:val="22"/>
            <w:szCs w:val="22"/>
          </w:rPr>
          <w:tab/>
        </w:r>
        <w:r w:rsidR="008769BB" w:rsidRPr="00931980">
          <w:rPr>
            <w:rStyle w:val="Hyperlink"/>
            <w:noProof/>
          </w:rPr>
          <w:t>Facility Manager</w:t>
        </w:r>
        <w:r w:rsidR="008769BB">
          <w:rPr>
            <w:noProof/>
            <w:webHidden/>
          </w:rPr>
          <w:tab/>
        </w:r>
        <w:r w:rsidR="008769BB">
          <w:rPr>
            <w:noProof/>
            <w:webHidden/>
          </w:rPr>
          <w:fldChar w:fldCharType="begin"/>
        </w:r>
        <w:r w:rsidR="008769BB">
          <w:rPr>
            <w:noProof/>
            <w:webHidden/>
          </w:rPr>
          <w:instrText xml:space="preserve"> PAGEREF _Toc519686133 \h </w:instrText>
        </w:r>
        <w:r w:rsidR="008769BB">
          <w:rPr>
            <w:noProof/>
            <w:webHidden/>
          </w:rPr>
        </w:r>
        <w:r w:rsidR="008769BB">
          <w:rPr>
            <w:noProof/>
            <w:webHidden/>
          </w:rPr>
          <w:fldChar w:fldCharType="separate"/>
        </w:r>
        <w:r w:rsidR="008769BB">
          <w:rPr>
            <w:noProof/>
            <w:webHidden/>
          </w:rPr>
          <w:t>5</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34" w:history="1">
        <w:r w:rsidR="008769BB" w:rsidRPr="00931980">
          <w:rPr>
            <w:rStyle w:val="Hyperlink"/>
            <w:rFonts w:ascii="Times New Roman Bold" w:hAnsi="Times New Roman Bold"/>
            <w:noProof/>
          </w:rPr>
          <w:t>3.9</w:t>
        </w:r>
        <w:r w:rsidR="008769BB">
          <w:rPr>
            <w:rFonts w:asciiTheme="minorHAnsi" w:eastAsiaTheme="minorEastAsia" w:hAnsiTheme="minorHAnsi" w:cstheme="minorBidi"/>
            <w:noProof/>
            <w:sz w:val="22"/>
            <w:szCs w:val="22"/>
          </w:rPr>
          <w:tab/>
        </w:r>
        <w:r w:rsidR="008769BB" w:rsidRPr="00931980">
          <w:rPr>
            <w:rStyle w:val="Hyperlink"/>
            <w:noProof/>
          </w:rPr>
          <w:t>ORC Chairperson</w:t>
        </w:r>
        <w:r w:rsidR="008769BB">
          <w:rPr>
            <w:noProof/>
            <w:webHidden/>
          </w:rPr>
          <w:tab/>
        </w:r>
        <w:r w:rsidR="008769BB">
          <w:rPr>
            <w:noProof/>
            <w:webHidden/>
          </w:rPr>
          <w:fldChar w:fldCharType="begin"/>
        </w:r>
        <w:r w:rsidR="008769BB">
          <w:rPr>
            <w:noProof/>
            <w:webHidden/>
          </w:rPr>
          <w:instrText xml:space="preserve"> PAGEREF _Toc519686134 \h </w:instrText>
        </w:r>
        <w:r w:rsidR="008769BB">
          <w:rPr>
            <w:noProof/>
            <w:webHidden/>
          </w:rPr>
        </w:r>
        <w:r w:rsidR="008769BB">
          <w:rPr>
            <w:noProof/>
            <w:webHidden/>
          </w:rPr>
          <w:fldChar w:fldCharType="separate"/>
        </w:r>
        <w:r w:rsidR="008769BB">
          <w:rPr>
            <w:noProof/>
            <w:webHidden/>
          </w:rPr>
          <w:t>5</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35" w:history="1">
        <w:r w:rsidR="008769BB" w:rsidRPr="00931980">
          <w:rPr>
            <w:rStyle w:val="Hyperlink"/>
            <w:rFonts w:ascii="Times New Roman Bold" w:hAnsi="Times New Roman Bold"/>
            <w:noProof/>
          </w:rPr>
          <w:t>3.10</w:t>
        </w:r>
        <w:r w:rsidR="008769BB">
          <w:rPr>
            <w:rFonts w:asciiTheme="minorHAnsi" w:eastAsiaTheme="minorEastAsia" w:hAnsiTheme="minorHAnsi" w:cstheme="minorBidi"/>
            <w:noProof/>
            <w:sz w:val="22"/>
            <w:szCs w:val="22"/>
          </w:rPr>
          <w:tab/>
        </w:r>
        <w:r w:rsidR="008769BB" w:rsidRPr="00931980">
          <w:rPr>
            <w:rStyle w:val="Hyperlink"/>
            <w:noProof/>
          </w:rPr>
          <w:t>ORC Committee</w:t>
        </w:r>
        <w:r w:rsidR="008769BB">
          <w:rPr>
            <w:noProof/>
            <w:webHidden/>
          </w:rPr>
          <w:tab/>
        </w:r>
        <w:r w:rsidR="008769BB">
          <w:rPr>
            <w:noProof/>
            <w:webHidden/>
          </w:rPr>
          <w:fldChar w:fldCharType="begin"/>
        </w:r>
        <w:r w:rsidR="008769BB">
          <w:rPr>
            <w:noProof/>
            <w:webHidden/>
          </w:rPr>
          <w:instrText xml:space="preserve"> PAGEREF _Toc519686135 \h </w:instrText>
        </w:r>
        <w:r w:rsidR="008769BB">
          <w:rPr>
            <w:noProof/>
            <w:webHidden/>
          </w:rPr>
        </w:r>
        <w:r w:rsidR="008769BB">
          <w:rPr>
            <w:noProof/>
            <w:webHidden/>
          </w:rPr>
          <w:fldChar w:fldCharType="separate"/>
        </w:r>
        <w:r w:rsidR="008769BB">
          <w:rPr>
            <w:noProof/>
            <w:webHidden/>
          </w:rPr>
          <w:t>5</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36" w:history="1">
        <w:r w:rsidR="008769BB" w:rsidRPr="00931980">
          <w:rPr>
            <w:rStyle w:val="Hyperlink"/>
            <w:rFonts w:ascii="Times New Roman Bold" w:hAnsi="Times New Roman Bold"/>
            <w:noProof/>
          </w:rPr>
          <w:t>3.11</w:t>
        </w:r>
        <w:r w:rsidR="008769BB">
          <w:rPr>
            <w:rFonts w:asciiTheme="minorHAnsi" w:eastAsiaTheme="minorEastAsia" w:hAnsiTheme="minorHAnsi" w:cstheme="minorBidi"/>
            <w:noProof/>
            <w:sz w:val="22"/>
            <w:szCs w:val="22"/>
          </w:rPr>
          <w:tab/>
        </w:r>
        <w:r w:rsidR="008769BB" w:rsidRPr="00931980">
          <w:rPr>
            <w:rStyle w:val="Hyperlink"/>
            <w:noProof/>
          </w:rPr>
          <w:t>ORC Point of Contact</w:t>
        </w:r>
        <w:r w:rsidR="008769BB">
          <w:rPr>
            <w:noProof/>
            <w:webHidden/>
          </w:rPr>
          <w:tab/>
        </w:r>
        <w:r w:rsidR="008769BB">
          <w:rPr>
            <w:noProof/>
            <w:webHidden/>
          </w:rPr>
          <w:fldChar w:fldCharType="begin"/>
        </w:r>
        <w:r w:rsidR="008769BB">
          <w:rPr>
            <w:noProof/>
            <w:webHidden/>
          </w:rPr>
          <w:instrText xml:space="preserve"> PAGEREF _Toc519686136 \h </w:instrText>
        </w:r>
        <w:r w:rsidR="008769BB">
          <w:rPr>
            <w:noProof/>
            <w:webHidden/>
          </w:rPr>
        </w:r>
        <w:r w:rsidR="008769BB">
          <w:rPr>
            <w:noProof/>
            <w:webHidden/>
          </w:rPr>
          <w:fldChar w:fldCharType="separate"/>
        </w:r>
        <w:r w:rsidR="008769BB">
          <w:rPr>
            <w:noProof/>
            <w:webHidden/>
          </w:rPr>
          <w:t>5</w:t>
        </w:r>
        <w:r w:rsidR="008769BB">
          <w:rPr>
            <w:noProof/>
            <w:webHidden/>
          </w:rPr>
          <w:fldChar w:fldCharType="end"/>
        </w:r>
      </w:hyperlink>
    </w:p>
    <w:p w:rsidR="008769BB" w:rsidRDefault="00960A5C">
      <w:pPr>
        <w:pStyle w:val="TOC1"/>
        <w:rPr>
          <w:rFonts w:asciiTheme="minorHAnsi" w:eastAsiaTheme="minorEastAsia" w:hAnsiTheme="minorHAnsi" w:cstheme="minorBidi"/>
          <w:noProof/>
          <w:sz w:val="22"/>
          <w:szCs w:val="22"/>
        </w:rPr>
      </w:pPr>
      <w:hyperlink w:anchor="_Toc519686137" w:history="1">
        <w:r w:rsidR="008769BB" w:rsidRPr="00931980">
          <w:rPr>
            <w:rStyle w:val="Hyperlink"/>
            <w:rFonts w:ascii="Times New Roman Bold" w:hAnsi="Times New Roman Bold"/>
            <w:noProof/>
          </w:rPr>
          <w:t>4.0</w:t>
        </w:r>
        <w:r w:rsidR="008769BB">
          <w:rPr>
            <w:rFonts w:asciiTheme="minorHAnsi" w:eastAsiaTheme="minorEastAsia" w:hAnsiTheme="minorHAnsi" w:cstheme="minorBidi"/>
            <w:noProof/>
            <w:sz w:val="22"/>
            <w:szCs w:val="22"/>
          </w:rPr>
          <w:tab/>
        </w:r>
        <w:r w:rsidR="008769BB" w:rsidRPr="00931980">
          <w:rPr>
            <w:rStyle w:val="Hyperlink"/>
            <w:noProof/>
          </w:rPr>
          <w:t>PROGRAM DESCRIPTION</w:t>
        </w:r>
        <w:r w:rsidR="008769BB">
          <w:rPr>
            <w:noProof/>
            <w:webHidden/>
          </w:rPr>
          <w:tab/>
        </w:r>
        <w:r w:rsidR="008769BB">
          <w:rPr>
            <w:noProof/>
            <w:webHidden/>
          </w:rPr>
          <w:fldChar w:fldCharType="begin"/>
        </w:r>
        <w:r w:rsidR="008769BB">
          <w:rPr>
            <w:noProof/>
            <w:webHidden/>
          </w:rPr>
          <w:instrText xml:space="preserve"> PAGEREF _Toc519686137 \h </w:instrText>
        </w:r>
        <w:r w:rsidR="008769BB">
          <w:rPr>
            <w:noProof/>
            <w:webHidden/>
          </w:rPr>
        </w:r>
        <w:r w:rsidR="008769BB">
          <w:rPr>
            <w:noProof/>
            <w:webHidden/>
          </w:rPr>
          <w:fldChar w:fldCharType="separate"/>
        </w:r>
        <w:r w:rsidR="008769BB">
          <w:rPr>
            <w:noProof/>
            <w:webHidden/>
          </w:rPr>
          <w:t>6</w:t>
        </w:r>
        <w:r w:rsidR="008769BB">
          <w:rPr>
            <w:noProof/>
            <w:webHidden/>
          </w:rPr>
          <w:fldChar w:fldCharType="end"/>
        </w:r>
      </w:hyperlink>
    </w:p>
    <w:p w:rsidR="008769BB" w:rsidRDefault="00960A5C">
      <w:pPr>
        <w:pStyle w:val="TOC2"/>
        <w:rPr>
          <w:rFonts w:asciiTheme="minorHAnsi" w:eastAsiaTheme="minorEastAsia" w:hAnsiTheme="minorHAnsi" w:cstheme="minorBidi"/>
          <w:noProof/>
          <w:sz w:val="22"/>
          <w:szCs w:val="22"/>
        </w:rPr>
      </w:pPr>
      <w:hyperlink w:anchor="_Toc519686138" w:history="1">
        <w:r w:rsidR="008769BB" w:rsidRPr="00931980">
          <w:rPr>
            <w:rStyle w:val="Hyperlink"/>
            <w:rFonts w:ascii="Times New Roman Bold" w:hAnsi="Times New Roman Bold"/>
            <w:noProof/>
          </w:rPr>
          <w:t>4.1</w:t>
        </w:r>
        <w:r w:rsidR="008769BB">
          <w:rPr>
            <w:rFonts w:asciiTheme="minorHAnsi" w:eastAsiaTheme="minorEastAsia" w:hAnsiTheme="minorHAnsi" w:cstheme="minorBidi"/>
            <w:noProof/>
            <w:sz w:val="22"/>
            <w:szCs w:val="22"/>
          </w:rPr>
          <w:tab/>
        </w:r>
        <w:r w:rsidR="008769BB" w:rsidRPr="00931980">
          <w:rPr>
            <w:rStyle w:val="Hyperlink"/>
            <w:noProof/>
          </w:rPr>
          <w:t>Figure 1 – ORC Approval Flow</w:t>
        </w:r>
        <w:r w:rsidR="008769BB">
          <w:rPr>
            <w:noProof/>
            <w:webHidden/>
          </w:rPr>
          <w:tab/>
        </w:r>
        <w:r w:rsidR="008769BB">
          <w:rPr>
            <w:noProof/>
            <w:webHidden/>
          </w:rPr>
          <w:fldChar w:fldCharType="begin"/>
        </w:r>
        <w:r w:rsidR="008769BB">
          <w:rPr>
            <w:noProof/>
            <w:webHidden/>
          </w:rPr>
          <w:instrText xml:space="preserve"> PAGEREF _Toc519686138 \h </w:instrText>
        </w:r>
        <w:r w:rsidR="008769BB">
          <w:rPr>
            <w:noProof/>
            <w:webHidden/>
          </w:rPr>
        </w:r>
        <w:r w:rsidR="008769BB">
          <w:rPr>
            <w:noProof/>
            <w:webHidden/>
          </w:rPr>
          <w:fldChar w:fldCharType="separate"/>
        </w:r>
        <w:r w:rsidR="008769BB">
          <w:rPr>
            <w:noProof/>
            <w:webHidden/>
          </w:rPr>
          <w:t>8</w:t>
        </w:r>
        <w:r w:rsidR="008769BB">
          <w:rPr>
            <w:noProof/>
            <w:webHidden/>
          </w:rPr>
          <w:fldChar w:fldCharType="end"/>
        </w:r>
      </w:hyperlink>
    </w:p>
    <w:p w:rsidR="008769BB" w:rsidRDefault="00960A5C">
      <w:pPr>
        <w:pStyle w:val="TOC1"/>
        <w:rPr>
          <w:rFonts w:asciiTheme="minorHAnsi" w:eastAsiaTheme="minorEastAsia" w:hAnsiTheme="minorHAnsi" w:cstheme="minorBidi"/>
          <w:noProof/>
          <w:sz w:val="22"/>
          <w:szCs w:val="22"/>
        </w:rPr>
      </w:pPr>
      <w:hyperlink w:anchor="_Toc519686139" w:history="1">
        <w:r w:rsidR="008769BB" w:rsidRPr="00931980">
          <w:rPr>
            <w:rStyle w:val="Hyperlink"/>
            <w:rFonts w:ascii="Times New Roman Bold" w:hAnsi="Times New Roman Bold"/>
            <w:noProof/>
          </w:rPr>
          <w:t>5.0</w:t>
        </w:r>
        <w:r w:rsidR="008769BB">
          <w:rPr>
            <w:rFonts w:asciiTheme="minorHAnsi" w:eastAsiaTheme="minorEastAsia" w:hAnsiTheme="minorHAnsi" w:cstheme="minorBidi"/>
            <w:noProof/>
            <w:sz w:val="22"/>
            <w:szCs w:val="22"/>
          </w:rPr>
          <w:tab/>
        </w:r>
        <w:r w:rsidR="008769BB" w:rsidRPr="00931980">
          <w:rPr>
            <w:rStyle w:val="Hyperlink"/>
            <w:noProof/>
          </w:rPr>
          <w:t>TECHNICAL APPENDIX</w:t>
        </w:r>
        <w:r w:rsidR="008769BB">
          <w:rPr>
            <w:noProof/>
            <w:webHidden/>
          </w:rPr>
          <w:tab/>
        </w:r>
        <w:r w:rsidR="008769BB">
          <w:rPr>
            <w:noProof/>
            <w:webHidden/>
          </w:rPr>
          <w:fldChar w:fldCharType="begin"/>
        </w:r>
        <w:r w:rsidR="008769BB">
          <w:rPr>
            <w:noProof/>
            <w:webHidden/>
          </w:rPr>
          <w:instrText xml:space="preserve"> PAGEREF _Toc519686139 \h </w:instrText>
        </w:r>
        <w:r w:rsidR="008769BB">
          <w:rPr>
            <w:noProof/>
            <w:webHidden/>
          </w:rPr>
        </w:r>
        <w:r w:rsidR="008769BB">
          <w:rPr>
            <w:noProof/>
            <w:webHidden/>
          </w:rPr>
          <w:fldChar w:fldCharType="separate"/>
        </w:r>
        <w:r w:rsidR="008769BB">
          <w:rPr>
            <w:noProof/>
            <w:webHidden/>
          </w:rPr>
          <w:t>9</w:t>
        </w:r>
        <w:r w:rsidR="008769BB">
          <w:rPr>
            <w:noProof/>
            <w:webHidden/>
          </w:rPr>
          <w:fldChar w:fldCharType="end"/>
        </w:r>
      </w:hyperlink>
    </w:p>
    <w:p w:rsidR="00A96FFC" w:rsidRPr="00970071" w:rsidRDefault="0031189E" w:rsidP="003559A3">
      <w:pPr>
        <w:tabs>
          <w:tab w:val="right" w:leader="dot" w:pos="9720"/>
        </w:tabs>
        <w:jc w:val="left"/>
        <w:rPr>
          <w:bCs/>
        </w:rPr>
      </w:pPr>
      <w:r w:rsidRPr="00970071">
        <w:rPr>
          <w:bCs/>
        </w:rPr>
        <w:fldChar w:fldCharType="end"/>
      </w:r>
    </w:p>
    <w:p w:rsidR="00084E8E" w:rsidRPr="00970071" w:rsidRDefault="00084E8E" w:rsidP="002441F5">
      <w:pPr>
        <w:jc w:val="left"/>
        <w:rPr>
          <w:bCs/>
        </w:rPr>
      </w:pPr>
    </w:p>
    <w:p w:rsidR="00A96FFC" w:rsidRPr="00970071" w:rsidRDefault="00A96FFC">
      <w:pPr>
        <w:rPr>
          <w:bCs/>
        </w:rPr>
      </w:pPr>
    </w:p>
    <w:p w:rsidR="00A96FFC" w:rsidRPr="00970071" w:rsidRDefault="00A96FFC">
      <w:pPr>
        <w:rPr>
          <w:bCs/>
        </w:rPr>
        <w:sectPr w:rsidR="00A96FFC" w:rsidRPr="00970071" w:rsidSect="007535F6">
          <w:pgSz w:w="12240" w:h="15840" w:code="1"/>
          <w:pgMar w:top="720" w:right="1080" w:bottom="720" w:left="1440" w:header="720" w:footer="389" w:gutter="0"/>
          <w:cols w:space="720"/>
          <w:docGrid w:linePitch="360"/>
        </w:sectPr>
      </w:pPr>
    </w:p>
    <w:p w:rsidR="00CE5B8A" w:rsidRPr="00970071" w:rsidRDefault="007D5A75" w:rsidP="007D5A75">
      <w:pPr>
        <w:pStyle w:val="Heading1"/>
      </w:pPr>
      <w:bookmarkStart w:id="0" w:name="_Toc519686115"/>
      <w:r w:rsidRPr="00970071">
        <w:lastRenderedPageBreak/>
        <w:t>INTRODUCTION</w:t>
      </w:r>
      <w:bookmarkEnd w:id="0"/>
    </w:p>
    <w:p w:rsidR="00D435EC" w:rsidRPr="00970071" w:rsidRDefault="00D435EC"/>
    <w:p w:rsidR="00BD7048" w:rsidRPr="00BD7048" w:rsidRDefault="00BD7048" w:rsidP="00BD7048">
      <w:r w:rsidRPr="00BD7048">
        <w:t>This chapter describes the Operational Readiness Clearance</w:t>
      </w:r>
      <w:r w:rsidR="00012A8C">
        <w:t xml:space="preserve"> (ORC)</w:t>
      </w:r>
      <w:r w:rsidRPr="00BD7048">
        <w:t xml:space="preserve"> process that </w:t>
      </w:r>
      <w:r w:rsidR="00386E49">
        <w:t>applies</w:t>
      </w:r>
      <w:r w:rsidRPr="00BD7048">
        <w:t xml:space="preserve"> to </w:t>
      </w:r>
      <w:r w:rsidR="008769BB" w:rsidRPr="00BD7048">
        <w:t>tests,</w:t>
      </w:r>
      <w:r w:rsidR="008769BB">
        <w:t xml:space="preserve"> </w:t>
      </w:r>
      <w:r w:rsidRPr="00BD7048">
        <w:t>experiments, research and development (R&amp;D) activities and, at the discretion of division/section</w:t>
      </w:r>
      <w:r w:rsidR="00E0504C">
        <w:t xml:space="preserve"> management, other activities on the</w:t>
      </w:r>
      <w:r w:rsidRPr="00BD7048">
        <w:t xml:space="preserve"> Fermilab</w:t>
      </w:r>
      <w:r w:rsidR="00E0504C">
        <w:t xml:space="preserve"> site</w:t>
      </w:r>
      <w:r w:rsidR="001815B4">
        <w:t xml:space="preserve"> </w:t>
      </w:r>
      <w:r w:rsidR="00E0504C">
        <w:t>as well as</w:t>
      </w:r>
      <w:r w:rsidR="00933873">
        <w:t xml:space="preserve"> Fermilab leased spaces</w:t>
      </w:r>
      <w:r w:rsidR="00975580">
        <w:t>. It</w:t>
      </w:r>
      <w:r w:rsidRPr="00BD7048">
        <w:t xml:space="preserve"> is </w:t>
      </w:r>
      <w:r w:rsidR="00975580">
        <w:t>a</w:t>
      </w:r>
      <w:r w:rsidRPr="00BD7048">
        <w:t xml:space="preserve"> formal </w:t>
      </w:r>
      <w:r w:rsidR="00975580">
        <w:t>ES</w:t>
      </w:r>
      <w:r w:rsidR="00171F62">
        <w:t>H&amp;Q</w:t>
      </w:r>
      <w:r w:rsidR="00975580">
        <w:t xml:space="preserve"> </w:t>
      </w:r>
      <w:r w:rsidRPr="00BD7048">
        <w:t xml:space="preserve">review </w:t>
      </w:r>
      <w:r w:rsidR="00975580">
        <w:t>that</w:t>
      </w:r>
      <w:r w:rsidRPr="00BD7048">
        <w:t xml:space="preserve"> utilizes a group of subject matter experts (SMEs)</w:t>
      </w:r>
      <w:r w:rsidR="00975580">
        <w:t>, the ORC Committee,</w:t>
      </w:r>
      <w:r w:rsidRPr="00BD7048">
        <w:t xml:space="preserve"> to review constructed equipment or systems </w:t>
      </w:r>
      <w:r w:rsidR="00975580">
        <w:t>that have the potential to cause harm to personnel, property</w:t>
      </w:r>
      <w:r w:rsidR="00F96C03">
        <w:t>,</w:t>
      </w:r>
      <w:r w:rsidR="00C677B3">
        <w:t xml:space="preserve"> or the environment. </w:t>
      </w:r>
      <w:r w:rsidR="00975580">
        <w:t>The ORC must be completed and approved prior to the commencement of operations.</w:t>
      </w:r>
    </w:p>
    <w:p w:rsidR="00BD7048" w:rsidRPr="00BD7048" w:rsidRDefault="00BD7048" w:rsidP="00BD7048"/>
    <w:p w:rsidR="00B63E62" w:rsidRPr="00BD7048" w:rsidRDefault="00BD7048" w:rsidP="00BD7048">
      <w:pPr>
        <w:pStyle w:val="PlainText"/>
        <w:rPr>
          <w:rFonts w:ascii="Times New Roman" w:hAnsi="Times New Roman"/>
          <w:sz w:val="24"/>
          <w:szCs w:val="24"/>
        </w:rPr>
      </w:pPr>
      <w:r w:rsidRPr="00BD7048">
        <w:rPr>
          <w:rFonts w:ascii="Times New Roman" w:hAnsi="Times New Roman"/>
          <w:sz w:val="24"/>
          <w:szCs w:val="24"/>
        </w:rPr>
        <w:t>The ORC program is</w:t>
      </w:r>
      <w:r w:rsidR="00C677B3">
        <w:rPr>
          <w:rFonts w:ascii="Times New Roman" w:hAnsi="Times New Roman"/>
          <w:sz w:val="24"/>
          <w:szCs w:val="24"/>
        </w:rPr>
        <w:t xml:space="preserve"> designed as a graded approach.</w:t>
      </w:r>
      <w:r w:rsidRPr="00BD7048">
        <w:rPr>
          <w:rFonts w:ascii="Times New Roman" w:hAnsi="Times New Roman"/>
          <w:sz w:val="24"/>
          <w:szCs w:val="24"/>
        </w:rPr>
        <w:t xml:space="preserve"> The level of detail required is commensurate with the potential </w:t>
      </w:r>
      <w:r w:rsidR="00C677B3">
        <w:rPr>
          <w:rFonts w:ascii="Times New Roman" w:hAnsi="Times New Roman"/>
          <w:sz w:val="24"/>
          <w:szCs w:val="24"/>
        </w:rPr>
        <w:t>Environmental</w:t>
      </w:r>
      <w:r w:rsidR="00F96C03">
        <w:rPr>
          <w:rFonts w:ascii="Times New Roman" w:hAnsi="Times New Roman"/>
          <w:sz w:val="24"/>
          <w:szCs w:val="24"/>
        </w:rPr>
        <w:t>, Safety, and Health (</w:t>
      </w:r>
      <w:r w:rsidRPr="00BD7048">
        <w:rPr>
          <w:rFonts w:ascii="Times New Roman" w:hAnsi="Times New Roman"/>
          <w:sz w:val="24"/>
          <w:szCs w:val="24"/>
        </w:rPr>
        <w:t>ES</w:t>
      </w:r>
      <w:r w:rsidR="00171F62">
        <w:rPr>
          <w:rFonts w:ascii="Times New Roman" w:hAnsi="Times New Roman"/>
          <w:sz w:val="24"/>
          <w:szCs w:val="24"/>
        </w:rPr>
        <w:t>H&amp;Q</w:t>
      </w:r>
      <w:r w:rsidR="00F96C03">
        <w:rPr>
          <w:rFonts w:ascii="Times New Roman" w:hAnsi="Times New Roman"/>
          <w:sz w:val="24"/>
          <w:szCs w:val="24"/>
        </w:rPr>
        <w:t>)</w:t>
      </w:r>
      <w:r w:rsidRPr="00BD7048">
        <w:rPr>
          <w:rFonts w:ascii="Times New Roman" w:hAnsi="Times New Roman"/>
          <w:sz w:val="24"/>
          <w:szCs w:val="24"/>
        </w:rPr>
        <w:t xml:space="preserve"> impact of the activity. The </w:t>
      </w:r>
      <w:hyperlink r:id="rId14" w:history="1">
        <w:r w:rsidRPr="00BD7048">
          <w:rPr>
            <w:rStyle w:val="Hyperlink"/>
            <w:rFonts w:ascii="Times New Roman" w:hAnsi="Times New Roman"/>
            <w:sz w:val="24"/>
            <w:szCs w:val="24"/>
          </w:rPr>
          <w:t>Quality Assurance Manual</w:t>
        </w:r>
      </w:hyperlink>
      <w:r w:rsidRPr="00BD7048">
        <w:rPr>
          <w:rFonts w:ascii="Times New Roman" w:hAnsi="Times New Roman"/>
          <w:sz w:val="24"/>
          <w:szCs w:val="24"/>
        </w:rPr>
        <w:t xml:space="preserve"> and the </w:t>
      </w:r>
      <w:hyperlink r:id="rId15" w:history="1">
        <w:r w:rsidRPr="00BD7048">
          <w:rPr>
            <w:rStyle w:val="Hyperlink"/>
            <w:rFonts w:ascii="Times New Roman" w:hAnsi="Times New Roman"/>
            <w:sz w:val="24"/>
            <w:szCs w:val="24"/>
          </w:rPr>
          <w:t>Engineering Manual</w:t>
        </w:r>
      </w:hyperlink>
      <w:r w:rsidRPr="00BD7048">
        <w:rPr>
          <w:rFonts w:ascii="Times New Roman" w:hAnsi="Times New Roman"/>
          <w:sz w:val="24"/>
          <w:szCs w:val="24"/>
        </w:rPr>
        <w:t xml:space="preserve"> shall be used to determine the level of documentation and review required fo</w:t>
      </w:r>
      <w:r w:rsidR="00C677B3">
        <w:rPr>
          <w:rFonts w:ascii="Times New Roman" w:hAnsi="Times New Roman"/>
          <w:sz w:val="24"/>
          <w:szCs w:val="24"/>
        </w:rPr>
        <w:t>r the activity.</w:t>
      </w:r>
      <w:r w:rsidRPr="00BD7048">
        <w:rPr>
          <w:rFonts w:ascii="Times New Roman" w:hAnsi="Times New Roman"/>
          <w:sz w:val="24"/>
          <w:szCs w:val="24"/>
        </w:rPr>
        <w:t xml:space="preserve"> The </w:t>
      </w:r>
      <w:hyperlink r:id="rId16" w:history="1">
        <w:r w:rsidRPr="00BD7048">
          <w:rPr>
            <w:rStyle w:val="Hyperlink"/>
            <w:rFonts w:ascii="Times New Roman" w:hAnsi="Times New Roman"/>
            <w:sz w:val="24"/>
            <w:szCs w:val="24"/>
          </w:rPr>
          <w:t>Fermilab Environment, Safety and Health Manual (FESHM)</w:t>
        </w:r>
      </w:hyperlink>
      <w:r w:rsidRPr="00BD7048">
        <w:rPr>
          <w:rFonts w:ascii="Times New Roman" w:hAnsi="Times New Roman"/>
          <w:sz w:val="24"/>
          <w:szCs w:val="24"/>
        </w:rPr>
        <w:t xml:space="preserve">, inclusive of the Fermilab </w:t>
      </w:r>
      <w:hyperlink r:id="rId17" w:history="1">
        <w:r w:rsidRPr="00BD7048">
          <w:rPr>
            <w:rStyle w:val="Hyperlink"/>
            <w:rFonts w:ascii="Times New Roman" w:hAnsi="Times New Roman"/>
            <w:sz w:val="24"/>
            <w:szCs w:val="24"/>
          </w:rPr>
          <w:t>Radiological Control Manual (FRCM)</w:t>
        </w:r>
      </w:hyperlink>
      <w:r w:rsidRPr="00BD7048">
        <w:rPr>
          <w:rFonts w:ascii="Times New Roman" w:hAnsi="Times New Roman"/>
          <w:sz w:val="24"/>
          <w:szCs w:val="24"/>
        </w:rPr>
        <w:t>, specifies a set of physical and administrative conditions that define the boundaries for safe operation.</w:t>
      </w:r>
      <w:r w:rsidR="00B63E62" w:rsidRPr="00BD7048">
        <w:rPr>
          <w:rFonts w:ascii="Times New Roman" w:hAnsi="Times New Roman"/>
          <w:sz w:val="24"/>
          <w:szCs w:val="24"/>
        </w:rPr>
        <w:t xml:space="preserve">  </w:t>
      </w:r>
    </w:p>
    <w:p w:rsidR="007D5A75" w:rsidRPr="00970071" w:rsidRDefault="007D5A75" w:rsidP="00E00D72"/>
    <w:p w:rsidR="007D5A75" w:rsidRPr="00970071" w:rsidRDefault="00BD7048" w:rsidP="007D5A75">
      <w:pPr>
        <w:pStyle w:val="Heading1"/>
        <w:rPr>
          <w:kern w:val="0"/>
        </w:rPr>
      </w:pPr>
      <w:bookmarkStart w:id="1" w:name="_Toc448911304"/>
      <w:bookmarkStart w:id="2" w:name="_Toc519686116"/>
      <w:bookmarkEnd w:id="1"/>
      <w:r>
        <w:rPr>
          <w:kern w:val="0"/>
        </w:rPr>
        <w:t>DEFINITIONS</w:t>
      </w:r>
      <w:bookmarkEnd w:id="2"/>
    </w:p>
    <w:p w:rsidR="007D5A75" w:rsidRPr="00970071" w:rsidRDefault="007D5A75" w:rsidP="00E00D72"/>
    <w:p w:rsidR="00194726" w:rsidRDefault="00194726" w:rsidP="00194726">
      <w:pPr>
        <w:pStyle w:val="Heading2"/>
      </w:pPr>
      <w:bookmarkStart w:id="3" w:name="_Toc519686117"/>
      <w:bookmarkStart w:id="4" w:name="_Toc447289235"/>
      <w:r>
        <w:t>Activity Owner</w:t>
      </w:r>
      <w:bookmarkEnd w:id="3"/>
    </w:p>
    <w:p w:rsidR="00194726" w:rsidRDefault="00A41174" w:rsidP="00194726">
      <w:pPr>
        <w:ind w:left="540"/>
      </w:pPr>
      <w:r>
        <w:t>The Activity Owner is</w:t>
      </w:r>
      <w:r w:rsidR="0088461B">
        <w:t xml:space="preserve"> the person</w:t>
      </w:r>
      <w:r>
        <w:t xml:space="preserve"> r</w:t>
      </w:r>
      <w:r w:rsidR="00194726">
        <w:t>esponsible for the safety and operation of the activity</w:t>
      </w:r>
      <w:r w:rsidR="00C677B3">
        <w:t>.</w:t>
      </w:r>
      <w:r w:rsidR="00715439">
        <w:t xml:space="preserve"> The</w:t>
      </w:r>
      <w:r w:rsidR="00C677B3">
        <w:t>y</w:t>
      </w:r>
      <w:r w:rsidR="00715439">
        <w:t xml:space="preserve"> </w:t>
      </w:r>
      <w:r w:rsidR="00C677B3">
        <w:t>collect</w:t>
      </w:r>
      <w:r w:rsidR="00715439">
        <w:t xml:space="preserve"> req</w:t>
      </w:r>
      <w:r w:rsidR="00C677B3">
        <w:t>uired documentation and request</w:t>
      </w:r>
      <w:r w:rsidR="00715439">
        <w:t xml:space="preserve"> the Operational Readiness Clearance.</w:t>
      </w:r>
      <w:r w:rsidR="00194726">
        <w:t xml:space="preserve"> </w:t>
      </w:r>
    </w:p>
    <w:p w:rsidR="00194726" w:rsidRDefault="00194726" w:rsidP="00194726">
      <w:pPr>
        <w:pStyle w:val="Heading2"/>
        <w:numPr>
          <w:ilvl w:val="0"/>
          <w:numId w:val="0"/>
        </w:numPr>
        <w:ind w:left="504"/>
      </w:pPr>
    </w:p>
    <w:p w:rsidR="00741302" w:rsidRDefault="00741302" w:rsidP="00D0504D">
      <w:pPr>
        <w:pStyle w:val="Heading2"/>
      </w:pPr>
      <w:bookmarkStart w:id="5" w:name="_Toc519686118"/>
      <w:r>
        <w:t>Beam Coordinator</w:t>
      </w:r>
      <w:bookmarkEnd w:id="5"/>
    </w:p>
    <w:p w:rsidR="00741302" w:rsidRDefault="00741302" w:rsidP="00741302">
      <w:pPr>
        <w:ind w:left="504"/>
      </w:pPr>
      <w:r>
        <w:t>The Beam Coordinator is a</w:t>
      </w:r>
      <w:r w:rsidR="00075137">
        <w:t xml:space="preserve"> Fermilab</w:t>
      </w:r>
      <w:r>
        <w:t xml:space="preserve"> employee responsible for the operations and safety of a </w:t>
      </w:r>
      <w:proofErr w:type="gramStart"/>
      <w:r>
        <w:t>particular beam</w:t>
      </w:r>
      <w:proofErr w:type="gramEnd"/>
      <w:r w:rsidR="00F46625">
        <w:t xml:space="preserve"> </w:t>
      </w:r>
      <w:r>
        <w:t>line area, accelerator</w:t>
      </w:r>
      <w:r w:rsidR="00553DB4">
        <w:t>,</w:t>
      </w:r>
      <w:r>
        <w:t xml:space="preserve"> or detector enclosure.  </w:t>
      </w:r>
    </w:p>
    <w:p w:rsidR="00741302" w:rsidRPr="00741302" w:rsidRDefault="00741302" w:rsidP="00741302">
      <w:pPr>
        <w:ind w:left="504"/>
      </w:pPr>
    </w:p>
    <w:p w:rsidR="00BD7048" w:rsidRDefault="00BD7048" w:rsidP="00D0504D">
      <w:pPr>
        <w:pStyle w:val="Heading2"/>
      </w:pPr>
      <w:bookmarkStart w:id="6" w:name="_Toc519686119"/>
      <w:r>
        <w:t>ES</w:t>
      </w:r>
      <w:r w:rsidR="001834DE">
        <w:t>H&amp;Q</w:t>
      </w:r>
      <w:r>
        <w:t xml:space="preserve"> Review</w:t>
      </w:r>
      <w:bookmarkEnd w:id="6"/>
      <w:r>
        <w:t xml:space="preserve"> </w:t>
      </w:r>
      <w:bookmarkEnd w:id="4"/>
    </w:p>
    <w:p w:rsidR="00870263" w:rsidRDefault="00EA6560" w:rsidP="003B4374">
      <w:pPr>
        <w:ind w:left="540"/>
      </w:pPr>
      <w:r w:rsidRPr="003F2D5E">
        <w:t>Reviews consisting of environment, safety, and health aspects of activities to ensure personnel safety, protection of the environment</w:t>
      </w:r>
      <w:r w:rsidR="00553DB4">
        <w:t>,</w:t>
      </w:r>
      <w:r w:rsidRPr="003F2D5E">
        <w:t xml:space="preserve"> and compliance. </w:t>
      </w:r>
      <w:r w:rsidR="003B4374">
        <w:t xml:space="preserve"> </w:t>
      </w:r>
      <w:r w:rsidR="00870263" w:rsidRPr="003F2D5E">
        <w:t xml:space="preserve">See </w:t>
      </w:r>
      <w:r w:rsidRPr="003F2D5E">
        <w:t>section 5.0 T</w:t>
      </w:r>
      <w:r w:rsidR="00870263" w:rsidRPr="003F2D5E">
        <w:t xml:space="preserve">echnical </w:t>
      </w:r>
      <w:r w:rsidR="003F2D5E" w:rsidRPr="003F2D5E">
        <w:t>A</w:t>
      </w:r>
      <w:r w:rsidR="003F2D5E">
        <w:t>p</w:t>
      </w:r>
      <w:r w:rsidR="00870263" w:rsidRPr="003F2D5E">
        <w:t>pendix</w:t>
      </w:r>
      <w:r w:rsidR="003B4374">
        <w:t>.</w:t>
      </w:r>
    </w:p>
    <w:p w:rsidR="00870263" w:rsidRPr="00870263" w:rsidRDefault="00870263" w:rsidP="00870263"/>
    <w:p w:rsidR="00194726" w:rsidRDefault="00194726" w:rsidP="00BD7048">
      <w:pPr>
        <w:pStyle w:val="Heading2"/>
      </w:pPr>
      <w:bookmarkStart w:id="7" w:name="_Toc519686120"/>
      <w:bookmarkStart w:id="8" w:name="_Toc447289237"/>
      <w:r>
        <w:t>Facility Manager</w:t>
      </w:r>
      <w:bookmarkEnd w:id="7"/>
    </w:p>
    <w:p w:rsidR="00194726" w:rsidRDefault="00194726" w:rsidP="00756C44">
      <w:pPr>
        <w:ind w:left="504"/>
      </w:pPr>
      <w:r>
        <w:t>The</w:t>
      </w:r>
      <w:r w:rsidRPr="00100A0B">
        <w:t xml:space="preserve"> Facility Manager </w:t>
      </w:r>
      <w:r w:rsidR="0088461B">
        <w:t>is a Fermilab employee with</w:t>
      </w:r>
      <w:r w:rsidRPr="00100A0B">
        <w:t xml:space="preserve"> supervisory authority over a given space or program area</w:t>
      </w:r>
      <w:r>
        <w:t xml:space="preserve"> at Fermilab</w:t>
      </w:r>
      <w:r w:rsidRPr="00100A0B">
        <w:t xml:space="preserve">.  </w:t>
      </w:r>
    </w:p>
    <w:p w:rsidR="00194726" w:rsidRPr="00194726" w:rsidRDefault="00194726" w:rsidP="00756C44">
      <w:pPr>
        <w:ind w:left="504"/>
      </w:pPr>
    </w:p>
    <w:p w:rsidR="00075137" w:rsidRPr="00870263" w:rsidRDefault="00075137" w:rsidP="00075137">
      <w:pPr>
        <w:pStyle w:val="Heading2"/>
        <w:rPr>
          <w:b w:val="0"/>
        </w:rPr>
      </w:pPr>
      <w:bookmarkStart w:id="9" w:name="_Toc519686121"/>
      <w:r>
        <w:t>Operational Readiness Clearance (ORC)</w:t>
      </w:r>
      <w:bookmarkEnd w:id="9"/>
    </w:p>
    <w:p w:rsidR="00075137" w:rsidRDefault="00075137" w:rsidP="00F82BB7">
      <w:pPr>
        <w:ind w:left="504"/>
      </w:pPr>
      <w:r>
        <w:t>P</w:t>
      </w:r>
      <w:r w:rsidRPr="00B83694">
        <w:t>rocess to review experiments, tests, R&amp;D or other activities as appropriate</w:t>
      </w:r>
      <w:r>
        <w:t xml:space="preserve"> to ensure all ES</w:t>
      </w:r>
      <w:r w:rsidR="001834DE">
        <w:t>H&amp;Q</w:t>
      </w:r>
      <w:r>
        <w:t xml:space="preserve"> issues or programmatic concerns are properly mitigated prior to </w:t>
      </w:r>
      <w:r w:rsidR="00386E49">
        <w:t>starting the activity</w:t>
      </w:r>
      <w:r w:rsidRPr="00B83694">
        <w:t>.</w:t>
      </w:r>
      <w:r w:rsidR="00DC4B92">
        <w:t xml:space="preserve"> There are two types of ORCs, </w:t>
      </w:r>
      <w:r w:rsidR="00DC4B92" w:rsidRPr="005F3525">
        <w:rPr>
          <w:i/>
        </w:rPr>
        <w:t>with beam</w:t>
      </w:r>
      <w:r w:rsidR="00DC4B92">
        <w:t xml:space="preserve"> and </w:t>
      </w:r>
      <w:r w:rsidR="00DC4B92" w:rsidRPr="005F3525">
        <w:rPr>
          <w:i/>
        </w:rPr>
        <w:t>no beam</w:t>
      </w:r>
      <w:r w:rsidR="00386E49">
        <w:t>.</w:t>
      </w:r>
      <w:r w:rsidR="00DC4B92">
        <w:t xml:space="preserve"> </w:t>
      </w:r>
      <w:r w:rsidR="00DC4B92" w:rsidRPr="005F3525">
        <w:rPr>
          <w:i/>
        </w:rPr>
        <w:t>With beam</w:t>
      </w:r>
      <w:r w:rsidR="00DC4B92">
        <w:t xml:space="preserve"> means that the activity affects Accelerator Division</w:t>
      </w:r>
      <w:r w:rsidR="00386E49">
        <w:t xml:space="preserve"> (AD) b</w:t>
      </w:r>
      <w:r w:rsidR="00DC4B92">
        <w:t>eam operations and requires special sign</w:t>
      </w:r>
      <w:r w:rsidR="00F46625">
        <w:t>-</w:t>
      </w:r>
      <w:r w:rsidR="00386E49">
        <w:t xml:space="preserve">off </w:t>
      </w:r>
      <w:r w:rsidR="00F46625">
        <w:t>from</w:t>
      </w:r>
      <w:r w:rsidR="00DC4B92">
        <w:t xml:space="preserve"> the </w:t>
      </w:r>
      <w:r w:rsidR="00386E49">
        <w:t>AD</w:t>
      </w:r>
      <w:r w:rsidR="00DC4B92">
        <w:t xml:space="preserve"> Operations Head as the a</w:t>
      </w:r>
      <w:r w:rsidR="00386E49">
        <w:t>ctivity may affect their group.</w:t>
      </w:r>
      <w:r w:rsidR="00DC4B92">
        <w:t xml:space="preserve"> </w:t>
      </w:r>
      <w:r w:rsidR="00DC4B92" w:rsidRPr="005F3525">
        <w:rPr>
          <w:i/>
        </w:rPr>
        <w:t>No beam</w:t>
      </w:r>
      <w:r w:rsidR="00DC4B92">
        <w:t xml:space="preserve"> are all other ORC requests. </w:t>
      </w:r>
    </w:p>
    <w:p w:rsidR="00075137" w:rsidRDefault="00075137" w:rsidP="00F82BB7">
      <w:pPr>
        <w:ind w:left="504"/>
      </w:pPr>
    </w:p>
    <w:p w:rsidR="00075137" w:rsidRPr="00E1105F" w:rsidRDefault="00075137" w:rsidP="00075137">
      <w:pPr>
        <w:pStyle w:val="Heading2"/>
      </w:pPr>
      <w:bookmarkStart w:id="10" w:name="_Toc519686122"/>
      <w:r w:rsidRPr="00E1105F">
        <w:t>Operational Readiness Clearance Chairperson</w:t>
      </w:r>
      <w:bookmarkEnd w:id="10"/>
    </w:p>
    <w:p w:rsidR="00075137" w:rsidRDefault="00075137" w:rsidP="00075137">
      <w:pPr>
        <w:tabs>
          <w:tab w:val="left" w:pos="540"/>
        </w:tabs>
      </w:pPr>
      <w:r>
        <w:tab/>
        <w:t>Person who coordinates</w:t>
      </w:r>
      <w:r w:rsidR="00386E49">
        <w:t xml:space="preserve"> and conducts the ORC review.</w:t>
      </w:r>
    </w:p>
    <w:p w:rsidR="00386E49" w:rsidRDefault="00386E49" w:rsidP="00075137">
      <w:pPr>
        <w:tabs>
          <w:tab w:val="left" w:pos="540"/>
        </w:tabs>
      </w:pPr>
    </w:p>
    <w:p w:rsidR="00BD7048" w:rsidRDefault="00BD7048" w:rsidP="00BD7048">
      <w:pPr>
        <w:pStyle w:val="Heading2"/>
      </w:pPr>
      <w:bookmarkStart w:id="11" w:name="_Toc519686123"/>
      <w:r>
        <w:lastRenderedPageBreak/>
        <w:t>Operational Readiness Clearance Committee</w:t>
      </w:r>
      <w:bookmarkEnd w:id="8"/>
      <w:bookmarkEnd w:id="11"/>
    </w:p>
    <w:p w:rsidR="00870263" w:rsidRPr="00065384" w:rsidRDefault="00093370" w:rsidP="00F82BB7">
      <w:pPr>
        <w:ind w:left="504"/>
      </w:pPr>
      <w:r>
        <w:t xml:space="preserve">A collection of subject matter experts who conduct the Operational Readiness </w:t>
      </w:r>
      <w:r w:rsidR="00715439">
        <w:t>Clearance r</w:t>
      </w:r>
      <w:r>
        <w:t xml:space="preserve">eview </w:t>
      </w:r>
      <w:r w:rsidR="00715439">
        <w:t>of</w:t>
      </w:r>
      <w:r>
        <w:t xml:space="preserve"> activities that meet the intent of this chapter or at the discretion of the Division Management or the Division Safety Officer. </w:t>
      </w:r>
    </w:p>
    <w:p w:rsidR="00BD7048" w:rsidRDefault="00BD7048" w:rsidP="00870263">
      <w:pPr>
        <w:ind w:left="540"/>
      </w:pPr>
      <w:r w:rsidRPr="00B83694">
        <w:t xml:space="preserve"> </w:t>
      </w:r>
    </w:p>
    <w:p w:rsidR="00BD7048" w:rsidRDefault="00BD7048" w:rsidP="00BD7048">
      <w:pPr>
        <w:pStyle w:val="Heading2"/>
      </w:pPr>
      <w:bookmarkStart w:id="12" w:name="_Toc461799522"/>
      <w:bookmarkStart w:id="13" w:name="_Toc447289241"/>
      <w:bookmarkStart w:id="14" w:name="_Toc519686124"/>
      <w:bookmarkEnd w:id="12"/>
      <w:r>
        <w:t>ORC Point of Contact</w:t>
      </w:r>
      <w:bookmarkEnd w:id="13"/>
      <w:r w:rsidR="00012A8C">
        <w:t xml:space="preserve"> (POC)</w:t>
      </w:r>
      <w:bookmarkEnd w:id="14"/>
    </w:p>
    <w:p w:rsidR="003E2C27" w:rsidRDefault="00093370" w:rsidP="00C677B3">
      <w:pPr>
        <w:ind w:left="540"/>
      </w:pPr>
      <w:r>
        <w:t>Person who is responsible for coordinating the ORC review with the ORC c</w:t>
      </w:r>
      <w:r w:rsidR="00C677B3">
        <w:t>hairperson.</w:t>
      </w:r>
      <w:r w:rsidR="0056252D">
        <w:t xml:space="preserve"> The A</w:t>
      </w:r>
      <w:r>
        <w:t xml:space="preserve">ctivity </w:t>
      </w:r>
      <w:r w:rsidR="0056252D">
        <w:t>O</w:t>
      </w:r>
      <w:r>
        <w:t xml:space="preserve">wner may act as the ORC POC or may delegate this responsibility. </w:t>
      </w:r>
    </w:p>
    <w:p w:rsidR="003E2C27" w:rsidRPr="00BA7B7A" w:rsidRDefault="003E2C27" w:rsidP="00870263">
      <w:pPr>
        <w:ind w:left="540"/>
      </w:pPr>
    </w:p>
    <w:p w:rsidR="00554664" w:rsidRPr="00BA7B7A" w:rsidRDefault="00BD7048" w:rsidP="00E00D72">
      <w:pPr>
        <w:pStyle w:val="Heading1"/>
        <w:keepNext w:val="0"/>
      </w:pPr>
      <w:bookmarkStart w:id="15" w:name="_Toc448911312"/>
      <w:bookmarkStart w:id="16" w:name="_Toc448911313"/>
      <w:bookmarkStart w:id="17" w:name="_Toc519686125"/>
      <w:bookmarkEnd w:id="15"/>
      <w:bookmarkEnd w:id="16"/>
      <w:r>
        <w:t>RESPONSIBILITIES</w:t>
      </w:r>
      <w:bookmarkEnd w:id="17"/>
    </w:p>
    <w:p w:rsidR="00B57AA8" w:rsidRDefault="00B57AA8" w:rsidP="00B57AA8">
      <w:pPr>
        <w:pStyle w:val="PlainText"/>
        <w:rPr>
          <w:rFonts w:ascii="Times New Roman" w:hAnsi="Times New Roman"/>
          <w:sz w:val="24"/>
          <w:szCs w:val="24"/>
        </w:rPr>
      </w:pPr>
    </w:p>
    <w:p w:rsidR="002D773F" w:rsidRDefault="002D773F" w:rsidP="00E25E4B">
      <w:pPr>
        <w:pStyle w:val="Heading2"/>
        <w:keepNext w:val="0"/>
      </w:pPr>
      <w:bookmarkStart w:id="18" w:name="_Toc519686126"/>
      <w:bookmarkStart w:id="19" w:name="_Toc447289243"/>
      <w:r>
        <w:t>Accelerator Division</w:t>
      </w:r>
      <w:r w:rsidR="00386E49">
        <w:t xml:space="preserve"> (AD)</w:t>
      </w:r>
      <w:r>
        <w:t xml:space="preserve"> Operations Department Head</w:t>
      </w:r>
      <w:bookmarkEnd w:id="18"/>
    </w:p>
    <w:p w:rsidR="002D773F" w:rsidRPr="00FA0AF9" w:rsidRDefault="002D773F" w:rsidP="002D773F">
      <w:pPr>
        <w:ind w:left="504"/>
      </w:pPr>
      <w:r>
        <w:t xml:space="preserve">The AD Operations Department Head is responsible </w:t>
      </w:r>
      <w:r w:rsidR="00136D25">
        <w:t>for</w:t>
      </w:r>
      <w:r>
        <w:t xml:space="preserve"> review</w:t>
      </w:r>
      <w:r w:rsidR="00136D25">
        <w:t>ing</w:t>
      </w:r>
      <w:r>
        <w:t xml:space="preserve"> and approv</w:t>
      </w:r>
      <w:r w:rsidR="00136D25">
        <w:t>ing</w:t>
      </w:r>
      <w:r>
        <w:t xml:space="preserve"> </w:t>
      </w:r>
      <w:r w:rsidRPr="00FD65D2">
        <w:rPr>
          <w:i/>
        </w:rPr>
        <w:t>ORC Beam</w:t>
      </w:r>
      <w:r>
        <w:t xml:space="preserve"> requests after the ORC Chairperson approves and initiates the approval process.</w:t>
      </w:r>
      <w:r w:rsidR="00FA0AF9">
        <w:t xml:space="preserve"> </w:t>
      </w:r>
      <w:r w:rsidR="00FA0AF9" w:rsidRPr="00FA0AF9">
        <w:t xml:space="preserve">This role is applicable to </w:t>
      </w:r>
      <w:r w:rsidR="00DC4B92">
        <w:t>an</w:t>
      </w:r>
      <w:r w:rsidR="00DC4B92" w:rsidRPr="00FA0AF9">
        <w:t xml:space="preserve"> </w:t>
      </w:r>
      <w:r w:rsidR="00FA0AF9" w:rsidRPr="00FA0AF9">
        <w:t xml:space="preserve">ORC </w:t>
      </w:r>
      <w:r w:rsidR="00DC4B92">
        <w:t xml:space="preserve">that </w:t>
      </w:r>
      <w:r w:rsidR="00DC4B92">
        <w:rPr>
          <w:iCs/>
        </w:rPr>
        <w:t>affects Accelerator Division beam operations</w:t>
      </w:r>
      <w:r w:rsidR="00FA0AF9" w:rsidRPr="00FA0AF9">
        <w:t>.</w:t>
      </w:r>
    </w:p>
    <w:p w:rsidR="002D773F" w:rsidRPr="002D773F" w:rsidRDefault="002D773F" w:rsidP="002D773F">
      <w:pPr>
        <w:ind w:left="504"/>
      </w:pPr>
    </w:p>
    <w:p w:rsidR="00B64D2B" w:rsidRDefault="00B64D2B" w:rsidP="00B64D2B">
      <w:pPr>
        <w:pStyle w:val="Heading2"/>
        <w:keepNext w:val="0"/>
      </w:pPr>
      <w:bookmarkStart w:id="20" w:name="_Toc519686127"/>
      <w:r>
        <w:t>Accelerator Division Radiation Safety Officer</w:t>
      </w:r>
      <w:bookmarkEnd w:id="20"/>
    </w:p>
    <w:p w:rsidR="00B64D2B" w:rsidRPr="00FA0AF9" w:rsidRDefault="00B64D2B" w:rsidP="00B64D2B">
      <w:pPr>
        <w:ind w:left="504"/>
      </w:pPr>
      <w:r>
        <w:t xml:space="preserve">The AD </w:t>
      </w:r>
      <w:r w:rsidR="00075137">
        <w:t>Radiation Safety Officer (</w:t>
      </w:r>
      <w:r>
        <w:t>RSO</w:t>
      </w:r>
      <w:r w:rsidR="00075137">
        <w:t>)</w:t>
      </w:r>
      <w:r>
        <w:t xml:space="preserve"> is responsible </w:t>
      </w:r>
      <w:r w:rsidR="00136D25">
        <w:t xml:space="preserve">for reviewing and approving </w:t>
      </w:r>
      <w:r w:rsidRPr="00FD65D2">
        <w:rPr>
          <w:i/>
        </w:rPr>
        <w:t>ORC Beam</w:t>
      </w:r>
      <w:r>
        <w:t xml:space="preserve"> requests after the ORC Chairperson approves and initiates the approval process.</w:t>
      </w:r>
      <w:r w:rsidR="00FA0AF9">
        <w:t xml:space="preserve"> </w:t>
      </w:r>
      <w:r w:rsidR="00FA0AF9" w:rsidRPr="00FA0AF9">
        <w:t xml:space="preserve">This role is applicable </w:t>
      </w:r>
      <w:r w:rsidR="00DC4B92" w:rsidRPr="00FA0AF9">
        <w:t xml:space="preserve">to </w:t>
      </w:r>
      <w:r w:rsidR="00DC4B92">
        <w:t>an</w:t>
      </w:r>
      <w:r w:rsidR="00DC4B92" w:rsidRPr="00FA0AF9">
        <w:t xml:space="preserve"> ORC </w:t>
      </w:r>
      <w:r w:rsidR="00DC4B92">
        <w:t xml:space="preserve">that </w:t>
      </w:r>
      <w:r w:rsidR="00DC4B92">
        <w:rPr>
          <w:iCs/>
        </w:rPr>
        <w:t>affects Accelerator Division beam operations</w:t>
      </w:r>
      <w:r w:rsidR="00FA0AF9" w:rsidRPr="00FA0AF9">
        <w:t>.</w:t>
      </w:r>
    </w:p>
    <w:p w:rsidR="003C22C7" w:rsidRDefault="003C22C7" w:rsidP="00B64D2B">
      <w:pPr>
        <w:pStyle w:val="Heading2"/>
        <w:keepNext w:val="0"/>
        <w:numPr>
          <w:ilvl w:val="0"/>
          <w:numId w:val="0"/>
        </w:numPr>
        <w:ind w:left="504"/>
      </w:pPr>
    </w:p>
    <w:p w:rsidR="00E25E4B" w:rsidRDefault="00E25E4B" w:rsidP="00E25E4B">
      <w:pPr>
        <w:pStyle w:val="Heading2"/>
        <w:keepNext w:val="0"/>
      </w:pPr>
      <w:bookmarkStart w:id="21" w:name="_Toc519686128"/>
      <w:r>
        <w:t>Activity Owner</w:t>
      </w:r>
      <w:bookmarkEnd w:id="21"/>
    </w:p>
    <w:p w:rsidR="00E25E4B" w:rsidRDefault="00E25E4B" w:rsidP="00E25E4B">
      <w:pPr>
        <w:ind w:left="540"/>
      </w:pPr>
      <w:r>
        <w:t>The Activity Owner is responsible for disc</w:t>
      </w:r>
      <w:r w:rsidR="00293650">
        <w:t>ussing the activity with the Division Safety Officer</w:t>
      </w:r>
      <w:r>
        <w:t xml:space="preserve"> to determine the required ESH</w:t>
      </w:r>
      <w:r w:rsidR="001834DE">
        <w:t>&amp;Q</w:t>
      </w:r>
      <w:r>
        <w:t xml:space="preserve"> reviews.    </w:t>
      </w:r>
    </w:p>
    <w:p w:rsidR="00E25E4B" w:rsidRPr="0068041C" w:rsidRDefault="00E25E4B" w:rsidP="00E25E4B">
      <w:pPr>
        <w:ind w:left="540"/>
      </w:pPr>
    </w:p>
    <w:p w:rsidR="000E2D5D" w:rsidRDefault="000E2D5D" w:rsidP="00BD7048">
      <w:pPr>
        <w:pStyle w:val="Heading2"/>
        <w:keepNext w:val="0"/>
      </w:pPr>
      <w:bookmarkStart w:id="22" w:name="_Toc519686129"/>
      <w:r>
        <w:t>Beam Coordinator</w:t>
      </w:r>
      <w:bookmarkEnd w:id="22"/>
    </w:p>
    <w:p w:rsidR="00B64D2B" w:rsidRDefault="003C22C7" w:rsidP="00B64D2B">
      <w:pPr>
        <w:ind w:left="504"/>
      </w:pPr>
      <w:r>
        <w:t xml:space="preserve">The Beam Coordinator is responsible for assisting Activity Owners to schedule equipment installation in beamline enclosures and submitting the </w:t>
      </w:r>
      <w:r w:rsidRPr="00AE1209">
        <w:rPr>
          <w:i/>
        </w:rPr>
        <w:t>ORC</w:t>
      </w:r>
      <w:r>
        <w:rPr>
          <w:i/>
        </w:rPr>
        <w:t xml:space="preserve"> </w:t>
      </w:r>
      <w:r w:rsidR="00CF6DA1">
        <w:rPr>
          <w:i/>
        </w:rPr>
        <w:t>with b</w:t>
      </w:r>
      <w:r w:rsidRPr="00AE1209">
        <w:rPr>
          <w:i/>
        </w:rPr>
        <w:t>eam</w:t>
      </w:r>
      <w:r w:rsidR="00C677B3">
        <w:t xml:space="preserve"> form for ESH</w:t>
      </w:r>
      <w:r w:rsidR="001834DE">
        <w:t>&amp;Q</w:t>
      </w:r>
      <w:r w:rsidR="00C677B3">
        <w:t xml:space="preserve"> review.</w:t>
      </w:r>
      <w:r>
        <w:t xml:space="preserve"> </w:t>
      </w:r>
      <w:r w:rsidR="00B64D2B">
        <w:t xml:space="preserve">The Beam Coordinator is also responsible to review and approve </w:t>
      </w:r>
      <w:r w:rsidR="00B64D2B" w:rsidRPr="00FD65D2">
        <w:rPr>
          <w:i/>
        </w:rPr>
        <w:t xml:space="preserve">ORC </w:t>
      </w:r>
      <w:r w:rsidR="00CF6DA1">
        <w:rPr>
          <w:i/>
        </w:rPr>
        <w:t>with b</w:t>
      </w:r>
      <w:r w:rsidR="00B64D2B" w:rsidRPr="00FD65D2">
        <w:rPr>
          <w:i/>
        </w:rPr>
        <w:t>eam</w:t>
      </w:r>
      <w:r w:rsidR="00B64D2B">
        <w:t xml:space="preserve"> requests after the ORC Chairperson approves and initiates the approval process.</w:t>
      </w:r>
    </w:p>
    <w:p w:rsidR="000E2D5D" w:rsidRPr="000E2D5D" w:rsidRDefault="000E2D5D" w:rsidP="000E2D5D">
      <w:pPr>
        <w:ind w:left="504"/>
      </w:pPr>
    </w:p>
    <w:p w:rsidR="00BD7048" w:rsidRPr="006A4923" w:rsidRDefault="00BD7048" w:rsidP="00BD7048">
      <w:pPr>
        <w:pStyle w:val="Heading2"/>
        <w:keepNext w:val="0"/>
      </w:pPr>
      <w:bookmarkStart w:id="23" w:name="_Toc519686130"/>
      <w:r w:rsidRPr="006A4923">
        <w:t>Chief Safety Officer</w:t>
      </w:r>
      <w:r>
        <w:t xml:space="preserve"> (CSO)</w:t>
      </w:r>
      <w:bookmarkEnd w:id="19"/>
      <w:bookmarkEnd w:id="23"/>
    </w:p>
    <w:p w:rsidR="00CF6DA1" w:rsidRDefault="008769BB" w:rsidP="005F3525">
      <w:pPr>
        <w:ind w:left="540"/>
      </w:pPr>
      <w:r>
        <w:t>The CSO</w:t>
      </w:r>
      <w:r w:rsidR="00BD7048">
        <w:t xml:space="preserve"> is responsible for </w:t>
      </w:r>
      <w:r w:rsidR="00ED316B">
        <w:t xml:space="preserve">the development of </w:t>
      </w:r>
      <w:r w:rsidR="00BD7048">
        <w:t xml:space="preserve">this policy and oversight of its implementation.   </w:t>
      </w:r>
    </w:p>
    <w:p w:rsidR="00CF6DA1" w:rsidRDefault="00CF6DA1" w:rsidP="00BD7048"/>
    <w:p w:rsidR="00BD7048" w:rsidRDefault="006F009A" w:rsidP="00BD7048">
      <w:pPr>
        <w:pStyle w:val="Heading2"/>
        <w:keepNext w:val="0"/>
      </w:pPr>
      <w:bookmarkStart w:id="24" w:name="_Toc447289244"/>
      <w:bookmarkStart w:id="25" w:name="_Toc519686131"/>
      <w:r>
        <w:t>Division/Section</w:t>
      </w:r>
      <w:r w:rsidR="00BD7048" w:rsidRPr="006A4923">
        <w:t xml:space="preserve"> Head</w:t>
      </w:r>
      <w:bookmarkEnd w:id="24"/>
      <w:r w:rsidR="001815B4">
        <w:t>/Project Manager</w:t>
      </w:r>
      <w:r w:rsidR="008769BB">
        <w:t xml:space="preserve"> (D/S/P)</w:t>
      </w:r>
      <w:bookmarkEnd w:id="25"/>
    </w:p>
    <w:p w:rsidR="00BD7048" w:rsidRDefault="00BD7048" w:rsidP="003E2C27">
      <w:pPr>
        <w:ind w:left="540"/>
      </w:pPr>
      <w:r>
        <w:t>The D/S Head</w:t>
      </w:r>
      <w:r w:rsidR="001815B4">
        <w:t>/Project Manager</w:t>
      </w:r>
      <w:r w:rsidR="00C21903">
        <w:t xml:space="preserve"> (or designe</w:t>
      </w:r>
      <w:r w:rsidR="00CF61FA">
        <w:t>e</w:t>
      </w:r>
      <w:r w:rsidR="00C21903">
        <w:t>)</w:t>
      </w:r>
      <w:r>
        <w:t xml:space="preserve"> is responsible for </w:t>
      </w:r>
      <w:r w:rsidR="00ED316B">
        <w:t xml:space="preserve">implementing </w:t>
      </w:r>
      <w:r>
        <w:t>this chapter’s requ</w:t>
      </w:r>
      <w:r w:rsidR="00C677B3">
        <w:t>irements in their organization.</w:t>
      </w:r>
      <w:r>
        <w:t xml:space="preserve"> </w:t>
      </w:r>
      <w:r w:rsidRPr="004845B8">
        <w:t xml:space="preserve">The </w:t>
      </w:r>
      <w:r>
        <w:t>ORC</w:t>
      </w:r>
      <w:r w:rsidRPr="004845B8">
        <w:t xml:space="preserve"> may span multiple divisions thus multiple </w:t>
      </w:r>
      <w:r>
        <w:t>D/S</w:t>
      </w:r>
      <w:r w:rsidRPr="004845B8">
        <w:t xml:space="preserve"> Heads</w:t>
      </w:r>
      <w:r w:rsidR="001815B4">
        <w:t>/Project Managers</w:t>
      </w:r>
      <w:r w:rsidRPr="004845B8">
        <w:t xml:space="preserve"> may be involved in the approval of the ORC. </w:t>
      </w:r>
      <w:r w:rsidR="00C21903">
        <w:t>The landlord Division is the lead organization for the ORC.</w:t>
      </w:r>
    </w:p>
    <w:p w:rsidR="000070EC" w:rsidRDefault="000070EC" w:rsidP="003E2C27">
      <w:pPr>
        <w:ind w:left="540"/>
      </w:pPr>
    </w:p>
    <w:p w:rsidR="00BD7048" w:rsidRDefault="00BD7048" w:rsidP="003E2C27">
      <w:pPr>
        <w:ind w:left="540"/>
      </w:pPr>
      <w:r>
        <w:t>D/S</w:t>
      </w:r>
      <w:r w:rsidR="008769BB">
        <w:t>/P</w:t>
      </w:r>
      <w:r w:rsidRPr="004845B8">
        <w:t>s are responsible for:</w:t>
      </w:r>
    </w:p>
    <w:p w:rsidR="00BD7048" w:rsidRDefault="00BD7048" w:rsidP="00BD7048">
      <w:pPr>
        <w:pStyle w:val="ListParagraph"/>
        <w:numPr>
          <w:ilvl w:val="0"/>
          <w:numId w:val="36"/>
        </w:numPr>
      </w:pPr>
      <w:r>
        <w:t xml:space="preserve">Appointing subject matter experts to </w:t>
      </w:r>
      <w:r w:rsidR="00293650">
        <w:t xml:space="preserve">chair or </w:t>
      </w:r>
      <w:r>
        <w:t>serve on the ORC committees and panels</w:t>
      </w:r>
      <w:r w:rsidR="003E2C27">
        <w:t>.</w:t>
      </w:r>
    </w:p>
    <w:p w:rsidR="00B64D2B" w:rsidRDefault="00B64D2B" w:rsidP="00BD7048">
      <w:pPr>
        <w:pStyle w:val="ListParagraph"/>
        <w:numPr>
          <w:ilvl w:val="0"/>
          <w:numId w:val="36"/>
        </w:numPr>
      </w:pPr>
      <w:r>
        <w:lastRenderedPageBreak/>
        <w:t>Appointing a Beam Coordinator at locations where experiments, tests or R&amp;D activities may be installed in a beamline (e.g.</w:t>
      </w:r>
      <w:r w:rsidR="000070EC">
        <w:t>,</w:t>
      </w:r>
      <w:r>
        <w:t xml:space="preserve"> Fermilab Test Beam Facility, M03, Fermilab Accelerator Science &amp; Technology Facility).  </w:t>
      </w:r>
    </w:p>
    <w:p w:rsidR="00744805" w:rsidRDefault="00BD7048" w:rsidP="00744805">
      <w:pPr>
        <w:pStyle w:val="ListParagraph"/>
        <w:numPr>
          <w:ilvl w:val="0"/>
          <w:numId w:val="36"/>
        </w:numPr>
      </w:pPr>
      <w:r>
        <w:t>Reviewing the recommendations to operate from committee and panel chairpersons, and ultimately approving operations</w:t>
      </w:r>
      <w:r w:rsidR="00744805">
        <w:t xml:space="preserve">.  </w:t>
      </w:r>
      <w:r w:rsidR="008769BB">
        <w:t>If</w:t>
      </w:r>
      <w:r w:rsidR="00744805">
        <w:t xml:space="preserve"> more than one organization is involved in t</w:t>
      </w:r>
      <w:r w:rsidR="008769BB">
        <w:t>he activity, the tenant D/S/P</w:t>
      </w:r>
      <w:r w:rsidR="00744805">
        <w:t xml:space="preserve"> give</w:t>
      </w:r>
      <w:r w:rsidR="008769BB">
        <w:t>s</w:t>
      </w:r>
      <w:r w:rsidR="00744805">
        <w:t xml:space="preserve"> approval and the landlord D/S Head </w:t>
      </w:r>
      <w:r w:rsidR="008769BB">
        <w:t>grants</w:t>
      </w:r>
      <w:r w:rsidR="00744805">
        <w:t xml:space="preserve"> final </w:t>
      </w:r>
      <w:r w:rsidR="008769BB">
        <w:t>approval</w:t>
      </w:r>
      <w:r w:rsidR="00744805">
        <w:t xml:space="preserve"> to operate.</w:t>
      </w:r>
      <w:r w:rsidR="00C21903">
        <w:t xml:space="preserve">  </w:t>
      </w:r>
    </w:p>
    <w:p w:rsidR="007B6B65" w:rsidRDefault="00DC40A6" w:rsidP="00A77ED4">
      <w:pPr>
        <w:pStyle w:val="ListParagraph"/>
        <w:numPr>
          <w:ilvl w:val="0"/>
          <w:numId w:val="36"/>
        </w:numPr>
      </w:pPr>
      <w:r>
        <w:t xml:space="preserve">Ensuring that </w:t>
      </w:r>
      <w:r w:rsidR="00DE7822">
        <w:t>the ORC information is</w:t>
      </w:r>
      <w:r>
        <w:t xml:space="preserve"> entered </w:t>
      </w:r>
      <w:r w:rsidR="00BD7048">
        <w:t>in the online database</w:t>
      </w:r>
      <w:r w:rsidR="007B6B65">
        <w:t xml:space="preserve"> (</w:t>
      </w:r>
      <w:hyperlink r:id="rId18" w:history="1">
        <w:r w:rsidR="00293650" w:rsidRPr="00AA3FFD">
          <w:rPr>
            <w:rStyle w:val="Hyperlink"/>
          </w:rPr>
          <w:t>https://fermipoint.fnal.gov/service/tsworc</w:t>
        </w:r>
      </w:hyperlink>
      <w:r w:rsidR="00293650">
        <w:t xml:space="preserve">). </w:t>
      </w:r>
    </w:p>
    <w:p w:rsidR="00293650" w:rsidRDefault="00293650" w:rsidP="00293650">
      <w:pPr>
        <w:pStyle w:val="ListParagraph"/>
        <w:numPr>
          <w:ilvl w:val="0"/>
          <w:numId w:val="36"/>
        </w:numPr>
      </w:pPr>
      <w:r>
        <w:t>Fielding requests for resource needs or scope changes through the Facility Manager.</w:t>
      </w:r>
    </w:p>
    <w:p w:rsidR="00BD7048" w:rsidRDefault="00BD7048" w:rsidP="00A77ED4">
      <w:pPr>
        <w:pStyle w:val="ListParagraph"/>
        <w:ind w:left="840"/>
      </w:pPr>
    </w:p>
    <w:p w:rsidR="00BD7048" w:rsidRDefault="00BD7048" w:rsidP="00BD7048">
      <w:pPr>
        <w:pStyle w:val="Heading2"/>
      </w:pPr>
      <w:bookmarkStart w:id="26" w:name="_Toc447289245"/>
      <w:bookmarkStart w:id="27" w:name="_Toc447289246"/>
      <w:bookmarkStart w:id="28" w:name="_Toc447289247"/>
      <w:bookmarkStart w:id="29" w:name="_Toc519686132"/>
      <w:bookmarkEnd w:id="26"/>
      <w:bookmarkEnd w:id="27"/>
      <w:r>
        <w:t>Division Safety Officer (DSO)</w:t>
      </w:r>
      <w:bookmarkEnd w:id="28"/>
      <w:bookmarkEnd w:id="29"/>
    </w:p>
    <w:p w:rsidR="00BD7048" w:rsidRDefault="00BD7048" w:rsidP="003E2C27">
      <w:pPr>
        <w:ind w:left="540"/>
      </w:pPr>
      <w:r>
        <w:t xml:space="preserve">The DSO assists the D/S Head </w:t>
      </w:r>
      <w:r w:rsidR="00715439">
        <w:t>to ensure</w:t>
      </w:r>
      <w:r>
        <w:t xml:space="preserve"> the requirements of this chapter are implemented in their organization. The DSO may recommend an ORC be completed for activities beyond the scope of this chapter based on their professional judgement.  </w:t>
      </w:r>
    </w:p>
    <w:p w:rsidR="00BD7048" w:rsidRPr="006A4923" w:rsidRDefault="00BD7048" w:rsidP="00BD7048"/>
    <w:p w:rsidR="00E25E4B" w:rsidRPr="00100A0B" w:rsidRDefault="00E25E4B" w:rsidP="00E25E4B">
      <w:pPr>
        <w:pStyle w:val="Heading2"/>
        <w:keepNext w:val="0"/>
      </w:pPr>
      <w:bookmarkStart w:id="30" w:name="_Toc451433238"/>
      <w:bookmarkStart w:id="31" w:name="_Toc519686133"/>
      <w:bookmarkStart w:id="32" w:name="_Toc447289248"/>
      <w:r w:rsidRPr="00100A0B">
        <w:t>Facility Manager</w:t>
      </w:r>
      <w:bookmarkEnd w:id="30"/>
      <w:bookmarkEnd w:id="31"/>
    </w:p>
    <w:p w:rsidR="00C265CD" w:rsidRDefault="00E25E4B" w:rsidP="00C265CD">
      <w:pPr>
        <w:ind w:left="504"/>
      </w:pPr>
      <w:r w:rsidRPr="00100A0B">
        <w:t>The Facility Manager</w:t>
      </w:r>
      <w:r>
        <w:t xml:space="preserve"> a</w:t>
      </w:r>
      <w:r w:rsidRPr="004845B8">
        <w:t>ct</w:t>
      </w:r>
      <w:r>
        <w:t>s</w:t>
      </w:r>
      <w:r w:rsidRPr="004845B8">
        <w:t xml:space="preserve"> as a liaison between the </w:t>
      </w:r>
      <w:r>
        <w:t>Activity Owner, the D/S</w:t>
      </w:r>
      <w:r w:rsidRPr="004845B8">
        <w:t xml:space="preserve"> Office</w:t>
      </w:r>
      <w:r w:rsidR="00553DB4">
        <w:t>,</w:t>
      </w:r>
      <w:r w:rsidRPr="004845B8">
        <w:t xml:space="preserve"> and </w:t>
      </w:r>
      <w:r>
        <w:t>the DSO</w:t>
      </w:r>
      <w:r w:rsidRPr="004845B8">
        <w:t xml:space="preserve"> for resource allocation, ESH</w:t>
      </w:r>
      <w:r w:rsidR="001834DE">
        <w:t>&amp;Q</w:t>
      </w:r>
      <w:r w:rsidRPr="004845B8">
        <w:t xml:space="preserve"> reviews</w:t>
      </w:r>
      <w:r w:rsidR="00553DB4">
        <w:t>,</w:t>
      </w:r>
      <w:r w:rsidRPr="004845B8">
        <w:t xml:space="preserve"> and ORC reviews</w:t>
      </w:r>
      <w:r>
        <w:t>.</w:t>
      </w:r>
      <w:r w:rsidRPr="004845B8">
        <w:t xml:space="preserve"> </w:t>
      </w:r>
      <w:r>
        <w:t xml:space="preserve">They </w:t>
      </w:r>
      <w:r w:rsidR="00DC4B92">
        <w:t xml:space="preserve">may </w:t>
      </w:r>
      <w:r>
        <w:t>conduct preliminary reviews of proposed activities and</w:t>
      </w:r>
      <w:r w:rsidRPr="00100A0B">
        <w:t xml:space="preserve"> </w:t>
      </w:r>
      <w:r>
        <w:t>help to d</w:t>
      </w:r>
      <w:r w:rsidR="00A45B4B">
        <w:t>etermine if an ORC is required.</w:t>
      </w:r>
      <w:r>
        <w:t xml:space="preserve"> </w:t>
      </w:r>
      <w:r w:rsidR="00756C44">
        <w:t>I</w:t>
      </w:r>
      <w:r>
        <w:t>n addition, the Facility Manager should be aware of proposed scope changes and determine if another ORC is required.</w:t>
      </w:r>
      <w:r w:rsidR="00C265CD">
        <w:t xml:space="preserve"> The Facility Manager is also responsible to review </w:t>
      </w:r>
      <w:r w:rsidR="00DC4B92">
        <w:t>ORC</w:t>
      </w:r>
      <w:r w:rsidR="00C265CD">
        <w:t xml:space="preserve"> requests.</w:t>
      </w:r>
    </w:p>
    <w:p w:rsidR="00E25E4B" w:rsidRDefault="00E25E4B" w:rsidP="00E25E4B">
      <w:pPr>
        <w:ind w:left="480"/>
      </w:pPr>
    </w:p>
    <w:p w:rsidR="00075137" w:rsidRDefault="00075137" w:rsidP="00075137">
      <w:pPr>
        <w:pStyle w:val="Heading2"/>
        <w:keepNext w:val="0"/>
      </w:pPr>
      <w:bookmarkStart w:id="33" w:name="_Toc519686134"/>
      <w:bookmarkStart w:id="34" w:name="_Hlk505350613"/>
      <w:bookmarkStart w:id="35" w:name="_Toc447289249"/>
      <w:bookmarkEnd w:id="32"/>
      <w:r>
        <w:t>ORC Chairperson</w:t>
      </w:r>
      <w:bookmarkEnd w:id="33"/>
      <w:r w:rsidDel="006C111F">
        <w:t xml:space="preserve"> </w:t>
      </w:r>
    </w:p>
    <w:p w:rsidR="00075137" w:rsidRDefault="00075137" w:rsidP="00075137">
      <w:pPr>
        <w:pStyle w:val="PlainText"/>
        <w:ind w:left="540"/>
        <w:rPr>
          <w:rFonts w:ascii="Times New Roman" w:hAnsi="Times New Roman"/>
          <w:sz w:val="24"/>
          <w:szCs w:val="24"/>
        </w:rPr>
      </w:pPr>
      <w:r w:rsidRPr="00BD7048">
        <w:rPr>
          <w:rFonts w:ascii="Times New Roman" w:hAnsi="Times New Roman"/>
          <w:sz w:val="24"/>
          <w:szCs w:val="24"/>
        </w:rPr>
        <w:t>The ORC Chairperson coordinates a timely ORC review with subject matter experts</w:t>
      </w:r>
      <w:r>
        <w:rPr>
          <w:rFonts w:ascii="Times New Roman" w:hAnsi="Times New Roman"/>
          <w:sz w:val="24"/>
          <w:szCs w:val="24"/>
        </w:rPr>
        <w:t>,</w:t>
      </w:r>
      <w:r w:rsidRPr="00BD7048">
        <w:rPr>
          <w:rFonts w:ascii="Times New Roman" w:hAnsi="Times New Roman"/>
          <w:sz w:val="24"/>
          <w:szCs w:val="24"/>
        </w:rPr>
        <w:t xml:space="preserve"> </w:t>
      </w:r>
      <w:r>
        <w:rPr>
          <w:rFonts w:ascii="Times New Roman" w:hAnsi="Times New Roman"/>
          <w:sz w:val="24"/>
          <w:szCs w:val="24"/>
        </w:rPr>
        <w:t xml:space="preserve">independent of the activity, </w:t>
      </w:r>
      <w:r w:rsidRPr="00BD7048">
        <w:rPr>
          <w:rFonts w:ascii="Times New Roman" w:hAnsi="Times New Roman"/>
          <w:sz w:val="24"/>
          <w:szCs w:val="24"/>
        </w:rPr>
        <w:t>to ensure required ESH</w:t>
      </w:r>
      <w:r w:rsidR="001834DE">
        <w:rPr>
          <w:rFonts w:ascii="Times New Roman" w:hAnsi="Times New Roman"/>
          <w:sz w:val="24"/>
          <w:szCs w:val="24"/>
        </w:rPr>
        <w:t>&amp;Q</w:t>
      </w:r>
      <w:r w:rsidRPr="00BD7048">
        <w:rPr>
          <w:rFonts w:ascii="Times New Roman" w:hAnsi="Times New Roman"/>
          <w:sz w:val="24"/>
          <w:szCs w:val="24"/>
        </w:rPr>
        <w:t xml:space="preserve"> reviews have been performed, any identified deficiencies have been resolved, and rec</w:t>
      </w:r>
      <w:r w:rsidR="00A45B4B">
        <w:rPr>
          <w:rFonts w:ascii="Times New Roman" w:hAnsi="Times New Roman"/>
          <w:sz w:val="24"/>
          <w:szCs w:val="24"/>
        </w:rPr>
        <w:t>ommends approval of operations.</w:t>
      </w:r>
      <w:r w:rsidRPr="00BD7048">
        <w:rPr>
          <w:rFonts w:ascii="Times New Roman" w:hAnsi="Times New Roman"/>
          <w:sz w:val="24"/>
          <w:szCs w:val="24"/>
        </w:rPr>
        <w:t xml:space="preserve"> </w:t>
      </w:r>
      <w:r w:rsidR="00AC47E5">
        <w:rPr>
          <w:rFonts w:ascii="Times New Roman" w:hAnsi="Times New Roman"/>
          <w:sz w:val="24"/>
          <w:szCs w:val="24"/>
        </w:rPr>
        <w:t xml:space="preserve">The ORC Chairperson has the authority to comprise the ORC committee with SMEs commensurate with the hazards presented by the activity.  </w:t>
      </w:r>
      <w:r w:rsidR="006122EB">
        <w:rPr>
          <w:rFonts w:ascii="Times New Roman" w:hAnsi="Times New Roman"/>
          <w:sz w:val="24"/>
          <w:szCs w:val="24"/>
        </w:rPr>
        <w:t xml:space="preserve">The ORC chairperson, in conjunction with the ORC Point of Contact, determines if the request is </w:t>
      </w:r>
      <w:r w:rsidR="006122EB" w:rsidRPr="005F3525">
        <w:rPr>
          <w:rFonts w:ascii="Times New Roman" w:hAnsi="Times New Roman"/>
          <w:i/>
          <w:sz w:val="24"/>
          <w:szCs w:val="24"/>
        </w:rPr>
        <w:t xml:space="preserve">No </w:t>
      </w:r>
      <w:r w:rsidR="00CF6DA1">
        <w:rPr>
          <w:rFonts w:ascii="Times New Roman" w:hAnsi="Times New Roman"/>
          <w:i/>
          <w:sz w:val="24"/>
          <w:szCs w:val="24"/>
        </w:rPr>
        <w:t>b</w:t>
      </w:r>
      <w:r w:rsidR="006122EB" w:rsidRPr="005F3525">
        <w:rPr>
          <w:rFonts w:ascii="Times New Roman" w:hAnsi="Times New Roman"/>
          <w:i/>
          <w:sz w:val="24"/>
          <w:szCs w:val="24"/>
        </w:rPr>
        <w:t>eam</w:t>
      </w:r>
      <w:r w:rsidR="006122EB">
        <w:rPr>
          <w:rFonts w:ascii="Times New Roman" w:hAnsi="Times New Roman"/>
          <w:sz w:val="24"/>
          <w:szCs w:val="24"/>
        </w:rPr>
        <w:t xml:space="preserve"> or </w:t>
      </w:r>
      <w:r w:rsidR="006122EB" w:rsidRPr="005F3525">
        <w:rPr>
          <w:rFonts w:ascii="Times New Roman" w:hAnsi="Times New Roman"/>
          <w:i/>
          <w:sz w:val="24"/>
          <w:szCs w:val="24"/>
        </w:rPr>
        <w:t xml:space="preserve">with </w:t>
      </w:r>
      <w:r w:rsidR="00CF6DA1">
        <w:rPr>
          <w:rFonts w:ascii="Times New Roman" w:hAnsi="Times New Roman"/>
          <w:i/>
          <w:sz w:val="24"/>
          <w:szCs w:val="24"/>
        </w:rPr>
        <w:t>b</w:t>
      </w:r>
      <w:r w:rsidR="006122EB" w:rsidRPr="005F3525">
        <w:rPr>
          <w:rFonts w:ascii="Times New Roman" w:hAnsi="Times New Roman"/>
          <w:i/>
          <w:sz w:val="24"/>
          <w:szCs w:val="24"/>
        </w:rPr>
        <w:t>eam</w:t>
      </w:r>
      <w:r w:rsidR="006122EB">
        <w:rPr>
          <w:rFonts w:ascii="Times New Roman" w:hAnsi="Times New Roman"/>
          <w:sz w:val="24"/>
          <w:szCs w:val="24"/>
        </w:rPr>
        <w:t xml:space="preserve"> and will follow the appropriate workflow. </w:t>
      </w:r>
    </w:p>
    <w:bookmarkEnd w:id="34"/>
    <w:p w:rsidR="00075137" w:rsidRDefault="00075137" w:rsidP="00075137">
      <w:pPr>
        <w:pStyle w:val="PlainText"/>
        <w:ind w:left="540"/>
        <w:rPr>
          <w:rFonts w:ascii="Times New Roman" w:hAnsi="Times New Roman"/>
          <w:sz w:val="24"/>
          <w:szCs w:val="24"/>
        </w:rPr>
      </w:pPr>
    </w:p>
    <w:p w:rsidR="00A36EBE" w:rsidRDefault="00E25E4B" w:rsidP="00A36EBE">
      <w:pPr>
        <w:pStyle w:val="Heading2"/>
      </w:pPr>
      <w:bookmarkStart w:id="36" w:name="_Toc519686135"/>
      <w:r>
        <w:t>ORC</w:t>
      </w:r>
      <w:r w:rsidR="00A36EBE">
        <w:t xml:space="preserve"> Committee</w:t>
      </w:r>
      <w:bookmarkEnd w:id="36"/>
    </w:p>
    <w:p w:rsidR="00A36EBE" w:rsidRDefault="00756C44" w:rsidP="00A36EBE">
      <w:pPr>
        <w:ind w:left="540"/>
      </w:pPr>
      <w:r>
        <w:t>The ORC Committee is responsible for</w:t>
      </w:r>
      <w:r w:rsidR="00A36EBE">
        <w:t xml:space="preserve"> conduct</w:t>
      </w:r>
      <w:r>
        <w:t>ing</w:t>
      </w:r>
      <w:r w:rsidR="00A36EBE">
        <w:t xml:space="preserve"> the </w:t>
      </w:r>
      <w:r>
        <w:t>ORC</w:t>
      </w:r>
      <w:r w:rsidR="009262E9">
        <w:t xml:space="preserve"> r</w:t>
      </w:r>
      <w:r w:rsidR="00A36EBE">
        <w:t xml:space="preserve">eview </w:t>
      </w:r>
      <w:r>
        <w:t>to ensure all ESH</w:t>
      </w:r>
      <w:r w:rsidR="001834DE">
        <w:t>&amp;Q</w:t>
      </w:r>
      <w:r>
        <w:t xml:space="preserve"> issues are properly managed</w:t>
      </w:r>
      <w:r w:rsidR="00975580">
        <w:t>.</w:t>
      </w:r>
      <w:r>
        <w:t xml:space="preserve"> </w:t>
      </w:r>
      <w:r w:rsidR="00975580">
        <w:t>It will review documents</w:t>
      </w:r>
      <w:r w:rsidR="001E2037">
        <w:t>,</w:t>
      </w:r>
      <w:r w:rsidR="00975580">
        <w:t xml:space="preserve"> such as equipment designs</w:t>
      </w:r>
      <w:r w:rsidR="001E2037">
        <w:t xml:space="preserve"> and </w:t>
      </w:r>
      <w:r w:rsidR="00975580">
        <w:t>written procedures or hazard analyses, ensure engineering notes are properly c</w:t>
      </w:r>
      <w:r w:rsidR="00A45B4B">
        <w:t>aptured, and inspect equipment.</w:t>
      </w:r>
      <w:r w:rsidR="00975580">
        <w:t xml:space="preserve"> The Committee shall recommend </w:t>
      </w:r>
      <w:r w:rsidR="00A45B4B">
        <w:t>full or conditional operations.</w:t>
      </w:r>
      <w:r w:rsidR="00975580">
        <w:t xml:space="preserve"> </w:t>
      </w:r>
      <w:r>
        <w:t xml:space="preserve">If conditional approval is given, the reviewer </w:t>
      </w:r>
      <w:r w:rsidR="00293650">
        <w:t>shall</w:t>
      </w:r>
      <w:r>
        <w:t xml:space="preserve"> explain the conditions that must be met before operation may proceed.</w:t>
      </w:r>
    </w:p>
    <w:p w:rsidR="00CF6DA1" w:rsidRDefault="00CF6DA1" w:rsidP="00A36EBE">
      <w:pPr>
        <w:pStyle w:val="PlainText"/>
        <w:ind w:left="540"/>
        <w:rPr>
          <w:rFonts w:ascii="Times New Roman" w:hAnsi="Times New Roman"/>
          <w:sz w:val="24"/>
          <w:szCs w:val="24"/>
        </w:rPr>
      </w:pPr>
    </w:p>
    <w:p w:rsidR="00BD7048" w:rsidRDefault="00BD7048" w:rsidP="00BD7048">
      <w:pPr>
        <w:pStyle w:val="Heading2"/>
        <w:keepNext w:val="0"/>
      </w:pPr>
      <w:bookmarkStart w:id="37" w:name="_Toc519686136"/>
      <w:r>
        <w:t>ORC Point of Contact</w:t>
      </w:r>
      <w:bookmarkEnd w:id="35"/>
      <w:bookmarkEnd w:id="37"/>
    </w:p>
    <w:p w:rsidR="00A33FA8" w:rsidRDefault="00BD7048" w:rsidP="00386E49">
      <w:pPr>
        <w:ind w:left="540"/>
      </w:pPr>
      <w:r>
        <w:t>The ORC Point of Contact (POC) is the individual responsible for requesting an ORC for the activity that requires review. The ORC POC may vary based the activity (e.g.</w:t>
      </w:r>
      <w:r w:rsidR="001E2037">
        <w:t>,</w:t>
      </w:r>
      <w:r>
        <w:t xml:space="preserve"> activity owner, project lead, projec</w:t>
      </w:r>
      <w:r w:rsidR="00A45B4B">
        <w:t>t engineer, scientist or user).</w:t>
      </w:r>
      <w:r w:rsidR="00386E49">
        <w:t xml:space="preserve"> </w:t>
      </w:r>
      <w:r>
        <w:t>The ORC POC is responsible to carry out the OR</w:t>
      </w:r>
      <w:r w:rsidR="00B256E6">
        <w:t>C procedure defined in Section 4</w:t>
      </w:r>
      <w:r>
        <w:t>.0.</w:t>
      </w:r>
    </w:p>
    <w:p w:rsidR="00BD7048" w:rsidRPr="006A4923" w:rsidRDefault="00BD7048" w:rsidP="005F3525">
      <w:pPr>
        <w:ind w:left="540"/>
        <w:rPr>
          <w:highlight w:val="yellow"/>
        </w:rPr>
      </w:pPr>
    </w:p>
    <w:p w:rsidR="00E47427" w:rsidRPr="00970071" w:rsidRDefault="00BD7048" w:rsidP="00E47427">
      <w:pPr>
        <w:pStyle w:val="Heading1"/>
      </w:pPr>
      <w:bookmarkStart w:id="38" w:name="_Toc447289250"/>
      <w:bookmarkStart w:id="39" w:name="_Toc447289251"/>
      <w:bookmarkStart w:id="40" w:name="_Toc519686137"/>
      <w:bookmarkEnd w:id="38"/>
      <w:bookmarkEnd w:id="39"/>
      <w:r>
        <w:lastRenderedPageBreak/>
        <w:t>PROGRAM DESCRIPTION</w:t>
      </w:r>
      <w:bookmarkEnd w:id="40"/>
    </w:p>
    <w:p w:rsidR="00E47427" w:rsidRPr="00970071" w:rsidRDefault="00E47427" w:rsidP="00E00D72"/>
    <w:p w:rsidR="00BD7048" w:rsidRDefault="00BD7048" w:rsidP="00BD7048">
      <w:r>
        <w:t xml:space="preserve">The Operational Readiness Clearance process must be completed prior to </w:t>
      </w:r>
      <w:r w:rsidR="00573DA8">
        <w:t xml:space="preserve">commencement of </w:t>
      </w:r>
      <w:r>
        <w:t>operation for all experiments, tests or R&amp;D activities that utilize any equipment or materials that have the potential to cause harm to personnel, property or the environment. For example</w:t>
      </w:r>
      <w:r w:rsidR="003B4374">
        <w:t>, use of</w:t>
      </w:r>
      <w:r>
        <w:t>:</w:t>
      </w:r>
    </w:p>
    <w:p w:rsidR="006627A0" w:rsidRDefault="006627A0" w:rsidP="00BD7048"/>
    <w:p w:rsidR="00BD7048" w:rsidRDefault="00BD7048" w:rsidP="00BD7048">
      <w:pPr>
        <w:pStyle w:val="ListParagraph"/>
        <w:numPr>
          <w:ilvl w:val="0"/>
          <w:numId w:val="37"/>
        </w:numPr>
      </w:pPr>
      <w:r>
        <w:t>Non-N</w:t>
      </w:r>
      <w:r w:rsidR="00075137">
        <w:t>ationally Recognized Testing Laboratory (N</w:t>
      </w:r>
      <w:r>
        <w:t>RTL</w:t>
      </w:r>
      <w:r w:rsidR="00075137">
        <w:t>)</w:t>
      </w:r>
      <w:r>
        <w:t xml:space="preserve"> or modified listed electrical equipment including electronics</w:t>
      </w:r>
      <w:r w:rsidR="003E2C27">
        <w:t>.</w:t>
      </w:r>
    </w:p>
    <w:p w:rsidR="00BD7048" w:rsidRDefault="00573DA8" w:rsidP="00BD7048">
      <w:pPr>
        <w:pStyle w:val="ListParagraph"/>
        <w:numPr>
          <w:ilvl w:val="0"/>
          <w:numId w:val="37"/>
        </w:numPr>
      </w:pPr>
      <w:r>
        <w:t>M</w:t>
      </w:r>
      <w:r w:rsidR="00BD7048">
        <w:t>aterials</w:t>
      </w:r>
      <w:r>
        <w:t xml:space="preserve"> that are potentially harmful to the environment or human health.</w:t>
      </w:r>
      <w:r w:rsidR="00BD7048">
        <w:t xml:space="preserve"> </w:t>
      </w:r>
    </w:p>
    <w:p w:rsidR="00BD7048" w:rsidRDefault="00BD7048" w:rsidP="00BD7048">
      <w:pPr>
        <w:pStyle w:val="ListParagraph"/>
        <w:numPr>
          <w:ilvl w:val="0"/>
          <w:numId w:val="37"/>
        </w:numPr>
      </w:pPr>
      <w:r>
        <w:t>Flammable materials</w:t>
      </w:r>
      <w:r w:rsidR="003E2C27">
        <w:t>.</w:t>
      </w:r>
    </w:p>
    <w:p w:rsidR="00BD7048" w:rsidRDefault="00BD7048" w:rsidP="00BD7048">
      <w:pPr>
        <w:pStyle w:val="ListParagraph"/>
        <w:numPr>
          <w:ilvl w:val="0"/>
          <w:numId w:val="37"/>
        </w:numPr>
      </w:pPr>
      <w:r>
        <w:t>Moving components, unexpected startup of equipment</w:t>
      </w:r>
      <w:r w:rsidR="003E2C27">
        <w:t>.</w:t>
      </w:r>
    </w:p>
    <w:p w:rsidR="00BD7048" w:rsidRDefault="00BD7048" w:rsidP="00BD7048">
      <w:pPr>
        <w:pStyle w:val="ListParagraph"/>
        <w:numPr>
          <w:ilvl w:val="0"/>
          <w:numId w:val="37"/>
        </w:numPr>
      </w:pPr>
      <w:r>
        <w:t>Lasers (class 3b or 4)</w:t>
      </w:r>
      <w:r w:rsidR="003E2C27">
        <w:t>.</w:t>
      </w:r>
    </w:p>
    <w:p w:rsidR="00BD7048" w:rsidRDefault="00BD7048" w:rsidP="00BD7048">
      <w:pPr>
        <w:pStyle w:val="ListParagraph"/>
        <w:numPr>
          <w:ilvl w:val="0"/>
          <w:numId w:val="37"/>
        </w:numPr>
      </w:pPr>
      <w:r>
        <w:t>Cryogens (in some cases, the ORC may consist solely of the cryogenic safety panel review)</w:t>
      </w:r>
      <w:r w:rsidR="003E2C27">
        <w:t>.</w:t>
      </w:r>
    </w:p>
    <w:p w:rsidR="00BD7048" w:rsidRDefault="00BD7048" w:rsidP="00BD7048">
      <w:pPr>
        <w:pStyle w:val="ListParagraph"/>
        <w:numPr>
          <w:ilvl w:val="0"/>
          <w:numId w:val="37"/>
        </w:numPr>
      </w:pPr>
      <w:r>
        <w:t>Pressure vessels and piping or vacuum vessels</w:t>
      </w:r>
      <w:r w:rsidR="0059252C">
        <w:t>.</w:t>
      </w:r>
      <w:r>
        <w:t xml:space="preserve"> </w:t>
      </w:r>
    </w:p>
    <w:p w:rsidR="00BD7048" w:rsidRDefault="003B4374" w:rsidP="00BD7048">
      <w:pPr>
        <w:pStyle w:val="ListParagraph"/>
        <w:numPr>
          <w:ilvl w:val="0"/>
          <w:numId w:val="37"/>
        </w:numPr>
      </w:pPr>
      <w:r>
        <w:t>Materials/processes c</w:t>
      </w:r>
      <w:r w:rsidR="00BD7048">
        <w:t>apable of emitting radiation</w:t>
      </w:r>
      <w:r w:rsidR="003E2C27">
        <w:t>.</w:t>
      </w:r>
    </w:p>
    <w:p w:rsidR="00752A31" w:rsidRDefault="00752A31" w:rsidP="00E00D72"/>
    <w:p w:rsidR="00BD7048" w:rsidRDefault="00075137" w:rsidP="00BD7048">
      <w:r>
        <w:t>ESH</w:t>
      </w:r>
      <w:r w:rsidR="001834DE">
        <w:t>&amp;Q</w:t>
      </w:r>
      <w:r>
        <w:t xml:space="preserve"> reviews are often required to </w:t>
      </w:r>
      <w:r w:rsidR="009B1297">
        <w:t xml:space="preserve">verify </w:t>
      </w:r>
      <w:r>
        <w:t>personnel safety, protection of the environment and compliance with FEHSM, F</w:t>
      </w:r>
      <w:r w:rsidR="00A45B4B">
        <w:t>RCM and the Engineering Manual.</w:t>
      </w:r>
      <w:r>
        <w:t xml:space="preserve"> The Technical Appendix lists Fermilab standards that define required reviews</w:t>
      </w:r>
      <w:r w:rsidR="00A45B4B">
        <w:t xml:space="preserve">. </w:t>
      </w:r>
      <w:r w:rsidR="00BD7048">
        <w:t>The ORC must include</w:t>
      </w:r>
      <w:r w:rsidR="007D2B6F">
        <w:t>,</w:t>
      </w:r>
      <w:r w:rsidR="00BD7048">
        <w:t xml:space="preserve"> </w:t>
      </w:r>
      <w:r w:rsidR="00C67C19">
        <w:t>by reference</w:t>
      </w:r>
      <w:r w:rsidR="007D2B6F">
        <w:t>,</w:t>
      </w:r>
      <w:r w:rsidR="00C67C19">
        <w:t xml:space="preserve"> </w:t>
      </w:r>
      <w:r w:rsidR="00BD7048">
        <w:t>any other applicable ESH</w:t>
      </w:r>
      <w:r w:rsidR="00FF6106">
        <w:t>&amp;Q</w:t>
      </w:r>
      <w:r w:rsidR="00BD7048">
        <w:t xml:space="preserve"> review requirements li</w:t>
      </w:r>
      <w:r w:rsidR="00A45B4B">
        <w:t>sted in the Technical Appendix.</w:t>
      </w:r>
      <w:r w:rsidR="00BD7048">
        <w:t xml:space="preserve"> </w:t>
      </w:r>
      <w:r w:rsidR="00BD7048" w:rsidRPr="00AD76A5">
        <w:t xml:space="preserve"> </w:t>
      </w:r>
      <w:r w:rsidR="00BD7048" w:rsidRPr="00DD1A57">
        <w:rPr>
          <w:color w:val="000000"/>
        </w:rPr>
        <w:t xml:space="preserve">In some cases, specific parts of an </w:t>
      </w:r>
      <w:r w:rsidR="00BD7048">
        <w:rPr>
          <w:color w:val="000000"/>
        </w:rPr>
        <w:t xml:space="preserve">activity </w:t>
      </w:r>
      <w:r w:rsidR="00BD7048" w:rsidRPr="00DD1A57">
        <w:rPr>
          <w:color w:val="000000"/>
        </w:rPr>
        <w:t>may be covered by a “partial” Operational Readiness Clearance (</w:t>
      </w:r>
      <w:proofErr w:type="spellStart"/>
      <w:r w:rsidR="00BD7048" w:rsidRPr="00DD1A57">
        <w:rPr>
          <w:color w:val="000000"/>
        </w:rPr>
        <w:t>pORC</w:t>
      </w:r>
      <w:proofErr w:type="spellEnd"/>
      <w:r w:rsidR="00BD7048" w:rsidRPr="00DD1A57">
        <w:rPr>
          <w:color w:val="000000"/>
        </w:rPr>
        <w:t>)</w:t>
      </w:r>
      <w:r w:rsidR="009B1297">
        <w:rPr>
          <w:color w:val="000000"/>
        </w:rPr>
        <w:t>,</w:t>
      </w:r>
      <w:r w:rsidR="00BD7048" w:rsidRPr="00DD1A57">
        <w:rPr>
          <w:color w:val="000000"/>
        </w:rPr>
        <w:t xml:space="preserve"> which is procedu</w:t>
      </w:r>
      <w:r w:rsidR="00A45B4B">
        <w:rPr>
          <w:color w:val="000000"/>
        </w:rPr>
        <w:t>rally the same as a “full” ORC.</w:t>
      </w:r>
      <w:r w:rsidR="00BD7048" w:rsidRPr="00DD1A57">
        <w:rPr>
          <w:color w:val="000000"/>
        </w:rPr>
        <w:t xml:space="preserve"> The </w:t>
      </w:r>
      <w:proofErr w:type="spellStart"/>
      <w:r w:rsidR="00BD7048" w:rsidRPr="00DD1A57">
        <w:rPr>
          <w:color w:val="000000"/>
        </w:rPr>
        <w:t>pORC</w:t>
      </w:r>
      <w:proofErr w:type="spellEnd"/>
      <w:r w:rsidR="00BD7048" w:rsidRPr="00DD1A57">
        <w:rPr>
          <w:color w:val="000000"/>
        </w:rPr>
        <w:t xml:space="preserve"> will allow testing or commissioning of a subsystem.</w:t>
      </w:r>
    </w:p>
    <w:p w:rsidR="00BD7048" w:rsidRDefault="00BD7048" w:rsidP="00BD7048"/>
    <w:p w:rsidR="00BD7048" w:rsidRDefault="00BD7048" w:rsidP="00BD7048">
      <w:r w:rsidRPr="00CD1A2B">
        <w:t xml:space="preserve">Divisions have the discretion to require ORCs </w:t>
      </w:r>
      <w:r w:rsidR="00573DA8">
        <w:t>per internal policies</w:t>
      </w:r>
      <w:r w:rsidR="00BD02C4">
        <w:t xml:space="preserve"> or</w:t>
      </w:r>
      <w:r w:rsidR="00573DA8">
        <w:t xml:space="preserve"> </w:t>
      </w:r>
      <w:r w:rsidRPr="00CD1A2B">
        <w:t xml:space="preserve">at any time </w:t>
      </w:r>
      <w:r>
        <w:t>for any type of</w:t>
      </w:r>
      <w:r w:rsidRPr="00CD1A2B">
        <w:t xml:space="preserve"> activit</w:t>
      </w:r>
      <w:r>
        <w:t>y</w:t>
      </w:r>
      <w:r w:rsidRPr="00CD1A2B">
        <w:t>.</w:t>
      </w:r>
      <w:r>
        <w:t xml:space="preserve">  Activities that have undergone an ORC review that cease operations for greater than 60 days or have been modified may require another ORC at the discretion of the DSO. </w:t>
      </w:r>
    </w:p>
    <w:p w:rsidR="00A36EBE" w:rsidRDefault="00A36EBE" w:rsidP="00BD7048"/>
    <w:p w:rsidR="00B46233" w:rsidRDefault="00E25E4B" w:rsidP="00BD7048">
      <w:r>
        <w:t>The ORC process is initiated by the Activity Owner through completing the appropriate online form (</w:t>
      </w:r>
      <w:hyperlink r:id="rId19" w:history="1">
        <w:r w:rsidR="00293650" w:rsidRPr="00AA3FFD">
          <w:rPr>
            <w:rStyle w:val="Hyperlink"/>
          </w:rPr>
          <w:t>https://fermipoint.fnal.gov/service/tsworc</w:t>
        </w:r>
      </w:hyperlink>
      <w:r>
        <w:t>).</w:t>
      </w:r>
      <w:r w:rsidR="00293650">
        <w:t xml:space="preserve">  </w:t>
      </w:r>
      <w:r>
        <w:t xml:space="preserve"> The Activity Owner must select </w:t>
      </w:r>
      <w:r w:rsidRPr="00BD02C4">
        <w:rPr>
          <w:i/>
        </w:rPr>
        <w:t xml:space="preserve">New ORC – </w:t>
      </w:r>
      <w:r w:rsidR="0058335C" w:rsidRPr="005F3525">
        <w:rPr>
          <w:i/>
          <w:u w:val="single"/>
        </w:rPr>
        <w:t xml:space="preserve">with </w:t>
      </w:r>
      <w:r w:rsidR="00CF6DA1">
        <w:rPr>
          <w:i/>
          <w:u w:val="single"/>
        </w:rPr>
        <w:t>b</w:t>
      </w:r>
      <w:r w:rsidRPr="00BD02C4">
        <w:rPr>
          <w:i/>
          <w:u w:val="single"/>
        </w:rPr>
        <w:t>eam</w:t>
      </w:r>
      <w:r>
        <w:t xml:space="preserve"> or </w:t>
      </w:r>
      <w:r w:rsidRPr="00BD02C4">
        <w:rPr>
          <w:i/>
        </w:rPr>
        <w:t xml:space="preserve">New ORC – </w:t>
      </w:r>
      <w:r w:rsidRPr="00BD02C4">
        <w:rPr>
          <w:i/>
          <w:u w:val="single"/>
        </w:rPr>
        <w:t>No beam</w:t>
      </w:r>
      <w:r>
        <w:t xml:space="preserve">.  As the titles indicate, activities that will be installed at locations inside active beamline or detector enclosures must complete the </w:t>
      </w:r>
      <w:r w:rsidR="000E2EDE" w:rsidRPr="003D6E3C">
        <w:rPr>
          <w:i/>
        </w:rPr>
        <w:t>with</w:t>
      </w:r>
      <w:r w:rsidR="000E2EDE">
        <w:t xml:space="preserve"> </w:t>
      </w:r>
      <w:r w:rsidRPr="00BD02C4">
        <w:rPr>
          <w:i/>
        </w:rPr>
        <w:t>beam</w:t>
      </w:r>
      <w:r>
        <w:t xml:space="preserve"> form.  All other activities must complete the </w:t>
      </w:r>
      <w:r w:rsidRPr="00BD02C4">
        <w:rPr>
          <w:i/>
        </w:rPr>
        <w:t>no beam</w:t>
      </w:r>
      <w:r>
        <w:t xml:space="preserve"> form.  </w:t>
      </w:r>
      <w:r w:rsidR="00293650">
        <w:t xml:space="preserve"> </w:t>
      </w:r>
    </w:p>
    <w:p w:rsidR="00CF6DA1" w:rsidRDefault="00CF6DA1" w:rsidP="005F3525">
      <w:pPr>
        <w:rPr>
          <w:szCs w:val="22"/>
        </w:rPr>
      </w:pPr>
    </w:p>
    <w:p w:rsidR="00293650" w:rsidRPr="00293650" w:rsidRDefault="00293650" w:rsidP="00293650">
      <w:pPr>
        <w:ind w:left="720"/>
        <w:rPr>
          <w:szCs w:val="22"/>
        </w:rPr>
      </w:pPr>
      <w:r w:rsidRPr="00293650">
        <w:rPr>
          <w:szCs w:val="22"/>
        </w:rPr>
        <w:t xml:space="preserve">Create New </w:t>
      </w:r>
      <w:r w:rsidRPr="00D0504D">
        <w:rPr>
          <w:i/>
          <w:szCs w:val="22"/>
        </w:rPr>
        <w:t xml:space="preserve">ORC </w:t>
      </w:r>
      <w:r w:rsidR="000E2EDE">
        <w:rPr>
          <w:i/>
          <w:szCs w:val="22"/>
        </w:rPr>
        <w:t xml:space="preserve">with </w:t>
      </w:r>
      <w:r w:rsidRPr="00D0504D">
        <w:rPr>
          <w:i/>
          <w:szCs w:val="22"/>
        </w:rPr>
        <w:t>Beam</w:t>
      </w:r>
      <w:r w:rsidRPr="00293650">
        <w:rPr>
          <w:szCs w:val="22"/>
        </w:rPr>
        <w:t xml:space="preserve"> Form</w:t>
      </w:r>
      <w:r w:rsidR="00D0504D">
        <w:rPr>
          <w:szCs w:val="22"/>
        </w:rPr>
        <w:t>:</w:t>
      </w:r>
    </w:p>
    <w:p w:rsidR="00293650" w:rsidRPr="00293650" w:rsidRDefault="00960A5C" w:rsidP="00293650">
      <w:pPr>
        <w:ind w:left="720"/>
        <w:rPr>
          <w:szCs w:val="22"/>
        </w:rPr>
      </w:pPr>
      <w:hyperlink r:id="rId20" w:history="1">
        <w:r w:rsidR="00293650" w:rsidRPr="00293650">
          <w:rPr>
            <w:rStyle w:val="Hyperlink"/>
            <w:szCs w:val="22"/>
          </w:rPr>
          <w:t>https://fermipoint.fnal.gov/service/tsworc/Lists/tsworc/NewForm.aspx?Source=/service/tsworc/&amp;Beam=1&amp;orc=1</w:t>
        </w:r>
      </w:hyperlink>
    </w:p>
    <w:p w:rsidR="00293650" w:rsidRPr="00293650" w:rsidRDefault="00293650" w:rsidP="00A45B4B">
      <w:pPr>
        <w:rPr>
          <w:szCs w:val="22"/>
        </w:rPr>
      </w:pPr>
    </w:p>
    <w:p w:rsidR="00293650" w:rsidRPr="00293650" w:rsidRDefault="00293650" w:rsidP="00293650">
      <w:pPr>
        <w:ind w:left="720"/>
        <w:rPr>
          <w:szCs w:val="22"/>
        </w:rPr>
      </w:pPr>
      <w:r w:rsidRPr="00293650">
        <w:rPr>
          <w:szCs w:val="22"/>
        </w:rPr>
        <w:t xml:space="preserve">Create New </w:t>
      </w:r>
      <w:r w:rsidR="00D0504D" w:rsidRPr="003B4374">
        <w:rPr>
          <w:i/>
          <w:szCs w:val="22"/>
        </w:rPr>
        <w:t xml:space="preserve">ORC No </w:t>
      </w:r>
      <w:r w:rsidRPr="003B4374">
        <w:rPr>
          <w:i/>
          <w:szCs w:val="22"/>
        </w:rPr>
        <w:t>Beam</w:t>
      </w:r>
      <w:r w:rsidRPr="00293650">
        <w:rPr>
          <w:szCs w:val="22"/>
        </w:rPr>
        <w:t xml:space="preserve"> Form</w:t>
      </w:r>
      <w:r w:rsidR="00D0504D">
        <w:rPr>
          <w:szCs w:val="22"/>
        </w:rPr>
        <w:t>:</w:t>
      </w:r>
    </w:p>
    <w:p w:rsidR="00293650" w:rsidRDefault="00960A5C" w:rsidP="00293650">
      <w:pPr>
        <w:ind w:left="720"/>
        <w:rPr>
          <w:sz w:val="22"/>
          <w:szCs w:val="22"/>
        </w:rPr>
      </w:pPr>
      <w:hyperlink r:id="rId21" w:history="1">
        <w:r w:rsidR="00293650" w:rsidRPr="00293650">
          <w:rPr>
            <w:rStyle w:val="Hyperlink"/>
            <w:szCs w:val="22"/>
          </w:rPr>
          <w:t>https://fermipoint.fnal.gov/service/tsworc/Lists/tsworc/NewForm.aspx?Source=/service/tsworc/&amp;Beam=0&amp;orc=1</w:t>
        </w:r>
      </w:hyperlink>
    </w:p>
    <w:p w:rsidR="00293650" w:rsidRDefault="00293650" w:rsidP="00BD7048"/>
    <w:p w:rsidR="00E25E4B" w:rsidRDefault="00EC77F5" w:rsidP="00BD7048">
      <w:r>
        <w:t>The ORC forms will guide</w:t>
      </w:r>
      <w:r w:rsidR="00E25E4B">
        <w:t xml:space="preserve"> activity owners through </w:t>
      </w:r>
      <w:r w:rsidR="003D13EF">
        <w:t>multiple tabs to provide information about the activity.  Required information includes:</w:t>
      </w:r>
    </w:p>
    <w:p w:rsidR="003D13EF" w:rsidRDefault="003D13EF" w:rsidP="00BD02C4">
      <w:pPr>
        <w:pStyle w:val="ListParagraph"/>
        <w:numPr>
          <w:ilvl w:val="0"/>
          <w:numId w:val="40"/>
        </w:numPr>
      </w:pPr>
      <w:r>
        <w:t>Contact information for activity owner</w:t>
      </w:r>
    </w:p>
    <w:p w:rsidR="003D13EF" w:rsidRDefault="003D13EF" w:rsidP="00BD02C4">
      <w:pPr>
        <w:pStyle w:val="ListParagraph"/>
        <w:numPr>
          <w:ilvl w:val="0"/>
          <w:numId w:val="40"/>
        </w:numPr>
      </w:pPr>
      <w:r>
        <w:lastRenderedPageBreak/>
        <w:t>“Experiment” information –</w:t>
      </w:r>
      <w:r w:rsidR="00075137">
        <w:t xml:space="preserve"> </w:t>
      </w:r>
      <w:r>
        <w:t>a general description and the purpose of the activity (experiment, test, R&amp;D or other)</w:t>
      </w:r>
    </w:p>
    <w:p w:rsidR="003D13EF" w:rsidRDefault="003D13EF" w:rsidP="00BD02C4">
      <w:pPr>
        <w:pStyle w:val="ListParagraph"/>
        <w:numPr>
          <w:ilvl w:val="0"/>
          <w:numId w:val="40"/>
        </w:numPr>
      </w:pPr>
      <w:r>
        <w:t>Beam – if beam is required, be sure the correct form is completed</w:t>
      </w:r>
    </w:p>
    <w:p w:rsidR="003D13EF" w:rsidRDefault="003D13EF" w:rsidP="00BD02C4">
      <w:pPr>
        <w:pStyle w:val="ListParagraph"/>
        <w:numPr>
          <w:ilvl w:val="0"/>
          <w:numId w:val="40"/>
        </w:numPr>
      </w:pPr>
      <w:r>
        <w:t>Location – select the location of the activity</w:t>
      </w:r>
    </w:p>
    <w:p w:rsidR="003D13EF" w:rsidRDefault="003D13EF" w:rsidP="00BD02C4">
      <w:pPr>
        <w:pStyle w:val="ListParagraph"/>
        <w:numPr>
          <w:ilvl w:val="0"/>
          <w:numId w:val="40"/>
        </w:numPr>
      </w:pPr>
      <w:r>
        <w:t>Schedule –</w:t>
      </w:r>
      <w:r w:rsidR="00EC77F5">
        <w:t xml:space="preserve"> propose a time for the ORC review (day, time)</w:t>
      </w:r>
    </w:p>
    <w:p w:rsidR="00EC77F5" w:rsidRDefault="00EC77F5" w:rsidP="00BD02C4">
      <w:pPr>
        <w:pStyle w:val="ListParagraph"/>
        <w:numPr>
          <w:ilvl w:val="0"/>
          <w:numId w:val="40"/>
        </w:numPr>
      </w:pPr>
      <w:r>
        <w:t>Hazards – provide specific information for each identified hazard</w:t>
      </w:r>
    </w:p>
    <w:p w:rsidR="00EC77F5" w:rsidRDefault="00EC77F5" w:rsidP="007E6B2D"/>
    <w:p w:rsidR="00D758F3" w:rsidRDefault="00EC77F5" w:rsidP="00BD02C4">
      <w:r>
        <w:t xml:space="preserve">Once this information is submitted, the </w:t>
      </w:r>
      <w:r w:rsidR="00D758F3">
        <w:t>ORC Chairperson will</w:t>
      </w:r>
      <w:r w:rsidR="00293650">
        <w:t xml:space="preserve"> be notified via email and will</w:t>
      </w:r>
      <w:r w:rsidR="00D758F3">
        <w:t xml:space="preserve"> coordinate subject matter experts to review the activity, provide feedback and full or conditional approvals</w:t>
      </w:r>
      <w:r w:rsidR="007E6B2D">
        <w:t xml:space="preserve"> within the online form</w:t>
      </w:r>
      <w:r w:rsidR="00A45B4B">
        <w:t xml:space="preserve">. </w:t>
      </w:r>
      <w:r w:rsidR="00D758F3">
        <w:t xml:space="preserve">The ORC Chairperson will ensure that any conditions for approval are satisfied and will recommend the activity for operation.  </w:t>
      </w:r>
    </w:p>
    <w:p w:rsidR="007E6B2D" w:rsidRDefault="007E6B2D" w:rsidP="00BD02C4"/>
    <w:p w:rsidR="003B4374" w:rsidRDefault="007E6B2D" w:rsidP="00BD02C4">
      <w:r>
        <w:t>The online ORC forms</w:t>
      </w:r>
      <w:r w:rsidR="00A45B4B">
        <w:t xml:space="preserve"> automate the approval process.</w:t>
      </w:r>
      <w:r>
        <w:t xml:space="preserve"> The ORC Chairperson’s approval initiates the approval workflow (see below).</w:t>
      </w:r>
      <w:r w:rsidR="00BD02C4">
        <w:t xml:space="preserve"> The Activity Owner is notified by email when the </w:t>
      </w:r>
      <w:r w:rsidR="009D2E71">
        <w:t xml:space="preserve">ORC is approved and </w:t>
      </w:r>
      <w:r w:rsidR="00874B78">
        <w:t xml:space="preserve">the </w:t>
      </w:r>
      <w:r w:rsidR="009D2E71">
        <w:t xml:space="preserve">operation may </w:t>
      </w:r>
      <w:r w:rsidR="00293650">
        <w:t xml:space="preserve">then </w:t>
      </w:r>
      <w:r w:rsidR="009D2E71">
        <w:t>proceed.</w:t>
      </w:r>
    </w:p>
    <w:p w:rsidR="002C4644" w:rsidRDefault="007E6B2D" w:rsidP="006122EB">
      <w:pPr>
        <w:pStyle w:val="Heading2"/>
      </w:pPr>
      <w:bookmarkStart w:id="41" w:name="_Toc519686138"/>
      <w:r>
        <w:lastRenderedPageBreak/>
        <w:t xml:space="preserve">Figure </w:t>
      </w:r>
      <w:fldSimple w:instr=" SEQ ORC_-_No_Beam \* ARABIC ">
        <w:r w:rsidR="0052320A">
          <w:rPr>
            <w:noProof/>
          </w:rPr>
          <w:t>1</w:t>
        </w:r>
      </w:fldSimple>
      <w:r>
        <w:t xml:space="preserve"> –</w:t>
      </w:r>
      <w:r w:rsidR="006122EB">
        <w:t xml:space="preserve"> </w:t>
      </w:r>
      <w:r w:rsidRPr="006122EB">
        <w:rPr>
          <w:i/>
        </w:rPr>
        <w:t xml:space="preserve">ORC </w:t>
      </w:r>
      <w:r>
        <w:t>Approval Flow</w:t>
      </w:r>
      <w:bookmarkEnd w:id="41"/>
      <w:r w:rsidR="003D6E3C">
        <w:t xml:space="preserve"> </w:t>
      </w:r>
    </w:p>
    <w:p w:rsidR="007E6B2D" w:rsidRDefault="002C4644" w:rsidP="005F3525">
      <w:pPr>
        <w:pStyle w:val="Heading2"/>
        <w:numPr>
          <w:ilvl w:val="0"/>
          <w:numId w:val="0"/>
        </w:numPr>
      </w:pPr>
      <w:r>
        <w:t xml:space="preserve"> </w:t>
      </w:r>
    </w:p>
    <w:p w:rsidR="002C4644" w:rsidRDefault="002C4644" w:rsidP="005F3525">
      <w:pPr>
        <w:jc w:val="center"/>
      </w:pPr>
      <w:r w:rsidRPr="001C106E">
        <w:rPr>
          <w:noProof/>
        </w:rPr>
        <w:drawing>
          <wp:inline distT="0" distB="0" distL="0" distR="0" wp14:anchorId="3948FEF9" wp14:editId="406A5FD0">
            <wp:extent cx="3977640" cy="729145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2" t="4988" r="468" b="1778"/>
                    <a:stretch/>
                  </pic:blipFill>
                  <pic:spPr bwMode="auto">
                    <a:xfrm>
                      <a:off x="0" y="0"/>
                      <a:ext cx="3979129" cy="7294179"/>
                    </a:xfrm>
                    <a:prstGeom prst="rect">
                      <a:avLst/>
                    </a:prstGeom>
                    <a:noFill/>
                    <a:ln>
                      <a:noFill/>
                    </a:ln>
                    <a:extLst>
                      <a:ext uri="{53640926-AAD7-44D8-BBD7-CCE9431645EC}">
                        <a14:shadowObscured xmlns:a14="http://schemas.microsoft.com/office/drawing/2010/main"/>
                      </a:ext>
                    </a:extLst>
                  </pic:spPr>
                </pic:pic>
              </a:graphicData>
            </a:graphic>
          </wp:inline>
        </w:drawing>
      </w:r>
    </w:p>
    <w:p w:rsidR="00316264" w:rsidRDefault="00316264" w:rsidP="005F3525">
      <w:pPr>
        <w:jc w:val="center"/>
      </w:pPr>
    </w:p>
    <w:p w:rsidR="002C4644" w:rsidRPr="00970071" w:rsidRDefault="002C4644" w:rsidP="002C4644">
      <w:pPr>
        <w:pStyle w:val="Heading1"/>
        <w:keepNext w:val="0"/>
      </w:pPr>
      <w:bookmarkStart w:id="42" w:name="_Toc519686139"/>
      <w:bookmarkStart w:id="43" w:name="_GoBack"/>
      <w:bookmarkEnd w:id="43"/>
      <w:r w:rsidRPr="00970071">
        <w:lastRenderedPageBreak/>
        <w:t>TECHNICAL APPENDIX</w:t>
      </w:r>
      <w:bookmarkEnd w:id="42"/>
      <w:r w:rsidRPr="00970071">
        <w:t xml:space="preserve"> </w:t>
      </w:r>
    </w:p>
    <w:p w:rsidR="005F3525" w:rsidRDefault="005F3525" w:rsidP="002C4644"/>
    <w:p w:rsidR="002C4644" w:rsidRDefault="002C4644" w:rsidP="002C4644">
      <w:r>
        <w:t xml:space="preserve">The following table contains other activities or equipment that may require system-specific ESH&amp;Q review.  Please see the reference document for more information and the process for review and approval.  If an ORC is required, the ESH&amp;Q review requirements listed in these references must be documented in the ORC review.  </w:t>
      </w:r>
      <w:r w:rsidRPr="00AD76A5">
        <w:t xml:space="preserve"> </w:t>
      </w:r>
    </w:p>
    <w:p w:rsidR="002C4644" w:rsidRPr="00970071" w:rsidRDefault="002C4644" w:rsidP="002C4644">
      <w:pPr>
        <w:pStyle w:val="NormalWeb"/>
        <w:spacing w:before="0" w:beforeAutospacing="0" w:after="0" w:afterAutospacing="0"/>
        <w:ind w:left="360" w:hanging="360"/>
      </w:pPr>
    </w:p>
    <w:tbl>
      <w:tblPr>
        <w:tblStyle w:val="TableGrid"/>
        <w:tblW w:w="5000" w:type="pct"/>
        <w:tblLook w:val="04A0" w:firstRow="1" w:lastRow="0" w:firstColumn="1" w:lastColumn="0" w:noHBand="0" w:noVBand="1"/>
      </w:tblPr>
      <w:tblGrid>
        <w:gridCol w:w="2958"/>
        <w:gridCol w:w="6752"/>
      </w:tblGrid>
      <w:tr w:rsidR="002C4644" w:rsidRPr="00012A8C" w:rsidTr="00A33FA8">
        <w:trPr>
          <w:trHeight w:val="432"/>
        </w:trPr>
        <w:tc>
          <w:tcPr>
            <w:tcW w:w="1523" w:type="pct"/>
          </w:tcPr>
          <w:p w:rsidR="002C4644" w:rsidRPr="00012A8C" w:rsidRDefault="002C4644" w:rsidP="00A33FA8">
            <w:pPr>
              <w:ind w:right="36"/>
              <w:jc w:val="left"/>
              <w:rPr>
                <w:b/>
                <w:color w:val="000000"/>
              </w:rPr>
            </w:pPr>
            <w:r w:rsidRPr="00012A8C">
              <w:rPr>
                <w:b/>
                <w:color w:val="000000"/>
              </w:rPr>
              <w:t>ESH Review Topic</w:t>
            </w:r>
          </w:p>
        </w:tc>
        <w:tc>
          <w:tcPr>
            <w:tcW w:w="3477" w:type="pct"/>
          </w:tcPr>
          <w:p w:rsidR="002C4644" w:rsidRPr="00012A8C" w:rsidRDefault="002C4644" w:rsidP="00A33FA8">
            <w:pPr>
              <w:ind w:right="36"/>
              <w:jc w:val="left"/>
              <w:rPr>
                <w:b/>
                <w:color w:val="000000"/>
              </w:rPr>
            </w:pPr>
            <w:r w:rsidRPr="00012A8C">
              <w:rPr>
                <w:b/>
                <w:color w:val="000000"/>
              </w:rPr>
              <w:t>Reference</w:t>
            </w:r>
          </w:p>
        </w:tc>
      </w:tr>
      <w:tr w:rsidR="002C4644" w:rsidRPr="00012A8C" w:rsidTr="00A33FA8">
        <w:trPr>
          <w:trHeight w:val="432"/>
        </w:trPr>
        <w:tc>
          <w:tcPr>
            <w:tcW w:w="1523" w:type="pct"/>
            <w:vAlign w:val="center"/>
          </w:tcPr>
          <w:p w:rsidR="002C4644" w:rsidRPr="00012A8C" w:rsidRDefault="002C4644" w:rsidP="00A33FA8">
            <w:pPr>
              <w:ind w:right="36"/>
              <w:jc w:val="left"/>
              <w:rPr>
                <w:color w:val="000000"/>
              </w:rPr>
            </w:pPr>
            <w:r>
              <w:rPr>
                <w:color w:val="000000"/>
              </w:rPr>
              <w:t>Accelerator Readiness Review</w:t>
            </w:r>
          </w:p>
        </w:tc>
        <w:tc>
          <w:tcPr>
            <w:tcW w:w="3477" w:type="pct"/>
            <w:vAlign w:val="center"/>
          </w:tcPr>
          <w:p w:rsidR="002C4644" w:rsidRPr="00012A8C" w:rsidRDefault="002C4644" w:rsidP="00A33FA8">
            <w:pPr>
              <w:ind w:right="36"/>
              <w:jc w:val="left"/>
              <w:rPr>
                <w:color w:val="000000"/>
              </w:rPr>
            </w:pPr>
            <w:r>
              <w:rPr>
                <w:color w:val="000000"/>
              </w:rPr>
              <w:t>FESHM 2010 – Planning &amp; Review of Accelerator Facilities and their Operations (Work Smart Standard (WSS))</w:t>
            </w:r>
          </w:p>
        </w:tc>
      </w:tr>
      <w:tr w:rsidR="002C4644" w:rsidRPr="00012A8C" w:rsidTr="00A33FA8">
        <w:trPr>
          <w:trHeight w:val="432"/>
        </w:trPr>
        <w:tc>
          <w:tcPr>
            <w:tcW w:w="1523" w:type="pct"/>
            <w:vAlign w:val="center"/>
          </w:tcPr>
          <w:p w:rsidR="002C4644" w:rsidRPr="00012A8C" w:rsidRDefault="002C4644" w:rsidP="00A33FA8">
            <w:pPr>
              <w:ind w:right="36"/>
              <w:jc w:val="left"/>
              <w:rPr>
                <w:color w:val="000000"/>
              </w:rPr>
            </w:pPr>
            <w:r>
              <w:rPr>
                <w:color w:val="000000"/>
              </w:rPr>
              <w:t>Accelerator Safety Envelope</w:t>
            </w:r>
          </w:p>
        </w:tc>
        <w:tc>
          <w:tcPr>
            <w:tcW w:w="3477" w:type="pct"/>
            <w:vAlign w:val="center"/>
          </w:tcPr>
          <w:p w:rsidR="002C4644" w:rsidRPr="00012A8C" w:rsidRDefault="002C4644" w:rsidP="00A33FA8">
            <w:pPr>
              <w:ind w:right="36"/>
              <w:jc w:val="left"/>
              <w:rPr>
                <w:color w:val="000000"/>
              </w:rPr>
            </w:pPr>
            <w:r>
              <w:rPr>
                <w:color w:val="000000"/>
              </w:rPr>
              <w:t>FESHM 2010 – Planning &amp; Review of Accelerator Facilities and their Operations (WSS)</w:t>
            </w:r>
          </w:p>
        </w:tc>
      </w:tr>
      <w:tr w:rsidR="002C4644" w:rsidRPr="00012A8C" w:rsidTr="00A33FA8">
        <w:trPr>
          <w:trHeight w:val="432"/>
        </w:trPr>
        <w:tc>
          <w:tcPr>
            <w:tcW w:w="1523" w:type="pct"/>
            <w:vAlign w:val="center"/>
          </w:tcPr>
          <w:p w:rsidR="002C4644" w:rsidRPr="00012A8C" w:rsidRDefault="002C4644" w:rsidP="00A33FA8">
            <w:pPr>
              <w:ind w:right="36"/>
              <w:jc w:val="left"/>
              <w:rPr>
                <w:color w:val="000000"/>
              </w:rPr>
            </w:pPr>
            <w:r>
              <w:rPr>
                <w:color w:val="000000"/>
              </w:rPr>
              <w:t>Cryogenic Systems</w:t>
            </w:r>
          </w:p>
        </w:tc>
        <w:tc>
          <w:tcPr>
            <w:tcW w:w="3477" w:type="pct"/>
            <w:vAlign w:val="center"/>
          </w:tcPr>
          <w:p w:rsidR="002C4644" w:rsidRDefault="002C4644" w:rsidP="00A33FA8">
            <w:pPr>
              <w:ind w:right="36"/>
              <w:jc w:val="left"/>
              <w:rPr>
                <w:color w:val="000000"/>
              </w:rPr>
            </w:pPr>
            <w:r>
              <w:rPr>
                <w:color w:val="000000"/>
              </w:rPr>
              <w:t>FESHM 5032 – Cryogenic System Review</w:t>
            </w:r>
          </w:p>
          <w:p w:rsidR="002C4644" w:rsidRDefault="002C4644" w:rsidP="00A33FA8">
            <w:pPr>
              <w:ind w:right="36"/>
              <w:jc w:val="left"/>
              <w:rPr>
                <w:color w:val="000000"/>
              </w:rPr>
            </w:pPr>
            <w:r>
              <w:rPr>
                <w:color w:val="000000"/>
              </w:rPr>
              <w:t>FESHM 5032.1 – Liquid Nitrogen Dewar Installation &amp; Operation Rules (WSS)</w:t>
            </w:r>
          </w:p>
          <w:p w:rsidR="002C4644" w:rsidRPr="00012A8C" w:rsidRDefault="002C4644" w:rsidP="00A33FA8">
            <w:pPr>
              <w:ind w:right="36"/>
              <w:jc w:val="left"/>
              <w:rPr>
                <w:color w:val="000000"/>
              </w:rPr>
            </w:pPr>
            <w:r w:rsidRPr="00F87E7F">
              <w:rPr>
                <w:color w:val="000000"/>
              </w:rPr>
              <w:t>FESHM 5032.2 – Liquid Cryogenic Targets (WSS)</w:t>
            </w:r>
          </w:p>
        </w:tc>
      </w:tr>
      <w:tr w:rsidR="002C4644" w:rsidRPr="00012A8C" w:rsidTr="00A33FA8">
        <w:trPr>
          <w:trHeight w:val="935"/>
        </w:trPr>
        <w:tc>
          <w:tcPr>
            <w:tcW w:w="1523" w:type="pct"/>
            <w:vAlign w:val="center"/>
          </w:tcPr>
          <w:p w:rsidR="002C4644" w:rsidRPr="00012A8C" w:rsidRDefault="002C4644" w:rsidP="00A33FA8">
            <w:pPr>
              <w:ind w:right="36"/>
              <w:jc w:val="left"/>
              <w:rPr>
                <w:color w:val="000000"/>
              </w:rPr>
            </w:pPr>
            <w:r>
              <w:rPr>
                <w:color w:val="000000"/>
              </w:rPr>
              <w:t>Electronics</w:t>
            </w:r>
          </w:p>
        </w:tc>
        <w:tc>
          <w:tcPr>
            <w:tcW w:w="3477" w:type="pct"/>
            <w:vAlign w:val="center"/>
          </w:tcPr>
          <w:p w:rsidR="002C4644" w:rsidRDefault="002C4644" w:rsidP="00A33FA8">
            <w:pPr>
              <w:ind w:right="36"/>
              <w:jc w:val="left"/>
              <w:rPr>
                <w:rStyle w:val="Hyperlink"/>
                <w:szCs w:val="22"/>
              </w:rPr>
            </w:pPr>
            <w:r>
              <w:rPr>
                <w:color w:val="000000"/>
              </w:rPr>
              <w:t>Electrical Design Standards for Electronics in Experimental Apparatus</w:t>
            </w:r>
            <w:r>
              <w:t xml:space="preserve">: </w:t>
            </w:r>
            <w:hyperlink r:id="rId23" w:history="1">
              <w:r w:rsidRPr="00F82BB7">
                <w:rPr>
                  <w:rStyle w:val="Hyperlink"/>
                  <w:szCs w:val="22"/>
                </w:rPr>
                <w:t>ESHQ DocDB #2781</w:t>
              </w:r>
            </w:hyperlink>
          </w:p>
          <w:p w:rsidR="002C4644" w:rsidRPr="00D3498F" w:rsidRDefault="002C4644" w:rsidP="00A33FA8">
            <w:pPr>
              <w:ind w:right="36"/>
              <w:jc w:val="left"/>
              <w:rPr>
                <w:color w:val="000000"/>
              </w:rPr>
            </w:pPr>
            <w:r w:rsidRPr="009F4BDD">
              <w:rPr>
                <w:rStyle w:val="Hyperlink"/>
                <w:color w:val="auto"/>
                <w:szCs w:val="22"/>
                <w:u w:val="none"/>
              </w:rPr>
              <w:t>Electrical Safety ORC Review Guidelines:</w:t>
            </w:r>
            <w:r>
              <w:rPr>
                <w:rStyle w:val="Hyperlink"/>
                <w:color w:val="auto"/>
                <w:szCs w:val="22"/>
                <w:u w:val="none"/>
              </w:rPr>
              <w:t xml:space="preserve"> </w:t>
            </w:r>
            <w:hyperlink r:id="rId24" w:history="1">
              <w:r w:rsidRPr="00D80C27">
                <w:rPr>
                  <w:rStyle w:val="Hyperlink"/>
                  <w:szCs w:val="22"/>
                </w:rPr>
                <w:t>ESHQ DocDB #3270</w:t>
              </w:r>
            </w:hyperlink>
          </w:p>
        </w:tc>
      </w:tr>
      <w:tr w:rsidR="002C4644" w:rsidRPr="00012A8C" w:rsidTr="00A33FA8">
        <w:trPr>
          <w:trHeight w:val="432"/>
        </w:trPr>
        <w:tc>
          <w:tcPr>
            <w:tcW w:w="1523" w:type="pct"/>
            <w:vAlign w:val="center"/>
          </w:tcPr>
          <w:p w:rsidR="002C4644" w:rsidRPr="00012A8C" w:rsidRDefault="002C4644" w:rsidP="00A33FA8">
            <w:pPr>
              <w:ind w:right="36"/>
              <w:jc w:val="left"/>
              <w:rPr>
                <w:color w:val="000000"/>
              </w:rPr>
            </w:pPr>
            <w:r>
              <w:rPr>
                <w:color w:val="000000"/>
              </w:rPr>
              <w:t>Electrical Utilization Equipment</w:t>
            </w:r>
          </w:p>
        </w:tc>
        <w:tc>
          <w:tcPr>
            <w:tcW w:w="3477" w:type="pct"/>
            <w:vAlign w:val="center"/>
          </w:tcPr>
          <w:p w:rsidR="002C4644" w:rsidRPr="00012A8C" w:rsidRDefault="002C4644" w:rsidP="00A33FA8">
            <w:pPr>
              <w:ind w:right="36"/>
              <w:jc w:val="left"/>
              <w:rPr>
                <w:color w:val="000000"/>
              </w:rPr>
            </w:pPr>
            <w:r>
              <w:rPr>
                <w:color w:val="000000"/>
              </w:rPr>
              <w:t>FESHM 9110 – Electrical Utilization Equipment Safety</w:t>
            </w:r>
          </w:p>
        </w:tc>
      </w:tr>
      <w:tr w:rsidR="002C4644" w:rsidRPr="00012A8C" w:rsidTr="00A33FA8">
        <w:trPr>
          <w:trHeight w:val="602"/>
        </w:trPr>
        <w:tc>
          <w:tcPr>
            <w:tcW w:w="1523" w:type="pct"/>
            <w:vAlign w:val="center"/>
          </w:tcPr>
          <w:p w:rsidR="002C4644" w:rsidRPr="00012A8C" w:rsidRDefault="002C4644" w:rsidP="00A33FA8">
            <w:pPr>
              <w:ind w:right="36"/>
              <w:jc w:val="left"/>
              <w:rPr>
                <w:color w:val="000000"/>
              </w:rPr>
            </w:pPr>
            <w:r>
              <w:rPr>
                <w:color w:val="000000"/>
              </w:rPr>
              <w:t>Environmental Review</w:t>
            </w:r>
          </w:p>
        </w:tc>
        <w:tc>
          <w:tcPr>
            <w:tcW w:w="3477" w:type="pct"/>
            <w:vAlign w:val="center"/>
          </w:tcPr>
          <w:p w:rsidR="002C4644" w:rsidRDefault="002C4644" w:rsidP="00A33FA8">
            <w:pPr>
              <w:ind w:right="36"/>
              <w:jc w:val="left"/>
              <w:rPr>
                <w:color w:val="000000"/>
              </w:rPr>
            </w:pPr>
            <w:r>
              <w:rPr>
                <w:color w:val="000000"/>
              </w:rPr>
              <w:t>FESHM 8060 – National Environmental Policy Act Review Policy</w:t>
            </w:r>
          </w:p>
          <w:p w:rsidR="002C4644" w:rsidRPr="00012A8C" w:rsidRDefault="002C4644" w:rsidP="00A33FA8">
            <w:pPr>
              <w:ind w:right="36"/>
              <w:jc w:val="left"/>
              <w:rPr>
                <w:color w:val="000000"/>
              </w:rPr>
            </w:pPr>
            <w:r>
              <w:rPr>
                <w:color w:val="000000"/>
              </w:rPr>
              <w:t xml:space="preserve">Environmental ORC Review Guidelines: </w:t>
            </w:r>
            <w:hyperlink r:id="rId25" w:history="1">
              <w:r w:rsidRPr="00D80C27">
                <w:rPr>
                  <w:rStyle w:val="Hyperlink"/>
                </w:rPr>
                <w:t>ESHQ DocDB #3270</w:t>
              </w:r>
            </w:hyperlink>
          </w:p>
        </w:tc>
      </w:tr>
      <w:tr w:rsidR="002C4644" w:rsidRPr="00012A8C" w:rsidTr="00A33FA8">
        <w:trPr>
          <w:trHeight w:val="620"/>
        </w:trPr>
        <w:tc>
          <w:tcPr>
            <w:tcW w:w="1523" w:type="pct"/>
            <w:vAlign w:val="center"/>
          </w:tcPr>
          <w:p w:rsidR="002C4644" w:rsidRPr="00012A8C" w:rsidRDefault="002C4644" w:rsidP="00A33FA8">
            <w:pPr>
              <w:ind w:right="36"/>
              <w:jc w:val="left"/>
              <w:rPr>
                <w:color w:val="000000"/>
              </w:rPr>
            </w:pPr>
            <w:r>
              <w:rPr>
                <w:color w:val="000000"/>
              </w:rPr>
              <w:t>Fire Hazard Review</w:t>
            </w:r>
          </w:p>
        </w:tc>
        <w:tc>
          <w:tcPr>
            <w:tcW w:w="3477" w:type="pct"/>
            <w:vAlign w:val="center"/>
          </w:tcPr>
          <w:p w:rsidR="002C4644" w:rsidRDefault="002C4644" w:rsidP="00A33FA8">
            <w:pPr>
              <w:ind w:right="36"/>
              <w:jc w:val="left"/>
              <w:rPr>
                <w:color w:val="000000"/>
              </w:rPr>
            </w:pPr>
            <w:r>
              <w:rPr>
                <w:color w:val="000000"/>
              </w:rPr>
              <w:t>FESHM 6020.3 – Storage &amp; Use of Flammable Gases (WSS)</w:t>
            </w:r>
          </w:p>
          <w:p w:rsidR="002C4644" w:rsidRPr="00012A8C" w:rsidRDefault="002C4644" w:rsidP="00A33FA8">
            <w:pPr>
              <w:ind w:right="36"/>
              <w:jc w:val="left"/>
              <w:rPr>
                <w:color w:val="000000"/>
              </w:rPr>
            </w:pPr>
            <w:r>
              <w:rPr>
                <w:color w:val="000000"/>
              </w:rPr>
              <w:t xml:space="preserve">Fire/Life Safety ORC Review Guidelines: </w:t>
            </w:r>
            <w:hyperlink r:id="rId26" w:history="1">
              <w:r w:rsidRPr="00D80C27">
                <w:rPr>
                  <w:rStyle w:val="Hyperlink"/>
                </w:rPr>
                <w:t>ESHQ DocDB #3270</w:t>
              </w:r>
            </w:hyperlink>
          </w:p>
        </w:tc>
      </w:tr>
      <w:tr w:rsidR="002C4644" w:rsidRPr="00012A8C" w:rsidTr="00A33FA8">
        <w:trPr>
          <w:trHeight w:val="432"/>
        </w:trPr>
        <w:tc>
          <w:tcPr>
            <w:tcW w:w="1523" w:type="pct"/>
            <w:vAlign w:val="center"/>
          </w:tcPr>
          <w:p w:rsidR="002C4644" w:rsidRPr="00012A8C" w:rsidRDefault="002C4644" w:rsidP="00A33FA8">
            <w:pPr>
              <w:ind w:right="36"/>
              <w:jc w:val="left"/>
              <w:rPr>
                <w:color w:val="000000"/>
              </w:rPr>
            </w:pPr>
            <w:r>
              <w:rPr>
                <w:color w:val="000000"/>
              </w:rPr>
              <w:t>Lasers</w:t>
            </w:r>
          </w:p>
        </w:tc>
        <w:tc>
          <w:tcPr>
            <w:tcW w:w="3477" w:type="pct"/>
            <w:vAlign w:val="center"/>
          </w:tcPr>
          <w:p w:rsidR="002C4644" w:rsidRPr="00012A8C" w:rsidRDefault="002C4644" w:rsidP="00A33FA8">
            <w:pPr>
              <w:ind w:right="36"/>
              <w:jc w:val="left"/>
              <w:rPr>
                <w:color w:val="000000"/>
              </w:rPr>
            </w:pPr>
            <w:r>
              <w:rPr>
                <w:color w:val="000000"/>
              </w:rPr>
              <w:t>FESHM 4260 – Lasers</w:t>
            </w:r>
          </w:p>
        </w:tc>
      </w:tr>
      <w:tr w:rsidR="002C4644" w:rsidRPr="00012A8C" w:rsidTr="00A33FA8">
        <w:trPr>
          <w:trHeight w:val="432"/>
        </w:trPr>
        <w:tc>
          <w:tcPr>
            <w:tcW w:w="1523" w:type="pct"/>
            <w:vAlign w:val="center"/>
          </w:tcPr>
          <w:p w:rsidR="002C4644" w:rsidRDefault="002C4644" w:rsidP="00A33FA8">
            <w:pPr>
              <w:ind w:right="36"/>
              <w:jc w:val="left"/>
              <w:rPr>
                <w:color w:val="000000"/>
              </w:rPr>
            </w:pPr>
            <w:r>
              <w:rPr>
                <w:color w:val="000000"/>
              </w:rPr>
              <w:t>Nanomaterials</w:t>
            </w:r>
          </w:p>
        </w:tc>
        <w:tc>
          <w:tcPr>
            <w:tcW w:w="3477" w:type="pct"/>
            <w:vAlign w:val="center"/>
          </w:tcPr>
          <w:p w:rsidR="002C4644" w:rsidRDefault="002C4644" w:rsidP="00A33FA8">
            <w:pPr>
              <w:ind w:right="36"/>
              <w:jc w:val="left"/>
              <w:rPr>
                <w:color w:val="000000"/>
              </w:rPr>
            </w:pPr>
            <w:r>
              <w:rPr>
                <w:color w:val="000000"/>
              </w:rPr>
              <w:t>FESHM 4310 - Nanomaterials</w:t>
            </w:r>
          </w:p>
        </w:tc>
      </w:tr>
      <w:tr w:rsidR="002C4644" w:rsidRPr="00012A8C" w:rsidTr="00A33FA8">
        <w:trPr>
          <w:trHeight w:val="432"/>
        </w:trPr>
        <w:tc>
          <w:tcPr>
            <w:tcW w:w="1523" w:type="pct"/>
            <w:vAlign w:val="center"/>
          </w:tcPr>
          <w:p w:rsidR="002C4644" w:rsidRPr="00012A8C" w:rsidRDefault="002C4644" w:rsidP="00A33FA8">
            <w:pPr>
              <w:ind w:right="36"/>
              <w:jc w:val="left"/>
              <w:rPr>
                <w:color w:val="000000"/>
              </w:rPr>
            </w:pPr>
            <w:r>
              <w:rPr>
                <w:color w:val="000000"/>
              </w:rPr>
              <w:t>Oxygen Deficiency Hazard</w:t>
            </w:r>
          </w:p>
        </w:tc>
        <w:tc>
          <w:tcPr>
            <w:tcW w:w="3477" w:type="pct"/>
            <w:vAlign w:val="center"/>
          </w:tcPr>
          <w:p w:rsidR="002C4644" w:rsidRPr="00012A8C" w:rsidRDefault="002C4644" w:rsidP="00A33FA8">
            <w:pPr>
              <w:ind w:right="36"/>
              <w:jc w:val="left"/>
              <w:rPr>
                <w:color w:val="000000"/>
              </w:rPr>
            </w:pPr>
            <w:r>
              <w:rPr>
                <w:color w:val="000000"/>
              </w:rPr>
              <w:t>FESHM 4240 – Oxygen Deficiency Hazards (ODH) (WSS)</w:t>
            </w:r>
          </w:p>
        </w:tc>
      </w:tr>
      <w:tr w:rsidR="002C4644" w:rsidRPr="00012A8C" w:rsidTr="00A33FA8">
        <w:trPr>
          <w:trHeight w:val="432"/>
        </w:trPr>
        <w:tc>
          <w:tcPr>
            <w:tcW w:w="1523" w:type="pct"/>
            <w:vAlign w:val="center"/>
          </w:tcPr>
          <w:p w:rsidR="002C4644" w:rsidRPr="00012A8C" w:rsidRDefault="002C4644" w:rsidP="00A33FA8">
            <w:pPr>
              <w:ind w:right="36"/>
              <w:jc w:val="left"/>
              <w:rPr>
                <w:color w:val="000000"/>
              </w:rPr>
            </w:pPr>
            <w:r>
              <w:rPr>
                <w:color w:val="000000"/>
              </w:rPr>
              <w:t>Piping Systems</w:t>
            </w:r>
          </w:p>
        </w:tc>
        <w:tc>
          <w:tcPr>
            <w:tcW w:w="3477" w:type="pct"/>
            <w:vAlign w:val="center"/>
          </w:tcPr>
          <w:p w:rsidR="002C4644" w:rsidRPr="00012A8C" w:rsidRDefault="002C4644" w:rsidP="00A33FA8">
            <w:pPr>
              <w:ind w:right="36"/>
              <w:jc w:val="left"/>
              <w:rPr>
                <w:color w:val="000000"/>
              </w:rPr>
            </w:pPr>
            <w:r>
              <w:rPr>
                <w:color w:val="000000"/>
              </w:rPr>
              <w:t>FESHM 5031.1 – Piping Systems (WSS)</w:t>
            </w:r>
          </w:p>
        </w:tc>
      </w:tr>
      <w:tr w:rsidR="002C4644" w:rsidRPr="00012A8C" w:rsidTr="00A33FA8">
        <w:trPr>
          <w:trHeight w:val="432"/>
        </w:trPr>
        <w:tc>
          <w:tcPr>
            <w:tcW w:w="1523" w:type="pct"/>
            <w:vAlign w:val="center"/>
          </w:tcPr>
          <w:p w:rsidR="002C4644" w:rsidRPr="00012A8C" w:rsidRDefault="002C4644" w:rsidP="00A33FA8">
            <w:pPr>
              <w:ind w:right="36"/>
              <w:jc w:val="left"/>
              <w:rPr>
                <w:color w:val="000000"/>
              </w:rPr>
            </w:pPr>
            <w:r>
              <w:rPr>
                <w:color w:val="000000"/>
              </w:rPr>
              <w:t>Pressure Relief Systems</w:t>
            </w:r>
          </w:p>
        </w:tc>
        <w:tc>
          <w:tcPr>
            <w:tcW w:w="3477" w:type="pct"/>
            <w:vAlign w:val="center"/>
          </w:tcPr>
          <w:p w:rsidR="002C4644" w:rsidRPr="00012A8C" w:rsidRDefault="002C4644" w:rsidP="00A33FA8">
            <w:pPr>
              <w:ind w:right="36"/>
              <w:jc w:val="left"/>
              <w:rPr>
                <w:color w:val="000000"/>
              </w:rPr>
            </w:pPr>
            <w:r>
              <w:rPr>
                <w:color w:val="000000"/>
              </w:rPr>
              <w:t xml:space="preserve">FESHM 5031.4 – Inspection &amp; Testing of Relief Systems </w:t>
            </w:r>
          </w:p>
        </w:tc>
      </w:tr>
      <w:tr w:rsidR="002C4644" w:rsidRPr="00012A8C" w:rsidTr="00A33FA8">
        <w:trPr>
          <w:trHeight w:val="432"/>
        </w:trPr>
        <w:tc>
          <w:tcPr>
            <w:tcW w:w="1523" w:type="pct"/>
            <w:vAlign w:val="center"/>
          </w:tcPr>
          <w:p w:rsidR="002C4644" w:rsidRPr="00012A8C" w:rsidRDefault="002C4644" w:rsidP="00A33FA8">
            <w:pPr>
              <w:ind w:right="36"/>
              <w:jc w:val="left"/>
              <w:rPr>
                <w:color w:val="000000"/>
              </w:rPr>
            </w:pPr>
            <w:r>
              <w:rPr>
                <w:color w:val="000000"/>
              </w:rPr>
              <w:t>Pressure Vessels</w:t>
            </w:r>
          </w:p>
        </w:tc>
        <w:tc>
          <w:tcPr>
            <w:tcW w:w="3477" w:type="pct"/>
            <w:vAlign w:val="center"/>
          </w:tcPr>
          <w:p w:rsidR="002C4644" w:rsidRDefault="002C4644" w:rsidP="00A33FA8">
            <w:pPr>
              <w:ind w:right="36"/>
              <w:jc w:val="left"/>
              <w:rPr>
                <w:color w:val="000000"/>
              </w:rPr>
            </w:pPr>
            <w:r>
              <w:rPr>
                <w:color w:val="000000"/>
              </w:rPr>
              <w:t>FESHM 5031 – Pressure Vessels</w:t>
            </w:r>
          </w:p>
          <w:p w:rsidR="002C4644" w:rsidRDefault="002C4644" w:rsidP="00A33FA8">
            <w:pPr>
              <w:ind w:right="36"/>
              <w:jc w:val="left"/>
              <w:rPr>
                <w:color w:val="000000"/>
              </w:rPr>
            </w:pPr>
            <w:r>
              <w:rPr>
                <w:color w:val="000000"/>
              </w:rPr>
              <w:t>FESHM 5034 – Pressure Vessel Testing</w:t>
            </w:r>
          </w:p>
          <w:p w:rsidR="002C4644" w:rsidRPr="00012A8C" w:rsidRDefault="002C4644" w:rsidP="00A33FA8">
            <w:pPr>
              <w:ind w:right="36"/>
              <w:jc w:val="left"/>
              <w:rPr>
                <w:color w:val="000000"/>
              </w:rPr>
            </w:pPr>
            <w:r>
              <w:rPr>
                <w:color w:val="000000"/>
              </w:rPr>
              <w:t>FESHM 5031.5 – Low Pressure Vessels and Fluid Containment</w:t>
            </w:r>
          </w:p>
        </w:tc>
      </w:tr>
      <w:tr w:rsidR="002C4644" w:rsidRPr="00012A8C" w:rsidTr="00A33FA8">
        <w:trPr>
          <w:trHeight w:val="432"/>
        </w:trPr>
        <w:tc>
          <w:tcPr>
            <w:tcW w:w="1523" w:type="pct"/>
            <w:vAlign w:val="center"/>
          </w:tcPr>
          <w:p w:rsidR="002C4644" w:rsidRDefault="002C4644" w:rsidP="00A33FA8">
            <w:pPr>
              <w:ind w:right="36"/>
              <w:jc w:val="left"/>
              <w:rPr>
                <w:color w:val="000000"/>
              </w:rPr>
            </w:pPr>
            <w:r>
              <w:rPr>
                <w:color w:val="000000"/>
              </w:rPr>
              <w:t>Radiation Protection</w:t>
            </w:r>
          </w:p>
        </w:tc>
        <w:tc>
          <w:tcPr>
            <w:tcW w:w="3477" w:type="pct"/>
            <w:vAlign w:val="center"/>
          </w:tcPr>
          <w:p w:rsidR="002C4644" w:rsidRDefault="002C4644" w:rsidP="00A33FA8">
            <w:pPr>
              <w:ind w:right="36"/>
              <w:jc w:val="left"/>
              <w:rPr>
                <w:color w:val="000000"/>
              </w:rPr>
            </w:pPr>
            <w:r>
              <w:rPr>
                <w:color w:val="000000"/>
              </w:rPr>
              <w:t xml:space="preserve">FESHM 11000 – Radiation Safety Program </w:t>
            </w:r>
          </w:p>
        </w:tc>
      </w:tr>
      <w:tr w:rsidR="002C4644" w:rsidRPr="00012A8C" w:rsidTr="00A33FA8">
        <w:trPr>
          <w:trHeight w:val="432"/>
        </w:trPr>
        <w:tc>
          <w:tcPr>
            <w:tcW w:w="1523" w:type="pct"/>
            <w:vAlign w:val="center"/>
          </w:tcPr>
          <w:p w:rsidR="002C4644" w:rsidRDefault="002C4644" w:rsidP="00A33FA8">
            <w:pPr>
              <w:ind w:right="36"/>
              <w:jc w:val="left"/>
              <w:rPr>
                <w:color w:val="000000"/>
              </w:rPr>
            </w:pPr>
            <w:r>
              <w:rPr>
                <w:color w:val="000000"/>
              </w:rPr>
              <w:t>Shielding Assessments</w:t>
            </w:r>
          </w:p>
        </w:tc>
        <w:tc>
          <w:tcPr>
            <w:tcW w:w="3477" w:type="pct"/>
            <w:vAlign w:val="center"/>
          </w:tcPr>
          <w:p w:rsidR="002C4644" w:rsidRDefault="002C4644" w:rsidP="00A33FA8">
            <w:pPr>
              <w:ind w:right="36"/>
              <w:jc w:val="left"/>
              <w:rPr>
                <w:color w:val="000000"/>
              </w:rPr>
            </w:pPr>
            <w:r>
              <w:rPr>
                <w:color w:val="000000"/>
              </w:rPr>
              <w:t xml:space="preserve">FRCM Chapter 8 – Accelerator Shielding &amp; Radio activation </w:t>
            </w:r>
          </w:p>
        </w:tc>
      </w:tr>
      <w:tr w:rsidR="002C4644" w:rsidRPr="00012A8C" w:rsidTr="00A33FA8">
        <w:trPr>
          <w:trHeight w:val="432"/>
        </w:trPr>
        <w:tc>
          <w:tcPr>
            <w:tcW w:w="1523" w:type="pct"/>
            <w:vAlign w:val="center"/>
          </w:tcPr>
          <w:p w:rsidR="002C4644" w:rsidRDefault="002C4644" w:rsidP="00A33FA8">
            <w:pPr>
              <w:ind w:right="36"/>
              <w:jc w:val="left"/>
              <w:rPr>
                <w:color w:val="000000"/>
              </w:rPr>
            </w:pPr>
            <w:r>
              <w:rPr>
                <w:color w:val="000000"/>
              </w:rPr>
              <w:t>Vacuum Vessels</w:t>
            </w:r>
          </w:p>
        </w:tc>
        <w:tc>
          <w:tcPr>
            <w:tcW w:w="3477" w:type="pct"/>
            <w:vAlign w:val="center"/>
          </w:tcPr>
          <w:p w:rsidR="002C4644" w:rsidRDefault="002C4644" w:rsidP="00A33FA8">
            <w:pPr>
              <w:ind w:right="36"/>
              <w:jc w:val="left"/>
              <w:rPr>
                <w:color w:val="000000"/>
              </w:rPr>
            </w:pPr>
            <w:r>
              <w:rPr>
                <w:color w:val="000000"/>
              </w:rPr>
              <w:t>FESHM 5033 – Vacuum Vessels</w:t>
            </w:r>
          </w:p>
          <w:p w:rsidR="002C4644" w:rsidRDefault="002C4644" w:rsidP="00A33FA8">
            <w:pPr>
              <w:ind w:right="36"/>
              <w:jc w:val="left"/>
              <w:rPr>
                <w:color w:val="000000"/>
              </w:rPr>
            </w:pPr>
            <w:r>
              <w:rPr>
                <w:color w:val="000000"/>
              </w:rPr>
              <w:t>FESHM 5033.1 – Vacuum Window Safety (WSS)</w:t>
            </w:r>
          </w:p>
        </w:tc>
      </w:tr>
    </w:tbl>
    <w:p w:rsidR="002A08B6" w:rsidRPr="005F3525" w:rsidRDefault="002A08B6" w:rsidP="005F3525">
      <w:pPr>
        <w:tabs>
          <w:tab w:val="left" w:pos="2974"/>
        </w:tabs>
      </w:pPr>
    </w:p>
    <w:sectPr w:rsidR="002A08B6" w:rsidRPr="005F3525" w:rsidSect="00A32092">
      <w:headerReference w:type="default" r:id="rId27"/>
      <w:footerReference w:type="default" r:id="rId28"/>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A5C" w:rsidRDefault="00960A5C" w:rsidP="00CB66DF">
      <w:r>
        <w:separator/>
      </w:r>
    </w:p>
  </w:endnote>
  <w:endnote w:type="continuationSeparator" w:id="0">
    <w:p w:rsidR="00960A5C" w:rsidRDefault="00960A5C"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E49" w:rsidRDefault="00386E49" w:rsidP="0017017E">
    <w:pPr>
      <w:pStyle w:val="Footer"/>
      <w:pBdr>
        <w:top w:val="single" w:sz="6" w:space="0" w:color="auto"/>
      </w:pBdr>
      <w:rPr>
        <w:rFonts w:ascii="Palatino" w:hAnsi="Palatino"/>
        <w:sz w:val="18"/>
      </w:rPr>
    </w:pPr>
    <w:r>
      <w:rPr>
        <w:i/>
        <w:sz w:val="18"/>
      </w:rPr>
      <w:t>Fermilab ES&amp;H Manual</w:t>
    </w:r>
    <w:r>
      <w:rPr>
        <w:i/>
        <w:sz w:val="18"/>
      </w:rPr>
      <w:tab/>
    </w:r>
    <w:r>
      <w:rPr>
        <w:i/>
        <w:sz w:val="18"/>
      </w:rPr>
      <w:tab/>
      <w:t>2005</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316264">
      <w:rPr>
        <w:rFonts w:ascii="Palatino" w:hAnsi="Palatino"/>
        <w:noProof/>
        <w:sz w:val="18"/>
      </w:rPr>
      <w:t>2</w:t>
    </w:r>
    <w:r>
      <w:rPr>
        <w:rFonts w:ascii="Palatino" w:hAnsi="Palatino"/>
        <w:sz w:val="18"/>
      </w:rPr>
      <w:fldChar w:fldCharType="end"/>
    </w:r>
  </w:p>
  <w:p w:rsidR="00386E49" w:rsidRPr="0017017E" w:rsidRDefault="00386E49" w:rsidP="0017017E">
    <w:pPr>
      <w:pStyle w:val="Footer"/>
      <w:pBdr>
        <w:top w:val="single" w:sz="6" w:space="0" w:color="auto"/>
      </w:pBdr>
      <w:rPr>
        <w:rFonts w:ascii="Palatino" w:hAnsi="Palatino"/>
        <w:sz w:val="16"/>
      </w:rPr>
    </w:pPr>
    <w:r w:rsidRPr="0017017E">
      <w:rPr>
        <w:rFonts w:ascii="Palatino" w:hAnsi="Palatino"/>
        <w:i/>
        <w:sz w:val="16"/>
      </w:rPr>
      <w:t>WARNING:  This manual is subject to change.  The current version is maintained on the ESH&amp;Q Section website.</w:t>
    </w:r>
    <w:r>
      <w:rPr>
        <w:rFonts w:ascii="Palatino" w:hAnsi="Palatino"/>
        <w:i/>
        <w:sz w:val="16"/>
      </w:rPr>
      <w:t xml:space="preserve">         </w:t>
    </w:r>
    <w:r w:rsidRPr="0017017E">
      <w:rPr>
        <w:sz w:val="16"/>
        <w:szCs w:val="18"/>
      </w:rPr>
      <w:t xml:space="preserve"> </w:t>
    </w:r>
    <w:r>
      <w:rPr>
        <w:sz w:val="16"/>
        <w:szCs w:val="18"/>
      </w:rPr>
      <w:tab/>
      <w:t>Rev. 07</w:t>
    </w:r>
    <w:r w:rsidRPr="0017017E">
      <w:rPr>
        <w:sz w:val="16"/>
        <w:szCs w:val="18"/>
      </w:rPr>
      <w:t>/201</w:t>
    </w:r>
    <w:r>
      <w:rPr>
        <w:sz w:val="16"/>
        <w:szCs w:val="18"/>
      </w:rPr>
      <w:t>8</w:t>
    </w:r>
    <w:r w:rsidRPr="0017017E">
      <w:rPr>
        <w:rFonts w:ascii="Palatino" w:hAnsi="Palatino"/>
        <w:sz w:val="16"/>
        <w:szCs w:val="18"/>
      </w:rPr>
      <w:t xml:space="preserve"> </w:t>
    </w:r>
  </w:p>
  <w:p w:rsidR="00386E49" w:rsidRDefault="00386E49"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386E49" w:rsidRPr="00B072B8" w:rsidRDefault="00386E49"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6E49" w:rsidRDefault="00386E49" w:rsidP="00CD7755">
    <w:pPr>
      <w:pStyle w:val="Footer"/>
      <w:pBdr>
        <w:top w:val="single" w:sz="6" w:space="0" w:color="auto"/>
      </w:pBdr>
      <w:rPr>
        <w:rFonts w:ascii="Palatino" w:hAnsi="Palatino"/>
        <w:sz w:val="18"/>
      </w:rPr>
    </w:pPr>
    <w:r>
      <w:rPr>
        <w:i/>
        <w:sz w:val="18"/>
      </w:rPr>
      <w:t>Fermilab ES&amp;H Manual</w:t>
    </w:r>
    <w:r>
      <w:rPr>
        <w:i/>
        <w:sz w:val="18"/>
      </w:rPr>
      <w:tab/>
    </w:r>
    <w:r>
      <w:rPr>
        <w:i/>
        <w:sz w:val="18"/>
      </w:rPr>
      <w:tab/>
      <w:t>2005</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sidR="00316264">
      <w:rPr>
        <w:rFonts w:ascii="Palatino" w:hAnsi="Palatino"/>
        <w:noProof/>
        <w:sz w:val="18"/>
      </w:rPr>
      <w:t>7</w:t>
    </w:r>
    <w:r>
      <w:rPr>
        <w:rFonts w:ascii="Palatino" w:hAnsi="Palatino"/>
        <w:sz w:val="18"/>
      </w:rPr>
      <w:fldChar w:fldCharType="end"/>
    </w:r>
  </w:p>
  <w:p w:rsidR="00386E49" w:rsidRDefault="00386E49" w:rsidP="00CD7755">
    <w:pPr>
      <w:pStyle w:val="Footer"/>
      <w:pBdr>
        <w:top w:val="single" w:sz="6" w:space="0" w:color="auto"/>
      </w:pBdr>
      <w:rPr>
        <w:rFonts w:ascii="Palatino" w:hAnsi="Palatino"/>
        <w:sz w:val="18"/>
        <w:szCs w:val="18"/>
      </w:rPr>
    </w:pPr>
    <w:r>
      <w:rPr>
        <w:rFonts w:ascii="Palatino" w:hAnsi="Palatino"/>
        <w:i/>
        <w:sz w:val="18"/>
      </w:rPr>
      <w:t xml:space="preserve">WARNING:  </w:t>
    </w:r>
    <w:r w:rsidRPr="00320751">
      <w:rPr>
        <w:rFonts w:ascii="Palatino" w:hAnsi="Palatino"/>
        <w:i/>
        <w:sz w:val="18"/>
      </w:rPr>
      <w:t xml:space="preserve">This manual is subject to change.  The current </w:t>
    </w:r>
    <w:r>
      <w:rPr>
        <w:rFonts w:ascii="Palatino" w:hAnsi="Palatino"/>
        <w:i/>
        <w:sz w:val="18"/>
      </w:rPr>
      <w:t>version is maintained on the ESH&amp;Q</w:t>
    </w:r>
    <w:r w:rsidRPr="00320751">
      <w:rPr>
        <w:rFonts w:ascii="Palatino" w:hAnsi="Palatino"/>
        <w:i/>
        <w:sz w:val="18"/>
      </w:rPr>
      <w:t xml:space="preserve"> Section website.</w:t>
    </w:r>
    <w:r>
      <w:rPr>
        <w:rFonts w:ascii="Palatino" w:hAnsi="Palatino"/>
        <w:sz w:val="18"/>
      </w:rPr>
      <w:tab/>
    </w:r>
    <w:r>
      <w:rPr>
        <w:sz w:val="18"/>
        <w:szCs w:val="18"/>
      </w:rPr>
      <w:t xml:space="preserve"> Rev. 07/2018</w:t>
    </w:r>
    <w:r w:rsidRPr="00A71082">
      <w:rPr>
        <w:rFonts w:ascii="Palatino" w:hAnsi="Palatino"/>
        <w:sz w:val="18"/>
        <w:szCs w:val="18"/>
      </w:rPr>
      <w:t xml:space="preserve"> </w:t>
    </w:r>
  </w:p>
  <w:p w:rsidR="00386E49" w:rsidRDefault="00386E49"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rsidR="00386E49" w:rsidRPr="00B072B8" w:rsidRDefault="00386E49"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A5C" w:rsidRDefault="00960A5C" w:rsidP="00CB66DF">
      <w:r>
        <w:separator/>
      </w:r>
    </w:p>
  </w:footnote>
  <w:footnote w:type="continuationSeparator" w:id="0">
    <w:p w:rsidR="00960A5C" w:rsidRDefault="00960A5C"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3"/>
      <w:gridCol w:w="2733"/>
    </w:tblGrid>
    <w:tr w:rsidR="00386E49" w:rsidRPr="00423E3B" w:rsidTr="00D0504D">
      <w:trPr>
        <w:trHeight w:val="611"/>
      </w:trPr>
      <w:tc>
        <w:tcPr>
          <w:tcW w:w="1490" w:type="dxa"/>
        </w:tcPr>
        <w:p w:rsidR="00386E49" w:rsidRPr="00423E3B" w:rsidRDefault="00386E49" w:rsidP="0086083E">
          <w:pPr>
            <w:jc w:val="center"/>
          </w:pPr>
          <w:r w:rsidRPr="00684839">
            <w:rPr>
              <w:noProof/>
            </w:rPr>
            <w:drawing>
              <wp:anchor distT="0" distB="0" distL="114300" distR="114300" simplePos="0" relativeHeight="251658240" behindDoc="0" locked="0" layoutInCell="1" allowOverlap="0" wp14:anchorId="290DD22C" wp14:editId="1244B65C">
                <wp:simplePos x="0" y="0"/>
                <wp:positionH relativeFrom="page">
                  <wp:posOffset>45720</wp:posOffset>
                </wp:positionH>
                <wp:positionV relativeFrom="page">
                  <wp:posOffset>161290</wp:posOffset>
                </wp:positionV>
                <wp:extent cx="1552575" cy="276225"/>
                <wp:effectExtent l="0" t="0" r="9525" b="9525"/>
                <wp:wrapTopAndBottom/>
                <wp:docPr id="7" name="Picture 7"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386E49" w:rsidRPr="00141E0D" w:rsidRDefault="00386E49" w:rsidP="0086083E">
          <w:pPr>
            <w:ind w:right="36"/>
            <w:jc w:val="center"/>
            <w:rPr>
              <w:b/>
              <w:color w:val="000000"/>
            </w:rPr>
          </w:pPr>
          <w:r>
            <w:t>ES&amp;H Manual</w:t>
          </w:r>
        </w:p>
      </w:tc>
      <w:tc>
        <w:tcPr>
          <w:tcW w:w="3188" w:type="dxa"/>
          <w:vAlign w:val="center"/>
        </w:tcPr>
        <w:p w:rsidR="00386E49" w:rsidRPr="00423E3B" w:rsidRDefault="00386E49" w:rsidP="00D0504D">
          <w:pPr>
            <w:jc w:val="center"/>
          </w:pPr>
          <w:r>
            <w:t>FESHM 2005</w:t>
          </w:r>
        </w:p>
        <w:p w:rsidR="00386E49" w:rsidRPr="00423E3B" w:rsidRDefault="00386E49" w:rsidP="00A172FD">
          <w:pPr>
            <w:jc w:val="center"/>
          </w:pPr>
          <w:r>
            <w:t>July 2018</w:t>
          </w:r>
        </w:p>
      </w:tc>
    </w:tr>
  </w:tbl>
  <w:p w:rsidR="00386E49" w:rsidRDefault="00386E49"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3"/>
      <w:gridCol w:w="2733"/>
    </w:tblGrid>
    <w:tr w:rsidR="00386E49" w:rsidRPr="00423E3B" w:rsidTr="00D0504D">
      <w:trPr>
        <w:trHeight w:val="611"/>
      </w:trPr>
      <w:tc>
        <w:tcPr>
          <w:tcW w:w="1490" w:type="dxa"/>
        </w:tcPr>
        <w:p w:rsidR="00386E49" w:rsidRPr="00423E3B" w:rsidRDefault="00386E49" w:rsidP="0086083E">
          <w:pPr>
            <w:jc w:val="center"/>
          </w:pPr>
          <w:r w:rsidRPr="00684839">
            <w:rPr>
              <w:noProof/>
            </w:rPr>
            <w:drawing>
              <wp:anchor distT="0" distB="0" distL="114300" distR="114300" simplePos="0" relativeHeight="251662336" behindDoc="0" locked="0" layoutInCell="1" allowOverlap="0" wp14:anchorId="45A05E2C" wp14:editId="3449A815">
                <wp:simplePos x="0" y="0"/>
                <wp:positionH relativeFrom="page">
                  <wp:posOffset>45720</wp:posOffset>
                </wp:positionH>
                <wp:positionV relativeFrom="page">
                  <wp:posOffset>161290</wp:posOffset>
                </wp:positionV>
                <wp:extent cx="1552575" cy="276225"/>
                <wp:effectExtent l="0" t="0" r="9525" b="9525"/>
                <wp:wrapTopAndBottom/>
                <wp:docPr id="5" name="Picture 5"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rsidR="00386E49" w:rsidRPr="00141E0D" w:rsidRDefault="00386E49" w:rsidP="0086083E">
          <w:pPr>
            <w:ind w:right="36"/>
            <w:jc w:val="center"/>
            <w:rPr>
              <w:b/>
              <w:color w:val="000000"/>
            </w:rPr>
          </w:pPr>
          <w:r>
            <w:t>ES&amp;H Manual</w:t>
          </w:r>
        </w:p>
      </w:tc>
      <w:tc>
        <w:tcPr>
          <w:tcW w:w="3188" w:type="dxa"/>
          <w:vAlign w:val="center"/>
        </w:tcPr>
        <w:p w:rsidR="00386E49" w:rsidRPr="00423E3B" w:rsidRDefault="00386E49" w:rsidP="00D0504D">
          <w:pPr>
            <w:jc w:val="center"/>
          </w:pPr>
          <w:r>
            <w:t>FESHM 2005</w:t>
          </w:r>
        </w:p>
        <w:p w:rsidR="00386E49" w:rsidRPr="00423E3B" w:rsidRDefault="00386E49" w:rsidP="005108E3">
          <w:pPr>
            <w:jc w:val="center"/>
          </w:pPr>
          <w:r>
            <w:t>July 2018</w:t>
          </w:r>
        </w:p>
      </w:tc>
    </w:tr>
  </w:tbl>
  <w:p w:rsidR="00386E49" w:rsidRDefault="00386E49"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A7807ECE"/>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40330D"/>
    <w:multiLevelType w:val="hybridMultilevel"/>
    <w:tmpl w:val="69BA8F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49323C9"/>
    <w:multiLevelType w:val="hybridMultilevel"/>
    <w:tmpl w:val="3110AD3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5" w15:restartNumberingAfterBreak="0">
    <w:nsid w:val="04A7283B"/>
    <w:multiLevelType w:val="hybridMultilevel"/>
    <w:tmpl w:val="77B85E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EA36ED"/>
    <w:multiLevelType w:val="hybridMultilevel"/>
    <w:tmpl w:val="AF725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D01060C"/>
    <w:multiLevelType w:val="hybridMultilevel"/>
    <w:tmpl w:val="47FACDA2"/>
    <w:lvl w:ilvl="0" w:tplc="F7BEBC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9F43DD"/>
    <w:multiLevelType w:val="hybridMultilevel"/>
    <w:tmpl w:val="7220D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D7E05"/>
    <w:multiLevelType w:val="hybridMultilevel"/>
    <w:tmpl w:val="582ADC32"/>
    <w:lvl w:ilvl="0" w:tplc="000F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159640E1"/>
    <w:multiLevelType w:val="hybridMultilevel"/>
    <w:tmpl w:val="776E33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6AE5482"/>
    <w:multiLevelType w:val="hybridMultilevel"/>
    <w:tmpl w:val="81041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04B6C"/>
    <w:multiLevelType w:val="hybridMultilevel"/>
    <w:tmpl w:val="BC686092"/>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1A642D0D"/>
    <w:multiLevelType w:val="hybridMultilevel"/>
    <w:tmpl w:val="91284856"/>
    <w:lvl w:ilvl="0" w:tplc="0409000F">
      <w:start w:val="1"/>
      <w:numFmt w:val="decimal"/>
      <w:lvlText w:val="%1."/>
      <w:lvlJc w:val="left"/>
      <w:pPr>
        <w:tabs>
          <w:tab w:val="num" w:pos="780"/>
        </w:tabs>
        <w:ind w:left="780" w:hanging="360"/>
      </w:pPr>
      <w:rPr>
        <w:rFonts w:hint="default"/>
      </w:rPr>
    </w:lvl>
    <w:lvl w:ilvl="1" w:tplc="613214B2">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0F05E14"/>
    <w:multiLevelType w:val="hybridMultilevel"/>
    <w:tmpl w:val="8DCEBB0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1754802"/>
    <w:multiLevelType w:val="hybridMultilevel"/>
    <w:tmpl w:val="85B017F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620"/>
        </w:tabs>
        <w:ind w:left="16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3723F2"/>
    <w:multiLevelType w:val="hybridMultilevel"/>
    <w:tmpl w:val="7B2E26E2"/>
    <w:lvl w:ilvl="0" w:tplc="D59A103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E65DF2"/>
    <w:multiLevelType w:val="hybridMultilevel"/>
    <w:tmpl w:val="C2C22522"/>
    <w:lvl w:ilvl="0" w:tplc="A6766F5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195989"/>
    <w:multiLevelType w:val="hybridMultilevel"/>
    <w:tmpl w:val="72187A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F21904"/>
    <w:multiLevelType w:val="hybridMultilevel"/>
    <w:tmpl w:val="A6DEFC0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CD44FE7"/>
    <w:multiLevelType w:val="hybridMultilevel"/>
    <w:tmpl w:val="3D3CB492"/>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2" w15:restartNumberingAfterBreak="0">
    <w:nsid w:val="3DED6AC0"/>
    <w:multiLevelType w:val="hybridMultilevel"/>
    <w:tmpl w:val="1EA29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905E7E"/>
    <w:multiLevelType w:val="hybridMultilevel"/>
    <w:tmpl w:val="A24E1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6" w15:restartNumberingAfterBreak="0">
    <w:nsid w:val="42E218F5"/>
    <w:multiLevelType w:val="hybridMultilevel"/>
    <w:tmpl w:val="10EC8058"/>
    <w:lvl w:ilvl="0" w:tplc="E778A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8" w15:restartNumberingAfterBreak="0">
    <w:nsid w:val="48AC427A"/>
    <w:multiLevelType w:val="hybridMultilevel"/>
    <w:tmpl w:val="F26CB412"/>
    <w:lvl w:ilvl="0" w:tplc="651AEC8A">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4CDD7B94"/>
    <w:multiLevelType w:val="hybridMultilevel"/>
    <w:tmpl w:val="7A081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1C7000C"/>
    <w:multiLevelType w:val="hybridMultilevel"/>
    <w:tmpl w:val="6AA6C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B5465AB"/>
    <w:multiLevelType w:val="hybridMultilevel"/>
    <w:tmpl w:val="4D4E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32344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64957F5D"/>
    <w:multiLevelType w:val="hybridMultilevel"/>
    <w:tmpl w:val="B7246A30"/>
    <w:lvl w:ilvl="0" w:tplc="0409000F">
      <w:start w:val="1"/>
      <w:numFmt w:val="decimal"/>
      <w:lvlText w:val="%1."/>
      <w:lvlJc w:val="left"/>
      <w:pPr>
        <w:tabs>
          <w:tab w:val="num" w:pos="720"/>
        </w:tabs>
        <w:ind w:left="720" w:hanging="360"/>
      </w:pPr>
    </w:lvl>
    <w:lvl w:ilvl="1" w:tplc="3B42BAB2">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6" w15:restartNumberingAfterBreak="0">
    <w:nsid w:val="6D3679C1"/>
    <w:multiLevelType w:val="hybridMultilevel"/>
    <w:tmpl w:val="4C7C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4F6822"/>
    <w:multiLevelType w:val="hybridMultilevel"/>
    <w:tmpl w:val="6686A00C"/>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38" w15:restartNumberingAfterBreak="0">
    <w:nsid w:val="7B1C3A81"/>
    <w:multiLevelType w:val="hybridMultilevel"/>
    <w:tmpl w:val="58A8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876620"/>
    <w:multiLevelType w:val="hybridMultilevel"/>
    <w:tmpl w:val="3A484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A6091F"/>
    <w:multiLevelType w:val="hybridMultilevel"/>
    <w:tmpl w:val="381E5810"/>
    <w:lvl w:ilvl="0" w:tplc="81DEE6FA">
      <w:start w:val="1"/>
      <w:numFmt w:val="low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1" w15:restartNumberingAfterBreak="0">
    <w:nsid w:val="7F1469D1"/>
    <w:multiLevelType w:val="hybridMultilevel"/>
    <w:tmpl w:val="8208D9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5"/>
  </w:num>
  <w:num w:numId="2">
    <w:abstractNumId w:val="27"/>
  </w:num>
  <w:num w:numId="3">
    <w:abstractNumId w:val="25"/>
  </w:num>
  <w:num w:numId="4">
    <w:abstractNumId w:val="7"/>
  </w:num>
  <w:num w:numId="5">
    <w:abstractNumId w:val="29"/>
  </w:num>
  <w:num w:numId="6">
    <w:abstractNumId w:val="2"/>
  </w:num>
  <w:num w:numId="7">
    <w:abstractNumId w:val="1"/>
  </w:num>
  <w:num w:numId="8">
    <w:abstractNumId w:val="23"/>
  </w:num>
  <w:num w:numId="9">
    <w:abstractNumId w:val="26"/>
  </w:num>
  <w:num w:numId="10">
    <w:abstractNumId w:val="14"/>
  </w:num>
  <w:num w:numId="11">
    <w:abstractNumId w:val="4"/>
  </w:num>
  <w:num w:numId="12">
    <w:abstractNumId w:val="31"/>
  </w:num>
  <w:num w:numId="13">
    <w:abstractNumId w:val="13"/>
  </w:num>
  <w:num w:numId="14">
    <w:abstractNumId w:val="19"/>
  </w:num>
  <w:num w:numId="15">
    <w:abstractNumId w:val="34"/>
  </w:num>
  <w:num w:numId="16">
    <w:abstractNumId w:val="38"/>
  </w:num>
  <w:num w:numId="17">
    <w:abstractNumId w:val="39"/>
  </w:num>
  <w:num w:numId="18">
    <w:abstractNumId w:val="22"/>
  </w:num>
  <w:num w:numId="19">
    <w:abstractNumId w:val="17"/>
  </w:num>
  <w:num w:numId="20">
    <w:abstractNumId w:val="10"/>
  </w:num>
  <w:num w:numId="21">
    <w:abstractNumId w:val="40"/>
  </w:num>
  <w:num w:numId="22">
    <w:abstractNumId w:val="15"/>
  </w:num>
  <w:num w:numId="23">
    <w:abstractNumId w:val="8"/>
  </w:num>
  <w:num w:numId="24">
    <w:abstractNumId w:val="3"/>
  </w:num>
  <w:num w:numId="25">
    <w:abstractNumId w:val="30"/>
  </w:num>
  <w:num w:numId="26">
    <w:abstractNumId w:val="41"/>
  </w:num>
  <w:num w:numId="27">
    <w:abstractNumId w:val="12"/>
  </w:num>
  <w:num w:numId="28">
    <w:abstractNumId w:val="33"/>
  </w:num>
  <w:num w:numId="29">
    <w:abstractNumId w:val="0"/>
  </w:num>
  <w:num w:numId="30">
    <w:abstractNumId w:val="16"/>
  </w:num>
  <w:num w:numId="31">
    <w:abstractNumId w:val="28"/>
  </w:num>
  <w:num w:numId="32">
    <w:abstractNumId w:val="11"/>
  </w:num>
  <w:num w:numId="33">
    <w:abstractNumId w:val="20"/>
  </w:num>
  <w:num w:numId="34">
    <w:abstractNumId w:val="9"/>
  </w:num>
  <w:num w:numId="35">
    <w:abstractNumId w:val="18"/>
  </w:num>
  <w:num w:numId="36">
    <w:abstractNumId w:val="21"/>
  </w:num>
  <w:num w:numId="37">
    <w:abstractNumId w:val="24"/>
  </w:num>
  <w:num w:numId="38">
    <w:abstractNumId w:val="5"/>
  </w:num>
  <w:num w:numId="39">
    <w:abstractNumId w:val="37"/>
  </w:num>
  <w:num w:numId="40">
    <w:abstractNumId w:val="36"/>
  </w:num>
  <w:num w:numId="41">
    <w:abstractNumId w:val="32"/>
  </w:num>
  <w:num w:numId="4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5EC"/>
    <w:rsid w:val="00000B4E"/>
    <w:rsid w:val="00002DAB"/>
    <w:rsid w:val="000037AA"/>
    <w:rsid w:val="00006D6F"/>
    <w:rsid w:val="0000707A"/>
    <w:rsid w:val="000070EC"/>
    <w:rsid w:val="0000745E"/>
    <w:rsid w:val="000116E7"/>
    <w:rsid w:val="00011BF7"/>
    <w:rsid w:val="00012A8C"/>
    <w:rsid w:val="000151E7"/>
    <w:rsid w:val="0001715A"/>
    <w:rsid w:val="00021BF3"/>
    <w:rsid w:val="00023346"/>
    <w:rsid w:val="00023D05"/>
    <w:rsid w:val="00024182"/>
    <w:rsid w:val="00025437"/>
    <w:rsid w:val="00025547"/>
    <w:rsid w:val="0002606F"/>
    <w:rsid w:val="00026D89"/>
    <w:rsid w:val="00026EB9"/>
    <w:rsid w:val="000272AF"/>
    <w:rsid w:val="00030BD7"/>
    <w:rsid w:val="00030BF9"/>
    <w:rsid w:val="000315E2"/>
    <w:rsid w:val="000324A4"/>
    <w:rsid w:val="00033747"/>
    <w:rsid w:val="00033DDD"/>
    <w:rsid w:val="00040EF5"/>
    <w:rsid w:val="0004185F"/>
    <w:rsid w:val="000423BC"/>
    <w:rsid w:val="00043D21"/>
    <w:rsid w:val="000456A0"/>
    <w:rsid w:val="0004683B"/>
    <w:rsid w:val="00047208"/>
    <w:rsid w:val="000503E9"/>
    <w:rsid w:val="000524B8"/>
    <w:rsid w:val="000544A6"/>
    <w:rsid w:val="000552DE"/>
    <w:rsid w:val="000563DD"/>
    <w:rsid w:val="00056DB6"/>
    <w:rsid w:val="000578BB"/>
    <w:rsid w:val="00060903"/>
    <w:rsid w:val="00061473"/>
    <w:rsid w:val="000629F3"/>
    <w:rsid w:val="00063F1F"/>
    <w:rsid w:val="00064C91"/>
    <w:rsid w:val="00065AC6"/>
    <w:rsid w:val="00067622"/>
    <w:rsid w:val="00071B76"/>
    <w:rsid w:val="00071D86"/>
    <w:rsid w:val="00075137"/>
    <w:rsid w:val="000753FB"/>
    <w:rsid w:val="00077A12"/>
    <w:rsid w:val="00077CC7"/>
    <w:rsid w:val="0008004A"/>
    <w:rsid w:val="000811FA"/>
    <w:rsid w:val="0008360F"/>
    <w:rsid w:val="00084029"/>
    <w:rsid w:val="000843FD"/>
    <w:rsid w:val="00084E8E"/>
    <w:rsid w:val="0008515E"/>
    <w:rsid w:val="00087098"/>
    <w:rsid w:val="00087650"/>
    <w:rsid w:val="000903AC"/>
    <w:rsid w:val="0009048F"/>
    <w:rsid w:val="00092162"/>
    <w:rsid w:val="00092598"/>
    <w:rsid w:val="00092AF3"/>
    <w:rsid w:val="00093370"/>
    <w:rsid w:val="0009599A"/>
    <w:rsid w:val="00095A16"/>
    <w:rsid w:val="00095F25"/>
    <w:rsid w:val="00096281"/>
    <w:rsid w:val="000967BA"/>
    <w:rsid w:val="000A0153"/>
    <w:rsid w:val="000A3E0D"/>
    <w:rsid w:val="000A425D"/>
    <w:rsid w:val="000A59F9"/>
    <w:rsid w:val="000A5E66"/>
    <w:rsid w:val="000B0E2E"/>
    <w:rsid w:val="000B1B47"/>
    <w:rsid w:val="000B1B65"/>
    <w:rsid w:val="000B4729"/>
    <w:rsid w:val="000B6364"/>
    <w:rsid w:val="000B6567"/>
    <w:rsid w:val="000B6B6E"/>
    <w:rsid w:val="000C067F"/>
    <w:rsid w:val="000C0F6D"/>
    <w:rsid w:val="000C4E23"/>
    <w:rsid w:val="000C4FB0"/>
    <w:rsid w:val="000C5636"/>
    <w:rsid w:val="000C6331"/>
    <w:rsid w:val="000C71AD"/>
    <w:rsid w:val="000C7994"/>
    <w:rsid w:val="000C7EF2"/>
    <w:rsid w:val="000D046F"/>
    <w:rsid w:val="000D13EB"/>
    <w:rsid w:val="000D19A3"/>
    <w:rsid w:val="000D30D7"/>
    <w:rsid w:val="000D3863"/>
    <w:rsid w:val="000D43A1"/>
    <w:rsid w:val="000D4910"/>
    <w:rsid w:val="000D4BCA"/>
    <w:rsid w:val="000D7FF2"/>
    <w:rsid w:val="000E2AF0"/>
    <w:rsid w:val="000E2D5D"/>
    <w:rsid w:val="000E2EDE"/>
    <w:rsid w:val="000E3625"/>
    <w:rsid w:val="000E7618"/>
    <w:rsid w:val="000F2DBD"/>
    <w:rsid w:val="000F55CC"/>
    <w:rsid w:val="000F5EFC"/>
    <w:rsid w:val="000F73F8"/>
    <w:rsid w:val="00100751"/>
    <w:rsid w:val="00100A0B"/>
    <w:rsid w:val="001018F5"/>
    <w:rsid w:val="00102003"/>
    <w:rsid w:val="0010257B"/>
    <w:rsid w:val="001033FA"/>
    <w:rsid w:val="001034A8"/>
    <w:rsid w:val="00103CFC"/>
    <w:rsid w:val="00111D51"/>
    <w:rsid w:val="00112583"/>
    <w:rsid w:val="00112AE3"/>
    <w:rsid w:val="00113419"/>
    <w:rsid w:val="001160E1"/>
    <w:rsid w:val="001201C7"/>
    <w:rsid w:val="001204A3"/>
    <w:rsid w:val="00120D5B"/>
    <w:rsid w:val="00120D90"/>
    <w:rsid w:val="00121965"/>
    <w:rsid w:val="00124813"/>
    <w:rsid w:val="00130521"/>
    <w:rsid w:val="00130724"/>
    <w:rsid w:val="00131A6B"/>
    <w:rsid w:val="00134BF4"/>
    <w:rsid w:val="00134F2E"/>
    <w:rsid w:val="001358C6"/>
    <w:rsid w:val="00135D98"/>
    <w:rsid w:val="00136D25"/>
    <w:rsid w:val="0013716E"/>
    <w:rsid w:val="001377F4"/>
    <w:rsid w:val="001413CF"/>
    <w:rsid w:val="00141A7B"/>
    <w:rsid w:val="00141E0D"/>
    <w:rsid w:val="00142414"/>
    <w:rsid w:val="00142C80"/>
    <w:rsid w:val="001435A9"/>
    <w:rsid w:val="0014589B"/>
    <w:rsid w:val="001460E1"/>
    <w:rsid w:val="00147228"/>
    <w:rsid w:val="00150968"/>
    <w:rsid w:val="00153087"/>
    <w:rsid w:val="00153337"/>
    <w:rsid w:val="00153A7B"/>
    <w:rsid w:val="001545C6"/>
    <w:rsid w:val="001553D8"/>
    <w:rsid w:val="00155AFD"/>
    <w:rsid w:val="00156784"/>
    <w:rsid w:val="001638A8"/>
    <w:rsid w:val="001641AD"/>
    <w:rsid w:val="00164528"/>
    <w:rsid w:val="00164B23"/>
    <w:rsid w:val="001671F2"/>
    <w:rsid w:val="001675C4"/>
    <w:rsid w:val="00167D53"/>
    <w:rsid w:val="00167EFC"/>
    <w:rsid w:val="0017017E"/>
    <w:rsid w:val="00171F62"/>
    <w:rsid w:val="001727E1"/>
    <w:rsid w:val="00173293"/>
    <w:rsid w:val="00173A2F"/>
    <w:rsid w:val="00175BCA"/>
    <w:rsid w:val="00177097"/>
    <w:rsid w:val="00177CD0"/>
    <w:rsid w:val="00180D9E"/>
    <w:rsid w:val="001815B4"/>
    <w:rsid w:val="00181736"/>
    <w:rsid w:val="00181C2B"/>
    <w:rsid w:val="00182587"/>
    <w:rsid w:val="00183004"/>
    <w:rsid w:val="001834DE"/>
    <w:rsid w:val="00185217"/>
    <w:rsid w:val="00186E0B"/>
    <w:rsid w:val="00187F2A"/>
    <w:rsid w:val="0019249C"/>
    <w:rsid w:val="00192D5D"/>
    <w:rsid w:val="0019445E"/>
    <w:rsid w:val="00194594"/>
    <w:rsid w:val="00194726"/>
    <w:rsid w:val="001951AE"/>
    <w:rsid w:val="001955CA"/>
    <w:rsid w:val="00195AF3"/>
    <w:rsid w:val="00196CE0"/>
    <w:rsid w:val="001A2707"/>
    <w:rsid w:val="001A2CF3"/>
    <w:rsid w:val="001A2D45"/>
    <w:rsid w:val="001A3403"/>
    <w:rsid w:val="001A63A1"/>
    <w:rsid w:val="001A74A8"/>
    <w:rsid w:val="001B269F"/>
    <w:rsid w:val="001B30EE"/>
    <w:rsid w:val="001B33CF"/>
    <w:rsid w:val="001B4919"/>
    <w:rsid w:val="001B5668"/>
    <w:rsid w:val="001B5812"/>
    <w:rsid w:val="001B623B"/>
    <w:rsid w:val="001B6675"/>
    <w:rsid w:val="001B6A20"/>
    <w:rsid w:val="001B73C6"/>
    <w:rsid w:val="001C167C"/>
    <w:rsid w:val="001C3AB2"/>
    <w:rsid w:val="001D4317"/>
    <w:rsid w:val="001D435E"/>
    <w:rsid w:val="001D7801"/>
    <w:rsid w:val="001D79B7"/>
    <w:rsid w:val="001E2037"/>
    <w:rsid w:val="001E20EF"/>
    <w:rsid w:val="001E3FC1"/>
    <w:rsid w:val="001E4839"/>
    <w:rsid w:val="001E4A8A"/>
    <w:rsid w:val="001E7609"/>
    <w:rsid w:val="001F0772"/>
    <w:rsid w:val="001F1126"/>
    <w:rsid w:val="001F1994"/>
    <w:rsid w:val="001F1FA5"/>
    <w:rsid w:val="001F36C2"/>
    <w:rsid w:val="001F38CB"/>
    <w:rsid w:val="001F3CEC"/>
    <w:rsid w:val="001F4FBF"/>
    <w:rsid w:val="001F6F81"/>
    <w:rsid w:val="002021BF"/>
    <w:rsid w:val="002024AE"/>
    <w:rsid w:val="002028EB"/>
    <w:rsid w:val="00203E01"/>
    <w:rsid w:val="0020697F"/>
    <w:rsid w:val="00206EAF"/>
    <w:rsid w:val="002070AE"/>
    <w:rsid w:val="002078BB"/>
    <w:rsid w:val="00207EAC"/>
    <w:rsid w:val="00210CB6"/>
    <w:rsid w:val="002149DE"/>
    <w:rsid w:val="0022039C"/>
    <w:rsid w:val="002206D0"/>
    <w:rsid w:val="00221181"/>
    <w:rsid w:val="00224423"/>
    <w:rsid w:val="00225EB0"/>
    <w:rsid w:val="00230051"/>
    <w:rsid w:val="00230C9C"/>
    <w:rsid w:val="00231245"/>
    <w:rsid w:val="00232BF4"/>
    <w:rsid w:val="00235741"/>
    <w:rsid w:val="0023600A"/>
    <w:rsid w:val="00237834"/>
    <w:rsid w:val="00240A0C"/>
    <w:rsid w:val="00241C70"/>
    <w:rsid w:val="002423A5"/>
    <w:rsid w:val="00243AAE"/>
    <w:rsid w:val="002441F5"/>
    <w:rsid w:val="0024447E"/>
    <w:rsid w:val="0024485E"/>
    <w:rsid w:val="00244E31"/>
    <w:rsid w:val="002452C2"/>
    <w:rsid w:val="002454C0"/>
    <w:rsid w:val="002537CB"/>
    <w:rsid w:val="00256813"/>
    <w:rsid w:val="00257F0B"/>
    <w:rsid w:val="00260B8F"/>
    <w:rsid w:val="00263F3B"/>
    <w:rsid w:val="00265ED9"/>
    <w:rsid w:val="00266C7B"/>
    <w:rsid w:val="00267A46"/>
    <w:rsid w:val="0027397C"/>
    <w:rsid w:val="0027613C"/>
    <w:rsid w:val="00276AB1"/>
    <w:rsid w:val="0028562B"/>
    <w:rsid w:val="00285A6D"/>
    <w:rsid w:val="00285CFC"/>
    <w:rsid w:val="00287B68"/>
    <w:rsid w:val="002900AF"/>
    <w:rsid w:val="00290DEC"/>
    <w:rsid w:val="00293650"/>
    <w:rsid w:val="00295187"/>
    <w:rsid w:val="00295D6F"/>
    <w:rsid w:val="0029668C"/>
    <w:rsid w:val="002A08B6"/>
    <w:rsid w:val="002A1E2F"/>
    <w:rsid w:val="002A6EDC"/>
    <w:rsid w:val="002A71D3"/>
    <w:rsid w:val="002B0B0A"/>
    <w:rsid w:val="002B107E"/>
    <w:rsid w:val="002B2D45"/>
    <w:rsid w:val="002B4274"/>
    <w:rsid w:val="002B551D"/>
    <w:rsid w:val="002B5B37"/>
    <w:rsid w:val="002C2CF5"/>
    <w:rsid w:val="002C4644"/>
    <w:rsid w:val="002C6992"/>
    <w:rsid w:val="002C718E"/>
    <w:rsid w:val="002D175B"/>
    <w:rsid w:val="002D19E5"/>
    <w:rsid w:val="002D2A16"/>
    <w:rsid w:val="002D59DB"/>
    <w:rsid w:val="002D7124"/>
    <w:rsid w:val="002D773F"/>
    <w:rsid w:val="002E07D9"/>
    <w:rsid w:val="002E2986"/>
    <w:rsid w:val="002E3E18"/>
    <w:rsid w:val="002E47B2"/>
    <w:rsid w:val="002E5369"/>
    <w:rsid w:val="002E59FA"/>
    <w:rsid w:val="002E707A"/>
    <w:rsid w:val="002E7240"/>
    <w:rsid w:val="002F0968"/>
    <w:rsid w:val="002F0C68"/>
    <w:rsid w:val="002F1773"/>
    <w:rsid w:val="002F2503"/>
    <w:rsid w:val="002F2AA2"/>
    <w:rsid w:val="002F56F7"/>
    <w:rsid w:val="002F6595"/>
    <w:rsid w:val="002F71D7"/>
    <w:rsid w:val="003048EB"/>
    <w:rsid w:val="003064C6"/>
    <w:rsid w:val="00306B67"/>
    <w:rsid w:val="003108FF"/>
    <w:rsid w:val="0031189E"/>
    <w:rsid w:val="00311D13"/>
    <w:rsid w:val="003129BC"/>
    <w:rsid w:val="00313C35"/>
    <w:rsid w:val="00316264"/>
    <w:rsid w:val="00317AF3"/>
    <w:rsid w:val="00320751"/>
    <w:rsid w:val="003208E7"/>
    <w:rsid w:val="00320BE0"/>
    <w:rsid w:val="00321C54"/>
    <w:rsid w:val="00321CC4"/>
    <w:rsid w:val="00324707"/>
    <w:rsid w:val="003314AE"/>
    <w:rsid w:val="00331B7E"/>
    <w:rsid w:val="00332899"/>
    <w:rsid w:val="00332CE2"/>
    <w:rsid w:val="00333547"/>
    <w:rsid w:val="00334102"/>
    <w:rsid w:val="0033452E"/>
    <w:rsid w:val="00334D1F"/>
    <w:rsid w:val="00336470"/>
    <w:rsid w:val="0033704A"/>
    <w:rsid w:val="00337897"/>
    <w:rsid w:val="00337B75"/>
    <w:rsid w:val="003413F8"/>
    <w:rsid w:val="00341753"/>
    <w:rsid w:val="003422ED"/>
    <w:rsid w:val="00342FDF"/>
    <w:rsid w:val="003447F8"/>
    <w:rsid w:val="0034499D"/>
    <w:rsid w:val="00346B84"/>
    <w:rsid w:val="003477BB"/>
    <w:rsid w:val="00352848"/>
    <w:rsid w:val="003559A3"/>
    <w:rsid w:val="00355F6A"/>
    <w:rsid w:val="00361AC4"/>
    <w:rsid w:val="00365CB6"/>
    <w:rsid w:val="00366440"/>
    <w:rsid w:val="00366ED2"/>
    <w:rsid w:val="0036718E"/>
    <w:rsid w:val="00370122"/>
    <w:rsid w:val="00371A11"/>
    <w:rsid w:val="00373B2D"/>
    <w:rsid w:val="003741B9"/>
    <w:rsid w:val="00375FF1"/>
    <w:rsid w:val="00380ED8"/>
    <w:rsid w:val="00384B57"/>
    <w:rsid w:val="00385246"/>
    <w:rsid w:val="00385787"/>
    <w:rsid w:val="00386E49"/>
    <w:rsid w:val="0039062C"/>
    <w:rsid w:val="00391101"/>
    <w:rsid w:val="00391326"/>
    <w:rsid w:val="003913FD"/>
    <w:rsid w:val="0039322E"/>
    <w:rsid w:val="00394948"/>
    <w:rsid w:val="00394C03"/>
    <w:rsid w:val="00397A33"/>
    <w:rsid w:val="003A0BA7"/>
    <w:rsid w:val="003A2C85"/>
    <w:rsid w:val="003A2E91"/>
    <w:rsid w:val="003A531C"/>
    <w:rsid w:val="003A5AC0"/>
    <w:rsid w:val="003A7A38"/>
    <w:rsid w:val="003B0201"/>
    <w:rsid w:val="003B04C6"/>
    <w:rsid w:val="003B0790"/>
    <w:rsid w:val="003B4374"/>
    <w:rsid w:val="003B4D3D"/>
    <w:rsid w:val="003B55B0"/>
    <w:rsid w:val="003B5E43"/>
    <w:rsid w:val="003B62C9"/>
    <w:rsid w:val="003B6782"/>
    <w:rsid w:val="003B6862"/>
    <w:rsid w:val="003B706C"/>
    <w:rsid w:val="003C0001"/>
    <w:rsid w:val="003C016F"/>
    <w:rsid w:val="003C08A3"/>
    <w:rsid w:val="003C1BB1"/>
    <w:rsid w:val="003C1FDE"/>
    <w:rsid w:val="003C22C7"/>
    <w:rsid w:val="003C37A6"/>
    <w:rsid w:val="003C4CE1"/>
    <w:rsid w:val="003C4FA1"/>
    <w:rsid w:val="003C53DE"/>
    <w:rsid w:val="003C5ADD"/>
    <w:rsid w:val="003D0967"/>
    <w:rsid w:val="003D13EF"/>
    <w:rsid w:val="003D219A"/>
    <w:rsid w:val="003D685E"/>
    <w:rsid w:val="003D6E3C"/>
    <w:rsid w:val="003E0245"/>
    <w:rsid w:val="003E1F9A"/>
    <w:rsid w:val="003E2680"/>
    <w:rsid w:val="003E2A77"/>
    <w:rsid w:val="003E2C27"/>
    <w:rsid w:val="003E2CCD"/>
    <w:rsid w:val="003E4FFF"/>
    <w:rsid w:val="003E5372"/>
    <w:rsid w:val="003E613E"/>
    <w:rsid w:val="003E62C5"/>
    <w:rsid w:val="003F0220"/>
    <w:rsid w:val="003F09C1"/>
    <w:rsid w:val="003F2636"/>
    <w:rsid w:val="003F2D5E"/>
    <w:rsid w:val="003F4F93"/>
    <w:rsid w:val="003F5679"/>
    <w:rsid w:val="003F71F9"/>
    <w:rsid w:val="003F760F"/>
    <w:rsid w:val="00400D74"/>
    <w:rsid w:val="00401546"/>
    <w:rsid w:val="00402787"/>
    <w:rsid w:val="0040419E"/>
    <w:rsid w:val="00404230"/>
    <w:rsid w:val="00404941"/>
    <w:rsid w:val="004049E6"/>
    <w:rsid w:val="00406BE2"/>
    <w:rsid w:val="004076BC"/>
    <w:rsid w:val="00407DDC"/>
    <w:rsid w:val="00411AB0"/>
    <w:rsid w:val="00411E81"/>
    <w:rsid w:val="00412AEF"/>
    <w:rsid w:val="004175F9"/>
    <w:rsid w:val="00421E7E"/>
    <w:rsid w:val="004253EE"/>
    <w:rsid w:val="0042555C"/>
    <w:rsid w:val="0042586B"/>
    <w:rsid w:val="004275BC"/>
    <w:rsid w:val="00430A76"/>
    <w:rsid w:val="00430F28"/>
    <w:rsid w:val="0043512A"/>
    <w:rsid w:val="00436D22"/>
    <w:rsid w:val="004374E4"/>
    <w:rsid w:val="00437B3E"/>
    <w:rsid w:val="00443162"/>
    <w:rsid w:val="004441D6"/>
    <w:rsid w:val="0045000F"/>
    <w:rsid w:val="00450166"/>
    <w:rsid w:val="004509BD"/>
    <w:rsid w:val="00450D2B"/>
    <w:rsid w:val="00450E63"/>
    <w:rsid w:val="00451757"/>
    <w:rsid w:val="00451BA9"/>
    <w:rsid w:val="004534A4"/>
    <w:rsid w:val="00454ED4"/>
    <w:rsid w:val="00455BEE"/>
    <w:rsid w:val="00456364"/>
    <w:rsid w:val="00456439"/>
    <w:rsid w:val="00456B16"/>
    <w:rsid w:val="004604FB"/>
    <w:rsid w:val="00460BB2"/>
    <w:rsid w:val="00463335"/>
    <w:rsid w:val="00471E8E"/>
    <w:rsid w:val="00471FD4"/>
    <w:rsid w:val="004721F8"/>
    <w:rsid w:val="0047304B"/>
    <w:rsid w:val="004763A5"/>
    <w:rsid w:val="00477270"/>
    <w:rsid w:val="00477ADE"/>
    <w:rsid w:val="004802B0"/>
    <w:rsid w:val="00481272"/>
    <w:rsid w:val="00481569"/>
    <w:rsid w:val="00481741"/>
    <w:rsid w:val="00482C2A"/>
    <w:rsid w:val="00483B5D"/>
    <w:rsid w:val="00483D63"/>
    <w:rsid w:val="004843C8"/>
    <w:rsid w:val="00484A5A"/>
    <w:rsid w:val="00485293"/>
    <w:rsid w:val="00486857"/>
    <w:rsid w:val="00487A7F"/>
    <w:rsid w:val="00492BF5"/>
    <w:rsid w:val="00494DE2"/>
    <w:rsid w:val="00494EF9"/>
    <w:rsid w:val="00496229"/>
    <w:rsid w:val="00496595"/>
    <w:rsid w:val="00497145"/>
    <w:rsid w:val="00497774"/>
    <w:rsid w:val="004979D8"/>
    <w:rsid w:val="00497BCF"/>
    <w:rsid w:val="004A31B8"/>
    <w:rsid w:val="004A38A4"/>
    <w:rsid w:val="004A61DF"/>
    <w:rsid w:val="004A6C6B"/>
    <w:rsid w:val="004A6E56"/>
    <w:rsid w:val="004B077E"/>
    <w:rsid w:val="004B078A"/>
    <w:rsid w:val="004B1826"/>
    <w:rsid w:val="004B4172"/>
    <w:rsid w:val="004B76FD"/>
    <w:rsid w:val="004C26A4"/>
    <w:rsid w:val="004C3431"/>
    <w:rsid w:val="004C3C32"/>
    <w:rsid w:val="004C5B5E"/>
    <w:rsid w:val="004D0ADB"/>
    <w:rsid w:val="004D2A1E"/>
    <w:rsid w:val="004E061F"/>
    <w:rsid w:val="004E0DEC"/>
    <w:rsid w:val="004E381A"/>
    <w:rsid w:val="004E39E4"/>
    <w:rsid w:val="004E3FFF"/>
    <w:rsid w:val="004E4E33"/>
    <w:rsid w:val="004E561F"/>
    <w:rsid w:val="004E767D"/>
    <w:rsid w:val="004F0A28"/>
    <w:rsid w:val="004F254C"/>
    <w:rsid w:val="004F26A5"/>
    <w:rsid w:val="004F40B5"/>
    <w:rsid w:val="004F4540"/>
    <w:rsid w:val="004F69E5"/>
    <w:rsid w:val="005006F2"/>
    <w:rsid w:val="00500D7F"/>
    <w:rsid w:val="0050301A"/>
    <w:rsid w:val="0050529C"/>
    <w:rsid w:val="005063A8"/>
    <w:rsid w:val="00507CCC"/>
    <w:rsid w:val="00510511"/>
    <w:rsid w:val="005108E3"/>
    <w:rsid w:val="00512A38"/>
    <w:rsid w:val="00514461"/>
    <w:rsid w:val="0051527F"/>
    <w:rsid w:val="0051723C"/>
    <w:rsid w:val="00520642"/>
    <w:rsid w:val="005220AB"/>
    <w:rsid w:val="0052320A"/>
    <w:rsid w:val="005248D9"/>
    <w:rsid w:val="00525ABA"/>
    <w:rsid w:val="00531918"/>
    <w:rsid w:val="00533AE2"/>
    <w:rsid w:val="00535396"/>
    <w:rsid w:val="00535BA0"/>
    <w:rsid w:val="00537EF1"/>
    <w:rsid w:val="0054060D"/>
    <w:rsid w:val="00541AB8"/>
    <w:rsid w:val="00541B15"/>
    <w:rsid w:val="0054296B"/>
    <w:rsid w:val="00543061"/>
    <w:rsid w:val="005444B9"/>
    <w:rsid w:val="00544901"/>
    <w:rsid w:val="00545A8B"/>
    <w:rsid w:val="00545AF8"/>
    <w:rsid w:val="00550959"/>
    <w:rsid w:val="005516FE"/>
    <w:rsid w:val="00551F17"/>
    <w:rsid w:val="005522C1"/>
    <w:rsid w:val="00553DB4"/>
    <w:rsid w:val="00554664"/>
    <w:rsid w:val="00555442"/>
    <w:rsid w:val="005561CE"/>
    <w:rsid w:val="00556C8F"/>
    <w:rsid w:val="00557D8C"/>
    <w:rsid w:val="0056252D"/>
    <w:rsid w:val="0056397B"/>
    <w:rsid w:val="0056700E"/>
    <w:rsid w:val="00567C3E"/>
    <w:rsid w:val="0057080E"/>
    <w:rsid w:val="00570923"/>
    <w:rsid w:val="00570B9F"/>
    <w:rsid w:val="00573DA8"/>
    <w:rsid w:val="005753AB"/>
    <w:rsid w:val="00576174"/>
    <w:rsid w:val="005766C2"/>
    <w:rsid w:val="00580564"/>
    <w:rsid w:val="0058188E"/>
    <w:rsid w:val="0058335C"/>
    <w:rsid w:val="005843F6"/>
    <w:rsid w:val="0058507D"/>
    <w:rsid w:val="00586E8C"/>
    <w:rsid w:val="00586F1A"/>
    <w:rsid w:val="00587C3E"/>
    <w:rsid w:val="0059252C"/>
    <w:rsid w:val="00593343"/>
    <w:rsid w:val="005955E8"/>
    <w:rsid w:val="00595767"/>
    <w:rsid w:val="00595CE5"/>
    <w:rsid w:val="00597536"/>
    <w:rsid w:val="00597E1A"/>
    <w:rsid w:val="005A01EA"/>
    <w:rsid w:val="005A0424"/>
    <w:rsid w:val="005A28DE"/>
    <w:rsid w:val="005A345A"/>
    <w:rsid w:val="005A44CC"/>
    <w:rsid w:val="005A581D"/>
    <w:rsid w:val="005A5829"/>
    <w:rsid w:val="005A6337"/>
    <w:rsid w:val="005A64E9"/>
    <w:rsid w:val="005A78C3"/>
    <w:rsid w:val="005B2589"/>
    <w:rsid w:val="005B2D92"/>
    <w:rsid w:val="005B44F1"/>
    <w:rsid w:val="005C1138"/>
    <w:rsid w:val="005C1721"/>
    <w:rsid w:val="005C18E0"/>
    <w:rsid w:val="005C3DE2"/>
    <w:rsid w:val="005C422D"/>
    <w:rsid w:val="005C68FC"/>
    <w:rsid w:val="005D3690"/>
    <w:rsid w:val="005D3861"/>
    <w:rsid w:val="005D395D"/>
    <w:rsid w:val="005D3EA6"/>
    <w:rsid w:val="005D488C"/>
    <w:rsid w:val="005D4CF2"/>
    <w:rsid w:val="005D5059"/>
    <w:rsid w:val="005D5670"/>
    <w:rsid w:val="005D6697"/>
    <w:rsid w:val="005D7FB0"/>
    <w:rsid w:val="005E07B3"/>
    <w:rsid w:val="005E17F9"/>
    <w:rsid w:val="005E2756"/>
    <w:rsid w:val="005E35C3"/>
    <w:rsid w:val="005E36E1"/>
    <w:rsid w:val="005E4451"/>
    <w:rsid w:val="005E54C9"/>
    <w:rsid w:val="005E55D1"/>
    <w:rsid w:val="005E581E"/>
    <w:rsid w:val="005E6896"/>
    <w:rsid w:val="005F0345"/>
    <w:rsid w:val="005F3525"/>
    <w:rsid w:val="005F3DAF"/>
    <w:rsid w:val="005F421A"/>
    <w:rsid w:val="005F6C1E"/>
    <w:rsid w:val="00600EDD"/>
    <w:rsid w:val="006078FB"/>
    <w:rsid w:val="00610220"/>
    <w:rsid w:val="006104CF"/>
    <w:rsid w:val="006111E2"/>
    <w:rsid w:val="006122EB"/>
    <w:rsid w:val="00612F85"/>
    <w:rsid w:val="00613045"/>
    <w:rsid w:val="006162B3"/>
    <w:rsid w:val="00616CEB"/>
    <w:rsid w:val="00617FA1"/>
    <w:rsid w:val="00624BD4"/>
    <w:rsid w:val="0062521B"/>
    <w:rsid w:val="0062566D"/>
    <w:rsid w:val="00626A77"/>
    <w:rsid w:val="00627DBD"/>
    <w:rsid w:val="00631C53"/>
    <w:rsid w:val="00634122"/>
    <w:rsid w:val="00635911"/>
    <w:rsid w:val="00635BAF"/>
    <w:rsid w:val="00636BFB"/>
    <w:rsid w:val="00640557"/>
    <w:rsid w:val="0064112C"/>
    <w:rsid w:val="006430E0"/>
    <w:rsid w:val="00644AD5"/>
    <w:rsid w:val="006461BB"/>
    <w:rsid w:val="00646948"/>
    <w:rsid w:val="00647011"/>
    <w:rsid w:val="00653192"/>
    <w:rsid w:val="00653442"/>
    <w:rsid w:val="00654BE4"/>
    <w:rsid w:val="00656012"/>
    <w:rsid w:val="00656302"/>
    <w:rsid w:val="00657386"/>
    <w:rsid w:val="0065771E"/>
    <w:rsid w:val="00660EE5"/>
    <w:rsid w:val="00661088"/>
    <w:rsid w:val="0066173C"/>
    <w:rsid w:val="00661C2A"/>
    <w:rsid w:val="006627A0"/>
    <w:rsid w:val="006630E0"/>
    <w:rsid w:val="006643FE"/>
    <w:rsid w:val="00664A59"/>
    <w:rsid w:val="00664E5B"/>
    <w:rsid w:val="006668DA"/>
    <w:rsid w:val="00666919"/>
    <w:rsid w:val="00672E7C"/>
    <w:rsid w:val="00675D60"/>
    <w:rsid w:val="00677549"/>
    <w:rsid w:val="00677CDB"/>
    <w:rsid w:val="00687887"/>
    <w:rsid w:val="0069125A"/>
    <w:rsid w:val="00692023"/>
    <w:rsid w:val="00692AB4"/>
    <w:rsid w:val="0069414A"/>
    <w:rsid w:val="006A4814"/>
    <w:rsid w:val="006A7918"/>
    <w:rsid w:val="006A7CD1"/>
    <w:rsid w:val="006B037A"/>
    <w:rsid w:val="006B06BF"/>
    <w:rsid w:val="006B1391"/>
    <w:rsid w:val="006B1C92"/>
    <w:rsid w:val="006B6285"/>
    <w:rsid w:val="006B6510"/>
    <w:rsid w:val="006B680C"/>
    <w:rsid w:val="006C1FFA"/>
    <w:rsid w:val="006C29EA"/>
    <w:rsid w:val="006C2FCA"/>
    <w:rsid w:val="006C4812"/>
    <w:rsid w:val="006C56E5"/>
    <w:rsid w:val="006C607F"/>
    <w:rsid w:val="006C7429"/>
    <w:rsid w:val="006D0A0A"/>
    <w:rsid w:val="006D21C5"/>
    <w:rsid w:val="006D49B3"/>
    <w:rsid w:val="006D5A83"/>
    <w:rsid w:val="006D68A2"/>
    <w:rsid w:val="006E1CA8"/>
    <w:rsid w:val="006E6054"/>
    <w:rsid w:val="006E6B33"/>
    <w:rsid w:val="006E7F4F"/>
    <w:rsid w:val="006F009A"/>
    <w:rsid w:val="006F1673"/>
    <w:rsid w:val="006F6D29"/>
    <w:rsid w:val="006F7496"/>
    <w:rsid w:val="00700ECB"/>
    <w:rsid w:val="00702099"/>
    <w:rsid w:val="00704758"/>
    <w:rsid w:val="007109F4"/>
    <w:rsid w:val="00713B6F"/>
    <w:rsid w:val="00713C77"/>
    <w:rsid w:val="007144B1"/>
    <w:rsid w:val="00714A9C"/>
    <w:rsid w:val="00715439"/>
    <w:rsid w:val="00716B09"/>
    <w:rsid w:val="00721531"/>
    <w:rsid w:val="00721E35"/>
    <w:rsid w:val="00721FD6"/>
    <w:rsid w:val="00722A85"/>
    <w:rsid w:val="007254D8"/>
    <w:rsid w:val="007271A3"/>
    <w:rsid w:val="0072720E"/>
    <w:rsid w:val="00735190"/>
    <w:rsid w:val="00735583"/>
    <w:rsid w:val="00735B88"/>
    <w:rsid w:val="007379E1"/>
    <w:rsid w:val="00741302"/>
    <w:rsid w:val="00742C58"/>
    <w:rsid w:val="00743FAE"/>
    <w:rsid w:val="00744805"/>
    <w:rsid w:val="00746A06"/>
    <w:rsid w:val="0074739D"/>
    <w:rsid w:val="00747685"/>
    <w:rsid w:val="00747CA7"/>
    <w:rsid w:val="007509AD"/>
    <w:rsid w:val="00751284"/>
    <w:rsid w:val="007517A1"/>
    <w:rsid w:val="00752A31"/>
    <w:rsid w:val="007535F6"/>
    <w:rsid w:val="00754D91"/>
    <w:rsid w:val="00756824"/>
    <w:rsid w:val="00756C44"/>
    <w:rsid w:val="007637C5"/>
    <w:rsid w:val="00764DC9"/>
    <w:rsid w:val="0076512C"/>
    <w:rsid w:val="00765DBA"/>
    <w:rsid w:val="00766496"/>
    <w:rsid w:val="00766539"/>
    <w:rsid w:val="007743E8"/>
    <w:rsid w:val="00774629"/>
    <w:rsid w:val="00775A95"/>
    <w:rsid w:val="007774FE"/>
    <w:rsid w:val="0078282A"/>
    <w:rsid w:val="007852F2"/>
    <w:rsid w:val="007871D5"/>
    <w:rsid w:val="00790515"/>
    <w:rsid w:val="00790CBC"/>
    <w:rsid w:val="00790EC3"/>
    <w:rsid w:val="00791740"/>
    <w:rsid w:val="0079178C"/>
    <w:rsid w:val="00792643"/>
    <w:rsid w:val="00794290"/>
    <w:rsid w:val="00794AED"/>
    <w:rsid w:val="00795B92"/>
    <w:rsid w:val="00797DD5"/>
    <w:rsid w:val="007A03C8"/>
    <w:rsid w:val="007A33A6"/>
    <w:rsid w:val="007A636B"/>
    <w:rsid w:val="007A6E0B"/>
    <w:rsid w:val="007B01C7"/>
    <w:rsid w:val="007B0453"/>
    <w:rsid w:val="007B0BC7"/>
    <w:rsid w:val="007B0D55"/>
    <w:rsid w:val="007B24E2"/>
    <w:rsid w:val="007B2A87"/>
    <w:rsid w:val="007B5C03"/>
    <w:rsid w:val="007B6B65"/>
    <w:rsid w:val="007C1F6E"/>
    <w:rsid w:val="007C6A2B"/>
    <w:rsid w:val="007C7D66"/>
    <w:rsid w:val="007D2B6F"/>
    <w:rsid w:val="007D5A75"/>
    <w:rsid w:val="007D5E01"/>
    <w:rsid w:val="007E0D20"/>
    <w:rsid w:val="007E1C72"/>
    <w:rsid w:val="007E260E"/>
    <w:rsid w:val="007E26F1"/>
    <w:rsid w:val="007E5BBC"/>
    <w:rsid w:val="007E6B2D"/>
    <w:rsid w:val="007E762A"/>
    <w:rsid w:val="007F17C4"/>
    <w:rsid w:val="007F4C3F"/>
    <w:rsid w:val="007F5BBF"/>
    <w:rsid w:val="00803189"/>
    <w:rsid w:val="00804769"/>
    <w:rsid w:val="00806FA9"/>
    <w:rsid w:val="00813D39"/>
    <w:rsid w:val="0081475A"/>
    <w:rsid w:val="00815C67"/>
    <w:rsid w:val="00821410"/>
    <w:rsid w:val="00821BF0"/>
    <w:rsid w:val="00824455"/>
    <w:rsid w:val="0082513A"/>
    <w:rsid w:val="0082691A"/>
    <w:rsid w:val="00827867"/>
    <w:rsid w:val="00831A89"/>
    <w:rsid w:val="00831A98"/>
    <w:rsid w:val="00832CEC"/>
    <w:rsid w:val="0083350A"/>
    <w:rsid w:val="008349D8"/>
    <w:rsid w:val="008370AE"/>
    <w:rsid w:val="00840A8E"/>
    <w:rsid w:val="00841C86"/>
    <w:rsid w:val="008445CC"/>
    <w:rsid w:val="008456C3"/>
    <w:rsid w:val="008462A2"/>
    <w:rsid w:val="00846314"/>
    <w:rsid w:val="008469D0"/>
    <w:rsid w:val="00846AE7"/>
    <w:rsid w:val="008472AA"/>
    <w:rsid w:val="00847E37"/>
    <w:rsid w:val="008504F5"/>
    <w:rsid w:val="008516D1"/>
    <w:rsid w:val="00851803"/>
    <w:rsid w:val="00852969"/>
    <w:rsid w:val="00852E46"/>
    <w:rsid w:val="008532CC"/>
    <w:rsid w:val="00853C2A"/>
    <w:rsid w:val="00855AB0"/>
    <w:rsid w:val="008564AB"/>
    <w:rsid w:val="0086083E"/>
    <w:rsid w:val="008618BF"/>
    <w:rsid w:val="008620B7"/>
    <w:rsid w:val="00862781"/>
    <w:rsid w:val="00862B4F"/>
    <w:rsid w:val="008636A4"/>
    <w:rsid w:val="00863AA2"/>
    <w:rsid w:val="00864673"/>
    <w:rsid w:val="008648A9"/>
    <w:rsid w:val="00866DC4"/>
    <w:rsid w:val="00867DD5"/>
    <w:rsid w:val="00870263"/>
    <w:rsid w:val="00870822"/>
    <w:rsid w:val="00870E3E"/>
    <w:rsid w:val="00871823"/>
    <w:rsid w:val="008728F9"/>
    <w:rsid w:val="008729A4"/>
    <w:rsid w:val="00872EB4"/>
    <w:rsid w:val="0087342B"/>
    <w:rsid w:val="00873FC9"/>
    <w:rsid w:val="00874B78"/>
    <w:rsid w:val="008768A4"/>
    <w:rsid w:val="008769BB"/>
    <w:rsid w:val="008844F1"/>
    <w:rsid w:val="00884552"/>
    <w:rsid w:val="0088461B"/>
    <w:rsid w:val="008850B7"/>
    <w:rsid w:val="008858C7"/>
    <w:rsid w:val="00892A5D"/>
    <w:rsid w:val="00893ACF"/>
    <w:rsid w:val="00896E9B"/>
    <w:rsid w:val="008A2DD0"/>
    <w:rsid w:val="008A52FB"/>
    <w:rsid w:val="008A775B"/>
    <w:rsid w:val="008A7D0C"/>
    <w:rsid w:val="008B13E7"/>
    <w:rsid w:val="008B2331"/>
    <w:rsid w:val="008B4030"/>
    <w:rsid w:val="008B4701"/>
    <w:rsid w:val="008B5A3F"/>
    <w:rsid w:val="008B5C45"/>
    <w:rsid w:val="008B6836"/>
    <w:rsid w:val="008C0B64"/>
    <w:rsid w:val="008C214E"/>
    <w:rsid w:val="008C2C8E"/>
    <w:rsid w:val="008C3D69"/>
    <w:rsid w:val="008C524B"/>
    <w:rsid w:val="008C736C"/>
    <w:rsid w:val="008D020B"/>
    <w:rsid w:val="008D0878"/>
    <w:rsid w:val="008D0C60"/>
    <w:rsid w:val="008D1AEA"/>
    <w:rsid w:val="008D2324"/>
    <w:rsid w:val="008D28D7"/>
    <w:rsid w:val="008D3482"/>
    <w:rsid w:val="008D5630"/>
    <w:rsid w:val="008E0A6D"/>
    <w:rsid w:val="008E1302"/>
    <w:rsid w:val="008E187A"/>
    <w:rsid w:val="008E1E86"/>
    <w:rsid w:val="008E3141"/>
    <w:rsid w:val="008E5FE5"/>
    <w:rsid w:val="008E7BD6"/>
    <w:rsid w:val="008F033B"/>
    <w:rsid w:val="008F0F78"/>
    <w:rsid w:val="008F1BF5"/>
    <w:rsid w:val="008F1CA1"/>
    <w:rsid w:val="008F70C0"/>
    <w:rsid w:val="00901185"/>
    <w:rsid w:val="009019DC"/>
    <w:rsid w:val="00905E67"/>
    <w:rsid w:val="009062A9"/>
    <w:rsid w:val="00906C19"/>
    <w:rsid w:val="00906E7C"/>
    <w:rsid w:val="009079C3"/>
    <w:rsid w:val="00911216"/>
    <w:rsid w:val="00911CA6"/>
    <w:rsid w:val="00912006"/>
    <w:rsid w:val="009121E5"/>
    <w:rsid w:val="00912F61"/>
    <w:rsid w:val="009131F3"/>
    <w:rsid w:val="00915870"/>
    <w:rsid w:val="0091672A"/>
    <w:rsid w:val="00920AAC"/>
    <w:rsid w:val="0092443D"/>
    <w:rsid w:val="0092515C"/>
    <w:rsid w:val="009262E9"/>
    <w:rsid w:val="009272B7"/>
    <w:rsid w:val="0092767F"/>
    <w:rsid w:val="00930E9D"/>
    <w:rsid w:val="00931484"/>
    <w:rsid w:val="00933873"/>
    <w:rsid w:val="00934059"/>
    <w:rsid w:val="009349E5"/>
    <w:rsid w:val="0093520B"/>
    <w:rsid w:val="00936BFE"/>
    <w:rsid w:val="009377C1"/>
    <w:rsid w:val="0094044D"/>
    <w:rsid w:val="00941B62"/>
    <w:rsid w:val="00943CD3"/>
    <w:rsid w:val="009462A5"/>
    <w:rsid w:val="009533AB"/>
    <w:rsid w:val="009571BC"/>
    <w:rsid w:val="0096026A"/>
    <w:rsid w:val="00960A5C"/>
    <w:rsid w:val="00962080"/>
    <w:rsid w:val="009622D8"/>
    <w:rsid w:val="00963616"/>
    <w:rsid w:val="00965807"/>
    <w:rsid w:val="009667C3"/>
    <w:rsid w:val="009676A5"/>
    <w:rsid w:val="00970071"/>
    <w:rsid w:val="009702F3"/>
    <w:rsid w:val="00971375"/>
    <w:rsid w:val="009728C9"/>
    <w:rsid w:val="00974519"/>
    <w:rsid w:val="00974ADC"/>
    <w:rsid w:val="00975580"/>
    <w:rsid w:val="009757B8"/>
    <w:rsid w:val="00975A9E"/>
    <w:rsid w:val="009803D2"/>
    <w:rsid w:val="00981885"/>
    <w:rsid w:val="00983586"/>
    <w:rsid w:val="00985367"/>
    <w:rsid w:val="00985D47"/>
    <w:rsid w:val="00986F52"/>
    <w:rsid w:val="009960EB"/>
    <w:rsid w:val="00996411"/>
    <w:rsid w:val="00997758"/>
    <w:rsid w:val="009A16C3"/>
    <w:rsid w:val="009A1798"/>
    <w:rsid w:val="009A19F9"/>
    <w:rsid w:val="009A2BC3"/>
    <w:rsid w:val="009A2DDA"/>
    <w:rsid w:val="009A50E6"/>
    <w:rsid w:val="009A533C"/>
    <w:rsid w:val="009A59F3"/>
    <w:rsid w:val="009A7DC7"/>
    <w:rsid w:val="009B1297"/>
    <w:rsid w:val="009B2BB6"/>
    <w:rsid w:val="009B4BE3"/>
    <w:rsid w:val="009B6E93"/>
    <w:rsid w:val="009C0657"/>
    <w:rsid w:val="009C1736"/>
    <w:rsid w:val="009C1E06"/>
    <w:rsid w:val="009C3DE8"/>
    <w:rsid w:val="009C5885"/>
    <w:rsid w:val="009C7AC8"/>
    <w:rsid w:val="009D2E71"/>
    <w:rsid w:val="009D6173"/>
    <w:rsid w:val="009D677E"/>
    <w:rsid w:val="009E09EB"/>
    <w:rsid w:val="009E33CB"/>
    <w:rsid w:val="009E3E4D"/>
    <w:rsid w:val="009E4086"/>
    <w:rsid w:val="009E4D6D"/>
    <w:rsid w:val="009E4ED0"/>
    <w:rsid w:val="009E5CCE"/>
    <w:rsid w:val="009E601B"/>
    <w:rsid w:val="009F01C3"/>
    <w:rsid w:val="009F1C25"/>
    <w:rsid w:val="009F4BDD"/>
    <w:rsid w:val="009F6609"/>
    <w:rsid w:val="009F6853"/>
    <w:rsid w:val="009F736F"/>
    <w:rsid w:val="00A00040"/>
    <w:rsid w:val="00A031B0"/>
    <w:rsid w:val="00A03519"/>
    <w:rsid w:val="00A07DD6"/>
    <w:rsid w:val="00A10349"/>
    <w:rsid w:val="00A10A70"/>
    <w:rsid w:val="00A110F1"/>
    <w:rsid w:val="00A14FE3"/>
    <w:rsid w:val="00A172FD"/>
    <w:rsid w:val="00A17A51"/>
    <w:rsid w:val="00A17AD0"/>
    <w:rsid w:val="00A216A7"/>
    <w:rsid w:val="00A22817"/>
    <w:rsid w:val="00A2408C"/>
    <w:rsid w:val="00A24907"/>
    <w:rsid w:val="00A27ED9"/>
    <w:rsid w:val="00A30732"/>
    <w:rsid w:val="00A3104E"/>
    <w:rsid w:val="00A32092"/>
    <w:rsid w:val="00A33FA8"/>
    <w:rsid w:val="00A341B7"/>
    <w:rsid w:val="00A36EBE"/>
    <w:rsid w:val="00A40461"/>
    <w:rsid w:val="00A4075B"/>
    <w:rsid w:val="00A41174"/>
    <w:rsid w:val="00A428EF"/>
    <w:rsid w:val="00A4316F"/>
    <w:rsid w:val="00A4426F"/>
    <w:rsid w:val="00A448B0"/>
    <w:rsid w:val="00A4491A"/>
    <w:rsid w:val="00A45B4B"/>
    <w:rsid w:val="00A4679F"/>
    <w:rsid w:val="00A4714A"/>
    <w:rsid w:val="00A50F2A"/>
    <w:rsid w:val="00A50F36"/>
    <w:rsid w:val="00A524A5"/>
    <w:rsid w:val="00A524DE"/>
    <w:rsid w:val="00A5262D"/>
    <w:rsid w:val="00A56003"/>
    <w:rsid w:val="00A619B5"/>
    <w:rsid w:val="00A646F1"/>
    <w:rsid w:val="00A67DC5"/>
    <w:rsid w:val="00A70984"/>
    <w:rsid w:val="00A71082"/>
    <w:rsid w:val="00A73464"/>
    <w:rsid w:val="00A77CCE"/>
    <w:rsid w:val="00A77ED4"/>
    <w:rsid w:val="00A805B8"/>
    <w:rsid w:val="00A810B1"/>
    <w:rsid w:val="00A830B1"/>
    <w:rsid w:val="00A84E18"/>
    <w:rsid w:val="00A85501"/>
    <w:rsid w:val="00A857F5"/>
    <w:rsid w:val="00A869F2"/>
    <w:rsid w:val="00A86A21"/>
    <w:rsid w:val="00A9001C"/>
    <w:rsid w:val="00A914DE"/>
    <w:rsid w:val="00A95B0B"/>
    <w:rsid w:val="00A96104"/>
    <w:rsid w:val="00A96FFC"/>
    <w:rsid w:val="00A975DC"/>
    <w:rsid w:val="00A9781C"/>
    <w:rsid w:val="00A97D31"/>
    <w:rsid w:val="00AA0421"/>
    <w:rsid w:val="00AA15A4"/>
    <w:rsid w:val="00AA26B7"/>
    <w:rsid w:val="00AA27E1"/>
    <w:rsid w:val="00AA2923"/>
    <w:rsid w:val="00AA4991"/>
    <w:rsid w:val="00AA5E69"/>
    <w:rsid w:val="00AA7135"/>
    <w:rsid w:val="00AB18EE"/>
    <w:rsid w:val="00AB23E5"/>
    <w:rsid w:val="00AB2959"/>
    <w:rsid w:val="00AB2B8C"/>
    <w:rsid w:val="00AB4281"/>
    <w:rsid w:val="00AB4D65"/>
    <w:rsid w:val="00AB64E0"/>
    <w:rsid w:val="00AB6725"/>
    <w:rsid w:val="00AB71C1"/>
    <w:rsid w:val="00AB7A03"/>
    <w:rsid w:val="00AC187B"/>
    <w:rsid w:val="00AC47E5"/>
    <w:rsid w:val="00AD0240"/>
    <w:rsid w:val="00AD1225"/>
    <w:rsid w:val="00AD2534"/>
    <w:rsid w:val="00AD25E7"/>
    <w:rsid w:val="00AD6287"/>
    <w:rsid w:val="00AD7159"/>
    <w:rsid w:val="00AD748A"/>
    <w:rsid w:val="00AE0033"/>
    <w:rsid w:val="00AE05DB"/>
    <w:rsid w:val="00AE1209"/>
    <w:rsid w:val="00AE3874"/>
    <w:rsid w:val="00AE48D8"/>
    <w:rsid w:val="00AE6248"/>
    <w:rsid w:val="00AE7007"/>
    <w:rsid w:val="00AE7C8F"/>
    <w:rsid w:val="00AE7D5B"/>
    <w:rsid w:val="00AF19D1"/>
    <w:rsid w:val="00AF1BC4"/>
    <w:rsid w:val="00AF206E"/>
    <w:rsid w:val="00AF2AF2"/>
    <w:rsid w:val="00AF43AB"/>
    <w:rsid w:val="00AF4907"/>
    <w:rsid w:val="00AF7012"/>
    <w:rsid w:val="00B00D10"/>
    <w:rsid w:val="00B01722"/>
    <w:rsid w:val="00B01ECF"/>
    <w:rsid w:val="00B032FC"/>
    <w:rsid w:val="00B05624"/>
    <w:rsid w:val="00B05E7F"/>
    <w:rsid w:val="00B061FD"/>
    <w:rsid w:val="00B072B8"/>
    <w:rsid w:val="00B12F7C"/>
    <w:rsid w:val="00B14F1F"/>
    <w:rsid w:val="00B17AC0"/>
    <w:rsid w:val="00B2091B"/>
    <w:rsid w:val="00B21226"/>
    <w:rsid w:val="00B256E6"/>
    <w:rsid w:val="00B26D1E"/>
    <w:rsid w:val="00B27950"/>
    <w:rsid w:val="00B30395"/>
    <w:rsid w:val="00B32ABB"/>
    <w:rsid w:val="00B32E1C"/>
    <w:rsid w:val="00B33BFC"/>
    <w:rsid w:val="00B37588"/>
    <w:rsid w:val="00B40A00"/>
    <w:rsid w:val="00B4311A"/>
    <w:rsid w:val="00B43813"/>
    <w:rsid w:val="00B44E0F"/>
    <w:rsid w:val="00B44E2B"/>
    <w:rsid w:val="00B46233"/>
    <w:rsid w:val="00B53917"/>
    <w:rsid w:val="00B53B45"/>
    <w:rsid w:val="00B53CB2"/>
    <w:rsid w:val="00B574D0"/>
    <w:rsid w:val="00B57588"/>
    <w:rsid w:val="00B57AA8"/>
    <w:rsid w:val="00B60F64"/>
    <w:rsid w:val="00B618FA"/>
    <w:rsid w:val="00B61C02"/>
    <w:rsid w:val="00B63E62"/>
    <w:rsid w:val="00B641B2"/>
    <w:rsid w:val="00B64D2B"/>
    <w:rsid w:val="00B70729"/>
    <w:rsid w:val="00B71A82"/>
    <w:rsid w:val="00B72DB2"/>
    <w:rsid w:val="00B73273"/>
    <w:rsid w:val="00B74341"/>
    <w:rsid w:val="00B76427"/>
    <w:rsid w:val="00B778ED"/>
    <w:rsid w:val="00B80F62"/>
    <w:rsid w:val="00B81B00"/>
    <w:rsid w:val="00B84753"/>
    <w:rsid w:val="00B85B17"/>
    <w:rsid w:val="00B90A24"/>
    <w:rsid w:val="00B91D84"/>
    <w:rsid w:val="00B92898"/>
    <w:rsid w:val="00B931D5"/>
    <w:rsid w:val="00B93B7E"/>
    <w:rsid w:val="00B94DC8"/>
    <w:rsid w:val="00B94F1D"/>
    <w:rsid w:val="00B94FBD"/>
    <w:rsid w:val="00BA161C"/>
    <w:rsid w:val="00BA173E"/>
    <w:rsid w:val="00BA355E"/>
    <w:rsid w:val="00BA40A0"/>
    <w:rsid w:val="00BA4B5A"/>
    <w:rsid w:val="00BA5A41"/>
    <w:rsid w:val="00BA70C1"/>
    <w:rsid w:val="00BA73F9"/>
    <w:rsid w:val="00BA7B7A"/>
    <w:rsid w:val="00BB3522"/>
    <w:rsid w:val="00BB4B88"/>
    <w:rsid w:val="00BB50D0"/>
    <w:rsid w:val="00BB6D37"/>
    <w:rsid w:val="00BC28A6"/>
    <w:rsid w:val="00BC3922"/>
    <w:rsid w:val="00BC3A09"/>
    <w:rsid w:val="00BC3D90"/>
    <w:rsid w:val="00BD02C4"/>
    <w:rsid w:val="00BD056C"/>
    <w:rsid w:val="00BD0818"/>
    <w:rsid w:val="00BD17E2"/>
    <w:rsid w:val="00BD270B"/>
    <w:rsid w:val="00BD4B56"/>
    <w:rsid w:val="00BD577E"/>
    <w:rsid w:val="00BD7048"/>
    <w:rsid w:val="00BE0B51"/>
    <w:rsid w:val="00BE0C08"/>
    <w:rsid w:val="00BE18B4"/>
    <w:rsid w:val="00BE203F"/>
    <w:rsid w:val="00BE698E"/>
    <w:rsid w:val="00BF19A0"/>
    <w:rsid w:val="00BF208E"/>
    <w:rsid w:val="00BF3072"/>
    <w:rsid w:val="00BF4030"/>
    <w:rsid w:val="00BF41F5"/>
    <w:rsid w:val="00BF54F4"/>
    <w:rsid w:val="00BF57DE"/>
    <w:rsid w:val="00C02A84"/>
    <w:rsid w:val="00C02DBE"/>
    <w:rsid w:val="00C02EAF"/>
    <w:rsid w:val="00C03295"/>
    <w:rsid w:val="00C035A5"/>
    <w:rsid w:val="00C05982"/>
    <w:rsid w:val="00C0673F"/>
    <w:rsid w:val="00C10F83"/>
    <w:rsid w:val="00C13EEC"/>
    <w:rsid w:val="00C148CE"/>
    <w:rsid w:val="00C16468"/>
    <w:rsid w:val="00C17904"/>
    <w:rsid w:val="00C21783"/>
    <w:rsid w:val="00C21903"/>
    <w:rsid w:val="00C23BCB"/>
    <w:rsid w:val="00C23CE8"/>
    <w:rsid w:val="00C24640"/>
    <w:rsid w:val="00C263FE"/>
    <w:rsid w:val="00C265CD"/>
    <w:rsid w:val="00C278EC"/>
    <w:rsid w:val="00C3102C"/>
    <w:rsid w:val="00C32B6B"/>
    <w:rsid w:val="00C33CAA"/>
    <w:rsid w:val="00C3427F"/>
    <w:rsid w:val="00C342B4"/>
    <w:rsid w:val="00C34507"/>
    <w:rsid w:val="00C34C1B"/>
    <w:rsid w:val="00C35F70"/>
    <w:rsid w:val="00C362BD"/>
    <w:rsid w:val="00C36F9E"/>
    <w:rsid w:val="00C402C0"/>
    <w:rsid w:val="00C42208"/>
    <w:rsid w:val="00C5272C"/>
    <w:rsid w:val="00C52B6D"/>
    <w:rsid w:val="00C52E94"/>
    <w:rsid w:val="00C54343"/>
    <w:rsid w:val="00C54A92"/>
    <w:rsid w:val="00C552C0"/>
    <w:rsid w:val="00C55913"/>
    <w:rsid w:val="00C57A08"/>
    <w:rsid w:val="00C6359A"/>
    <w:rsid w:val="00C66483"/>
    <w:rsid w:val="00C677B3"/>
    <w:rsid w:val="00C67C19"/>
    <w:rsid w:val="00C704B6"/>
    <w:rsid w:val="00C706A1"/>
    <w:rsid w:val="00C71B3D"/>
    <w:rsid w:val="00C73EA3"/>
    <w:rsid w:val="00C810D3"/>
    <w:rsid w:val="00C8490B"/>
    <w:rsid w:val="00C925E3"/>
    <w:rsid w:val="00C93B80"/>
    <w:rsid w:val="00C96B5F"/>
    <w:rsid w:val="00C97842"/>
    <w:rsid w:val="00CA2691"/>
    <w:rsid w:val="00CA546A"/>
    <w:rsid w:val="00CA5935"/>
    <w:rsid w:val="00CA6CC8"/>
    <w:rsid w:val="00CA7B46"/>
    <w:rsid w:val="00CB14B3"/>
    <w:rsid w:val="00CB28DE"/>
    <w:rsid w:val="00CB60BF"/>
    <w:rsid w:val="00CB66DF"/>
    <w:rsid w:val="00CB70E2"/>
    <w:rsid w:val="00CB7138"/>
    <w:rsid w:val="00CB7C7B"/>
    <w:rsid w:val="00CC03C2"/>
    <w:rsid w:val="00CC0494"/>
    <w:rsid w:val="00CC5D2D"/>
    <w:rsid w:val="00CC5D76"/>
    <w:rsid w:val="00CC685A"/>
    <w:rsid w:val="00CC798E"/>
    <w:rsid w:val="00CD1215"/>
    <w:rsid w:val="00CD16F8"/>
    <w:rsid w:val="00CD285B"/>
    <w:rsid w:val="00CD290B"/>
    <w:rsid w:val="00CD2CA7"/>
    <w:rsid w:val="00CD4C54"/>
    <w:rsid w:val="00CD644B"/>
    <w:rsid w:val="00CD7755"/>
    <w:rsid w:val="00CE2059"/>
    <w:rsid w:val="00CE325B"/>
    <w:rsid w:val="00CE3442"/>
    <w:rsid w:val="00CE4C8E"/>
    <w:rsid w:val="00CE5B8A"/>
    <w:rsid w:val="00CE662B"/>
    <w:rsid w:val="00CE7B12"/>
    <w:rsid w:val="00CF001F"/>
    <w:rsid w:val="00CF376F"/>
    <w:rsid w:val="00CF47A1"/>
    <w:rsid w:val="00CF61FA"/>
    <w:rsid w:val="00CF6DA1"/>
    <w:rsid w:val="00D01108"/>
    <w:rsid w:val="00D01B68"/>
    <w:rsid w:val="00D01EFC"/>
    <w:rsid w:val="00D02C3C"/>
    <w:rsid w:val="00D03B9F"/>
    <w:rsid w:val="00D0504D"/>
    <w:rsid w:val="00D0747D"/>
    <w:rsid w:val="00D07C9B"/>
    <w:rsid w:val="00D115E0"/>
    <w:rsid w:val="00D116F4"/>
    <w:rsid w:val="00D11819"/>
    <w:rsid w:val="00D134D5"/>
    <w:rsid w:val="00D14F49"/>
    <w:rsid w:val="00D152BB"/>
    <w:rsid w:val="00D16E16"/>
    <w:rsid w:val="00D170C7"/>
    <w:rsid w:val="00D1799A"/>
    <w:rsid w:val="00D203C9"/>
    <w:rsid w:val="00D2151F"/>
    <w:rsid w:val="00D236BA"/>
    <w:rsid w:val="00D238C7"/>
    <w:rsid w:val="00D24040"/>
    <w:rsid w:val="00D26582"/>
    <w:rsid w:val="00D26594"/>
    <w:rsid w:val="00D26645"/>
    <w:rsid w:val="00D30623"/>
    <w:rsid w:val="00D3498F"/>
    <w:rsid w:val="00D35457"/>
    <w:rsid w:val="00D42337"/>
    <w:rsid w:val="00D435EC"/>
    <w:rsid w:val="00D43617"/>
    <w:rsid w:val="00D43D47"/>
    <w:rsid w:val="00D45211"/>
    <w:rsid w:val="00D4782F"/>
    <w:rsid w:val="00D5054B"/>
    <w:rsid w:val="00D5107F"/>
    <w:rsid w:val="00D51EEA"/>
    <w:rsid w:val="00D52AE5"/>
    <w:rsid w:val="00D54F0F"/>
    <w:rsid w:val="00D55528"/>
    <w:rsid w:val="00D55F6E"/>
    <w:rsid w:val="00D56935"/>
    <w:rsid w:val="00D57A2C"/>
    <w:rsid w:val="00D60892"/>
    <w:rsid w:val="00D6371B"/>
    <w:rsid w:val="00D64B0D"/>
    <w:rsid w:val="00D65289"/>
    <w:rsid w:val="00D7215D"/>
    <w:rsid w:val="00D72AD6"/>
    <w:rsid w:val="00D72D01"/>
    <w:rsid w:val="00D73F3B"/>
    <w:rsid w:val="00D758F3"/>
    <w:rsid w:val="00D805D3"/>
    <w:rsid w:val="00D80C27"/>
    <w:rsid w:val="00D81263"/>
    <w:rsid w:val="00D82AFF"/>
    <w:rsid w:val="00D84508"/>
    <w:rsid w:val="00D85385"/>
    <w:rsid w:val="00D853AF"/>
    <w:rsid w:val="00D86BF8"/>
    <w:rsid w:val="00D90E51"/>
    <w:rsid w:val="00D92045"/>
    <w:rsid w:val="00D929BC"/>
    <w:rsid w:val="00D93737"/>
    <w:rsid w:val="00D95981"/>
    <w:rsid w:val="00D9770E"/>
    <w:rsid w:val="00DA1C1E"/>
    <w:rsid w:val="00DA1E29"/>
    <w:rsid w:val="00DA2737"/>
    <w:rsid w:val="00DA2F30"/>
    <w:rsid w:val="00DA580F"/>
    <w:rsid w:val="00DA592B"/>
    <w:rsid w:val="00DA5E98"/>
    <w:rsid w:val="00DA6860"/>
    <w:rsid w:val="00DA7442"/>
    <w:rsid w:val="00DB1F4E"/>
    <w:rsid w:val="00DB5D5A"/>
    <w:rsid w:val="00DB627C"/>
    <w:rsid w:val="00DB63E7"/>
    <w:rsid w:val="00DB6B03"/>
    <w:rsid w:val="00DB71AC"/>
    <w:rsid w:val="00DB7754"/>
    <w:rsid w:val="00DC289E"/>
    <w:rsid w:val="00DC3A1B"/>
    <w:rsid w:val="00DC40A6"/>
    <w:rsid w:val="00DC495F"/>
    <w:rsid w:val="00DC4B92"/>
    <w:rsid w:val="00DC635A"/>
    <w:rsid w:val="00DD36A7"/>
    <w:rsid w:val="00DD5ECC"/>
    <w:rsid w:val="00DD6D2F"/>
    <w:rsid w:val="00DD71DC"/>
    <w:rsid w:val="00DE2BC0"/>
    <w:rsid w:val="00DE35C0"/>
    <w:rsid w:val="00DE409C"/>
    <w:rsid w:val="00DE4955"/>
    <w:rsid w:val="00DE5369"/>
    <w:rsid w:val="00DE7822"/>
    <w:rsid w:val="00DE7FC1"/>
    <w:rsid w:val="00DF1234"/>
    <w:rsid w:val="00DF2686"/>
    <w:rsid w:val="00DF4E88"/>
    <w:rsid w:val="00DF66D9"/>
    <w:rsid w:val="00DF6F1D"/>
    <w:rsid w:val="00DF782C"/>
    <w:rsid w:val="00E00D72"/>
    <w:rsid w:val="00E01C24"/>
    <w:rsid w:val="00E02928"/>
    <w:rsid w:val="00E03CFC"/>
    <w:rsid w:val="00E0475D"/>
    <w:rsid w:val="00E0504C"/>
    <w:rsid w:val="00E05D95"/>
    <w:rsid w:val="00E07DBF"/>
    <w:rsid w:val="00E100AB"/>
    <w:rsid w:val="00E1105F"/>
    <w:rsid w:val="00E11876"/>
    <w:rsid w:val="00E126F0"/>
    <w:rsid w:val="00E153DE"/>
    <w:rsid w:val="00E162AC"/>
    <w:rsid w:val="00E208DA"/>
    <w:rsid w:val="00E20964"/>
    <w:rsid w:val="00E21A25"/>
    <w:rsid w:val="00E21F15"/>
    <w:rsid w:val="00E21F92"/>
    <w:rsid w:val="00E22642"/>
    <w:rsid w:val="00E2285A"/>
    <w:rsid w:val="00E229B2"/>
    <w:rsid w:val="00E229E1"/>
    <w:rsid w:val="00E25E4B"/>
    <w:rsid w:val="00E25ECD"/>
    <w:rsid w:val="00E266EE"/>
    <w:rsid w:val="00E3113A"/>
    <w:rsid w:val="00E34ECF"/>
    <w:rsid w:val="00E35D43"/>
    <w:rsid w:val="00E35D71"/>
    <w:rsid w:val="00E46554"/>
    <w:rsid w:val="00E4667D"/>
    <w:rsid w:val="00E46C36"/>
    <w:rsid w:val="00E47427"/>
    <w:rsid w:val="00E47E94"/>
    <w:rsid w:val="00E51298"/>
    <w:rsid w:val="00E5651F"/>
    <w:rsid w:val="00E57C3E"/>
    <w:rsid w:val="00E637C9"/>
    <w:rsid w:val="00E63958"/>
    <w:rsid w:val="00E6555E"/>
    <w:rsid w:val="00E66004"/>
    <w:rsid w:val="00E668BC"/>
    <w:rsid w:val="00E7004C"/>
    <w:rsid w:val="00E70F81"/>
    <w:rsid w:val="00E720D5"/>
    <w:rsid w:val="00E72DD6"/>
    <w:rsid w:val="00E7401A"/>
    <w:rsid w:val="00E76B87"/>
    <w:rsid w:val="00E7783D"/>
    <w:rsid w:val="00E8083B"/>
    <w:rsid w:val="00E814FF"/>
    <w:rsid w:val="00E86128"/>
    <w:rsid w:val="00E91BA9"/>
    <w:rsid w:val="00E93086"/>
    <w:rsid w:val="00E946C5"/>
    <w:rsid w:val="00EA09FC"/>
    <w:rsid w:val="00EA6560"/>
    <w:rsid w:val="00EA6D87"/>
    <w:rsid w:val="00EA6DEF"/>
    <w:rsid w:val="00EA7011"/>
    <w:rsid w:val="00EB008E"/>
    <w:rsid w:val="00EB39F6"/>
    <w:rsid w:val="00EB3C8E"/>
    <w:rsid w:val="00EB4855"/>
    <w:rsid w:val="00EB6851"/>
    <w:rsid w:val="00EC23F0"/>
    <w:rsid w:val="00EC5CA2"/>
    <w:rsid w:val="00EC77F5"/>
    <w:rsid w:val="00ED1BA3"/>
    <w:rsid w:val="00ED316B"/>
    <w:rsid w:val="00EE0E10"/>
    <w:rsid w:val="00EE103C"/>
    <w:rsid w:val="00EE1374"/>
    <w:rsid w:val="00EE1663"/>
    <w:rsid w:val="00EE1FAA"/>
    <w:rsid w:val="00EE2298"/>
    <w:rsid w:val="00EE28AC"/>
    <w:rsid w:val="00EE4743"/>
    <w:rsid w:val="00EE5967"/>
    <w:rsid w:val="00EE6221"/>
    <w:rsid w:val="00EE6681"/>
    <w:rsid w:val="00EF0818"/>
    <w:rsid w:val="00EF09A4"/>
    <w:rsid w:val="00EF24C9"/>
    <w:rsid w:val="00EF2898"/>
    <w:rsid w:val="00EF2B36"/>
    <w:rsid w:val="00EF3D96"/>
    <w:rsid w:val="00EF5DF3"/>
    <w:rsid w:val="00F009E6"/>
    <w:rsid w:val="00F01357"/>
    <w:rsid w:val="00F03199"/>
    <w:rsid w:val="00F04891"/>
    <w:rsid w:val="00F06C2A"/>
    <w:rsid w:val="00F0718C"/>
    <w:rsid w:val="00F12448"/>
    <w:rsid w:val="00F12EB7"/>
    <w:rsid w:val="00F12F2F"/>
    <w:rsid w:val="00F14B58"/>
    <w:rsid w:val="00F15359"/>
    <w:rsid w:val="00F16D53"/>
    <w:rsid w:val="00F179AF"/>
    <w:rsid w:val="00F21C2E"/>
    <w:rsid w:val="00F21D42"/>
    <w:rsid w:val="00F242D4"/>
    <w:rsid w:val="00F24FF4"/>
    <w:rsid w:val="00F254EB"/>
    <w:rsid w:val="00F273F2"/>
    <w:rsid w:val="00F30C86"/>
    <w:rsid w:val="00F329E0"/>
    <w:rsid w:val="00F34429"/>
    <w:rsid w:val="00F35988"/>
    <w:rsid w:val="00F43368"/>
    <w:rsid w:val="00F43EC4"/>
    <w:rsid w:val="00F46625"/>
    <w:rsid w:val="00F46BB4"/>
    <w:rsid w:val="00F4760A"/>
    <w:rsid w:val="00F47943"/>
    <w:rsid w:val="00F514FD"/>
    <w:rsid w:val="00F52734"/>
    <w:rsid w:val="00F57E50"/>
    <w:rsid w:val="00F60496"/>
    <w:rsid w:val="00F604F7"/>
    <w:rsid w:val="00F619D6"/>
    <w:rsid w:val="00F622FC"/>
    <w:rsid w:val="00F6531C"/>
    <w:rsid w:val="00F655E2"/>
    <w:rsid w:val="00F66BC7"/>
    <w:rsid w:val="00F674B6"/>
    <w:rsid w:val="00F6767F"/>
    <w:rsid w:val="00F7117D"/>
    <w:rsid w:val="00F71C55"/>
    <w:rsid w:val="00F723A7"/>
    <w:rsid w:val="00F73F8E"/>
    <w:rsid w:val="00F73FE6"/>
    <w:rsid w:val="00F777A7"/>
    <w:rsid w:val="00F8284F"/>
    <w:rsid w:val="00F82A11"/>
    <w:rsid w:val="00F82BB7"/>
    <w:rsid w:val="00F8337F"/>
    <w:rsid w:val="00F86384"/>
    <w:rsid w:val="00F8755E"/>
    <w:rsid w:val="00F87E7F"/>
    <w:rsid w:val="00F90498"/>
    <w:rsid w:val="00F96059"/>
    <w:rsid w:val="00F96C03"/>
    <w:rsid w:val="00F97800"/>
    <w:rsid w:val="00FA0AF9"/>
    <w:rsid w:val="00FA1BF4"/>
    <w:rsid w:val="00FA1EB1"/>
    <w:rsid w:val="00FA2CC9"/>
    <w:rsid w:val="00FA3225"/>
    <w:rsid w:val="00FA370A"/>
    <w:rsid w:val="00FA7A84"/>
    <w:rsid w:val="00FB0ABC"/>
    <w:rsid w:val="00FB345E"/>
    <w:rsid w:val="00FB4B57"/>
    <w:rsid w:val="00FB4FB5"/>
    <w:rsid w:val="00FB6BF7"/>
    <w:rsid w:val="00FB725D"/>
    <w:rsid w:val="00FB7942"/>
    <w:rsid w:val="00FC06B8"/>
    <w:rsid w:val="00FC4B3B"/>
    <w:rsid w:val="00FC540F"/>
    <w:rsid w:val="00FC5736"/>
    <w:rsid w:val="00FC6EF1"/>
    <w:rsid w:val="00FC7A57"/>
    <w:rsid w:val="00FD0C1E"/>
    <w:rsid w:val="00FD1CF7"/>
    <w:rsid w:val="00FD2D88"/>
    <w:rsid w:val="00FD5BF2"/>
    <w:rsid w:val="00FD65D2"/>
    <w:rsid w:val="00FD7CE0"/>
    <w:rsid w:val="00FD7F21"/>
    <w:rsid w:val="00FE1A02"/>
    <w:rsid w:val="00FE1C3E"/>
    <w:rsid w:val="00FE5FAB"/>
    <w:rsid w:val="00FE601F"/>
    <w:rsid w:val="00FE6869"/>
    <w:rsid w:val="00FE74CB"/>
    <w:rsid w:val="00FF0834"/>
    <w:rsid w:val="00FF181A"/>
    <w:rsid w:val="00FF4B06"/>
    <w:rsid w:val="00FF61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5BDB27E7"/>
  <w15:docId w15:val="{87E8BBAB-40CA-4A9E-AC82-183B00FAE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0D13EB"/>
    <w:pPr>
      <w:tabs>
        <w:tab w:val="left" w:pos="-1800"/>
        <w:tab w:val="left" w:pos="630"/>
        <w:tab w:val="right" w:leader="dot" w:pos="9710"/>
      </w:tabs>
      <w:ind w:left="630" w:hanging="630"/>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C3427F"/>
    <w:pPr>
      <w:widowControl w:val="0"/>
      <w:snapToGrid w:val="0"/>
      <w:spacing w:before="100" w:after="100"/>
      <w:jc w:val="center"/>
    </w:pPr>
    <w:rPr>
      <w:rFonts w:ascii="Palatino" w:hAnsi="Palatino"/>
      <w:b/>
      <w:szCs w:val="20"/>
    </w:rPr>
  </w:style>
  <w:style w:type="character" w:customStyle="1" w:styleId="BodyTextChar">
    <w:name w:val="Body Text Char"/>
    <w:basedOn w:val="DefaultParagraphFont"/>
    <w:link w:val="BodyText"/>
    <w:rsid w:val="00C3427F"/>
    <w:rPr>
      <w:rFonts w:ascii="Palatino" w:hAnsi="Palatino"/>
      <w:b/>
      <w:sz w:val="24"/>
    </w:rPr>
  </w:style>
  <w:style w:type="paragraph" w:styleId="BodyTextIndent">
    <w:name w:val="Body Text Indent"/>
    <w:basedOn w:val="Normal"/>
    <w:link w:val="BodyTextIndentChar"/>
    <w:rsid w:val="00C3427F"/>
    <w:pPr>
      <w:widowControl w:val="0"/>
      <w:snapToGrid w:val="0"/>
      <w:spacing w:before="100" w:after="100"/>
      <w:ind w:left="810"/>
      <w:jc w:val="left"/>
      <w:outlineLvl w:val="0"/>
    </w:pPr>
    <w:rPr>
      <w:b/>
      <w:szCs w:val="20"/>
    </w:rPr>
  </w:style>
  <w:style w:type="character" w:customStyle="1" w:styleId="BodyTextIndentChar">
    <w:name w:val="Body Text Indent Char"/>
    <w:basedOn w:val="DefaultParagraphFont"/>
    <w:link w:val="BodyTextIndent"/>
    <w:rsid w:val="00C3427F"/>
    <w:rPr>
      <w:b/>
      <w:sz w:val="24"/>
    </w:rPr>
  </w:style>
  <w:style w:type="paragraph" w:styleId="BodyTextIndent3">
    <w:name w:val="Body Text Indent 3"/>
    <w:basedOn w:val="Normal"/>
    <w:link w:val="BodyTextIndent3Char"/>
    <w:rsid w:val="00C3427F"/>
    <w:pPr>
      <w:widowControl w:val="0"/>
      <w:snapToGrid w:val="0"/>
      <w:spacing w:before="100" w:after="100"/>
      <w:ind w:left="720"/>
      <w:jc w:val="left"/>
    </w:pPr>
    <w:rPr>
      <w:rFonts w:ascii="Palatino" w:hAnsi="Palatino"/>
      <w:szCs w:val="20"/>
    </w:rPr>
  </w:style>
  <w:style w:type="character" w:customStyle="1" w:styleId="BodyTextIndent3Char">
    <w:name w:val="Body Text Indent 3 Char"/>
    <w:basedOn w:val="DefaultParagraphFont"/>
    <w:link w:val="BodyTextIndent3"/>
    <w:rsid w:val="00C3427F"/>
    <w:rPr>
      <w:rFonts w:ascii="Palatino" w:hAnsi="Palatino"/>
      <w:sz w:val="24"/>
    </w:rPr>
  </w:style>
  <w:style w:type="paragraph" w:styleId="BodyTextIndent2">
    <w:name w:val="Body Text Indent 2"/>
    <w:basedOn w:val="Normal"/>
    <w:link w:val="BodyTextIndent2Char"/>
    <w:uiPriority w:val="99"/>
    <w:semiHidden/>
    <w:unhideWhenUsed/>
    <w:rsid w:val="00E63958"/>
    <w:pPr>
      <w:spacing w:after="120" w:line="480" w:lineRule="auto"/>
      <w:ind w:left="360"/>
    </w:pPr>
  </w:style>
  <w:style w:type="character" w:customStyle="1" w:styleId="BodyTextIndent2Char">
    <w:name w:val="Body Text Indent 2 Char"/>
    <w:basedOn w:val="DefaultParagraphFont"/>
    <w:link w:val="BodyTextIndent2"/>
    <w:uiPriority w:val="99"/>
    <w:semiHidden/>
    <w:rsid w:val="00E63958"/>
    <w:rPr>
      <w:sz w:val="24"/>
      <w:szCs w:val="24"/>
    </w:rPr>
  </w:style>
  <w:style w:type="character" w:styleId="LineNumber">
    <w:name w:val="line number"/>
    <w:basedOn w:val="DefaultParagraphFont"/>
    <w:uiPriority w:val="99"/>
    <w:semiHidden/>
    <w:unhideWhenUsed/>
    <w:rsid w:val="00545AF8"/>
  </w:style>
  <w:style w:type="paragraph" w:styleId="PlainText">
    <w:name w:val="Plain Text"/>
    <w:basedOn w:val="Normal"/>
    <w:link w:val="PlainTextChar"/>
    <w:rsid w:val="00B63E62"/>
    <w:pPr>
      <w:jc w:val="left"/>
    </w:pPr>
    <w:rPr>
      <w:rFonts w:ascii="Courier New" w:hAnsi="Courier New"/>
      <w:sz w:val="20"/>
      <w:szCs w:val="20"/>
    </w:rPr>
  </w:style>
  <w:style w:type="character" w:customStyle="1" w:styleId="PlainTextChar">
    <w:name w:val="Plain Text Char"/>
    <w:basedOn w:val="DefaultParagraphFont"/>
    <w:link w:val="PlainText"/>
    <w:rsid w:val="00B63E62"/>
    <w:rPr>
      <w:rFonts w:ascii="Courier New" w:hAnsi="Courier New"/>
    </w:rPr>
  </w:style>
  <w:style w:type="paragraph" w:styleId="ListBullet4">
    <w:name w:val="List Bullet 4"/>
    <w:basedOn w:val="Normal"/>
    <w:autoRedefine/>
    <w:rsid w:val="00B63E62"/>
    <w:pPr>
      <w:numPr>
        <w:numId w:val="29"/>
      </w:numPr>
      <w:jc w:val="left"/>
    </w:pPr>
    <w:rPr>
      <w:sz w:val="20"/>
      <w:szCs w:val="20"/>
    </w:rPr>
  </w:style>
  <w:style w:type="character" w:styleId="CommentReference">
    <w:name w:val="annotation reference"/>
    <w:basedOn w:val="DefaultParagraphFont"/>
    <w:uiPriority w:val="99"/>
    <w:semiHidden/>
    <w:unhideWhenUsed/>
    <w:rsid w:val="002C718E"/>
    <w:rPr>
      <w:sz w:val="16"/>
      <w:szCs w:val="16"/>
    </w:rPr>
  </w:style>
  <w:style w:type="paragraph" w:styleId="CommentText">
    <w:name w:val="annotation text"/>
    <w:basedOn w:val="Normal"/>
    <w:link w:val="CommentTextChar"/>
    <w:uiPriority w:val="99"/>
    <w:semiHidden/>
    <w:unhideWhenUsed/>
    <w:rsid w:val="002C718E"/>
    <w:rPr>
      <w:sz w:val="20"/>
      <w:szCs w:val="20"/>
    </w:rPr>
  </w:style>
  <w:style w:type="character" w:customStyle="1" w:styleId="CommentTextChar">
    <w:name w:val="Comment Text Char"/>
    <w:basedOn w:val="DefaultParagraphFont"/>
    <w:link w:val="CommentText"/>
    <w:uiPriority w:val="99"/>
    <w:semiHidden/>
    <w:rsid w:val="002C718E"/>
  </w:style>
  <w:style w:type="paragraph" w:styleId="CommentSubject">
    <w:name w:val="annotation subject"/>
    <w:basedOn w:val="CommentText"/>
    <w:next w:val="CommentText"/>
    <w:link w:val="CommentSubjectChar"/>
    <w:uiPriority w:val="99"/>
    <w:semiHidden/>
    <w:unhideWhenUsed/>
    <w:rsid w:val="002C718E"/>
    <w:rPr>
      <w:b/>
      <w:bCs/>
    </w:rPr>
  </w:style>
  <w:style w:type="character" w:customStyle="1" w:styleId="CommentSubjectChar">
    <w:name w:val="Comment Subject Char"/>
    <w:basedOn w:val="CommentTextChar"/>
    <w:link w:val="CommentSubject"/>
    <w:uiPriority w:val="99"/>
    <w:semiHidden/>
    <w:rsid w:val="002C71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2149">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11004753">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887379435">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229268745">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44017098">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17047646">
      <w:bodyDiv w:val="1"/>
      <w:marLeft w:val="0"/>
      <w:marRight w:val="0"/>
      <w:marTop w:val="0"/>
      <w:marBottom w:val="0"/>
      <w:divBdr>
        <w:top w:val="none" w:sz="0" w:space="0" w:color="auto"/>
        <w:left w:val="none" w:sz="0" w:space="0" w:color="auto"/>
        <w:bottom w:val="none" w:sz="0" w:space="0" w:color="auto"/>
        <w:right w:val="none" w:sz="0" w:space="0" w:color="auto"/>
      </w:divBdr>
      <w:divsChild>
        <w:div w:id="1441415136">
          <w:marLeft w:val="0"/>
          <w:marRight w:val="0"/>
          <w:marTop w:val="0"/>
          <w:marBottom w:val="0"/>
          <w:divBdr>
            <w:top w:val="none" w:sz="0" w:space="0" w:color="auto"/>
            <w:left w:val="none" w:sz="0" w:space="0" w:color="auto"/>
            <w:bottom w:val="none" w:sz="0" w:space="0" w:color="auto"/>
            <w:right w:val="none" w:sz="0" w:space="0" w:color="auto"/>
          </w:divBdr>
          <w:divsChild>
            <w:div w:id="1232814133">
              <w:marLeft w:val="0"/>
              <w:marRight w:val="0"/>
              <w:marTop w:val="0"/>
              <w:marBottom w:val="0"/>
              <w:divBdr>
                <w:top w:val="none" w:sz="0" w:space="0" w:color="auto"/>
                <w:left w:val="none" w:sz="0" w:space="0" w:color="auto"/>
                <w:bottom w:val="none" w:sz="0" w:space="0" w:color="auto"/>
                <w:right w:val="none" w:sz="0" w:space="0" w:color="auto"/>
              </w:divBdr>
              <w:divsChild>
                <w:div w:id="88591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753856">
          <w:marLeft w:val="0"/>
          <w:marRight w:val="0"/>
          <w:marTop w:val="0"/>
          <w:marBottom w:val="0"/>
          <w:divBdr>
            <w:top w:val="none" w:sz="0" w:space="0" w:color="auto"/>
            <w:left w:val="none" w:sz="0" w:space="0" w:color="auto"/>
            <w:bottom w:val="none" w:sz="0" w:space="0" w:color="auto"/>
            <w:right w:val="none" w:sz="0" w:space="0" w:color="auto"/>
          </w:divBdr>
          <w:divsChild>
            <w:div w:id="1275360934">
              <w:marLeft w:val="0"/>
              <w:marRight w:val="0"/>
              <w:marTop w:val="0"/>
              <w:marBottom w:val="0"/>
              <w:divBdr>
                <w:top w:val="none" w:sz="0" w:space="0" w:color="auto"/>
                <w:left w:val="none" w:sz="0" w:space="0" w:color="auto"/>
                <w:bottom w:val="none" w:sz="0" w:space="0" w:color="auto"/>
                <w:right w:val="none" w:sz="0" w:space="0" w:color="auto"/>
              </w:divBdr>
              <w:divsChild>
                <w:div w:id="50209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6404">
          <w:marLeft w:val="0"/>
          <w:marRight w:val="0"/>
          <w:marTop w:val="0"/>
          <w:marBottom w:val="0"/>
          <w:divBdr>
            <w:top w:val="none" w:sz="0" w:space="0" w:color="auto"/>
            <w:left w:val="none" w:sz="0" w:space="0" w:color="auto"/>
            <w:bottom w:val="none" w:sz="0" w:space="0" w:color="auto"/>
            <w:right w:val="none" w:sz="0" w:space="0" w:color="auto"/>
          </w:divBdr>
          <w:divsChild>
            <w:div w:id="874931450">
              <w:marLeft w:val="0"/>
              <w:marRight w:val="0"/>
              <w:marTop w:val="0"/>
              <w:marBottom w:val="0"/>
              <w:divBdr>
                <w:top w:val="none" w:sz="0" w:space="0" w:color="auto"/>
                <w:left w:val="none" w:sz="0" w:space="0" w:color="auto"/>
                <w:bottom w:val="none" w:sz="0" w:space="0" w:color="auto"/>
                <w:right w:val="none" w:sz="0" w:space="0" w:color="auto"/>
              </w:divBdr>
              <w:divsChild>
                <w:div w:id="17782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820116">
          <w:marLeft w:val="0"/>
          <w:marRight w:val="0"/>
          <w:marTop w:val="0"/>
          <w:marBottom w:val="0"/>
          <w:divBdr>
            <w:top w:val="none" w:sz="0" w:space="0" w:color="auto"/>
            <w:left w:val="none" w:sz="0" w:space="0" w:color="auto"/>
            <w:bottom w:val="none" w:sz="0" w:space="0" w:color="auto"/>
            <w:right w:val="none" w:sz="0" w:space="0" w:color="auto"/>
          </w:divBdr>
          <w:divsChild>
            <w:div w:id="1386873079">
              <w:marLeft w:val="0"/>
              <w:marRight w:val="0"/>
              <w:marTop w:val="0"/>
              <w:marBottom w:val="0"/>
              <w:divBdr>
                <w:top w:val="none" w:sz="0" w:space="0" w:color="auto"/>
                <w:left w:val="none" w:sz="0" w:space="0" w:color="auto"/>
                <w:bottom w:val="none" w:sz="0" w:space="0" w:color="auto"/>
                <w:right w:val="none" w:sz="0" w:space="0" w:color="auto"/>
              </w:divBdr>
              <w:divsChild>
                <w:div w:id="7083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690331">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fermipoint.fnal.gov/service/tsworc" TargetMode="External"/><Relationship Id="rId26" Type="http://schemas.openxmlformats.org/officeDocument/2006/relationships/hyperlink" Target="http://esh-docdb.fnal.gov/cgi-bin/ShowDocument?docid=3270" TargetMode="External"/><Relationship Id="rId3" Type="http://schemas.openxmlformats.org/officeDocument/2006/relationships/customXml" Target="../customXml/item3.xml"/><Relationship Id="rId21" Type="http://schemas.openxmlformats.org/officeDocument/2006/relationships/hyperlink" Target="https://fermipoint.fnal.gov/service/tsworc/Lists/tsworc/NewForm.aspx?Source=/service/tsworc/&amp;Beam=0&amp;orc=1"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esh.fnal.gov/xms/ESHQ-Manuals/FRCM" TargetMode="External"/><Relationship Id="rId25" Type="http://schemas.openxmlformats.org/officeDocument/2006/relationships/hyperlink" Target="http://esh-docdb.fnal.gov/cgi-bin/ShowDocument?docid=3270" TargetMode="External"/><Relationship Id="rId2" Type="http://schemas.openxmlformats.org/officeDocument/2006/relationships/customXml" Target="../customXml/item2.xml"/><Relationship Id="rId16" Type="http://schemas.openxmlformats.org/officeDocument/2006/relationships/hyperlink" Target="http://esh.fnal.gov/xms/ESHQ-Manuals/FESHM" TargetMode="External"/><Relationship Id="rId20" Type="http://schemas.openxmlformats.org/officeDocument/2006/relationships/hyperlink" Target="https://fermipoint.fnal.gov/service/tsworc/Lists/tsworc/NewForm.aspx?Source=/service/tsworc/&amp;Beam=1&amp;orc=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esh-docdb.fnal.gov/cgi-bin/ShowDocument?docid=3270" TargetMode="External"/><Relationship Id="rId5" Type="http://schemas.openxmlformats.org/officeDocument/2006/relationships/customXml" Target="../customXml/item5.xml"/><Relationship Id="rId15" Type="http://schemas.openxmlformats.org/officeDocument/2006/relationships/hyperlink" Target="http://www.fnal.gov/directorate/documents/FNAL_Engineering_Manual.pdf" TargetMode="External"/><Relationship Id="rId23" Type="http://schemas.openxmlformats.org/officeDocument/2006/relationships/hyperlink" Target="http://esh-docdb.fnal.gov/cgi-bin/ShowDocument?docid=2781"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fermipoint.fnal.gov/service/tswor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sh.fnal.gov/xms/ESHQ-Manuals/QAM" TargetMode="External"/><Relationship Id="rId22" Type="http://schemas.openxmlformats.org/officeDocument/2006/relationships/image" Target="media/image2.emf"/><Relationship Id="rId27" Type="http://schemas.openxmlformats.org/officeDocument/2006/relationships/header" Target="head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684d57e-1e2d-4e4e-b964-3c7a0f1fc74b">-607-1403</_dlc_DocId>
    <_dlc_DocIdUrl xmlns="0684d57e-1e2d-4e4e-b964-3c7a0f1fc74b">
      <Url>https://fermipoint.fnal.gov/organization/eshq/mss/_layouts/15/DocIdRedir.aspx?ID=-607-1403</Url>
      <Description>-607-1403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9DFAD8B484954F9EC29AEBD04153F6" ma:contentTypeVersion="22" ma:contentTypeDescription="Create a new document." ma:contentTypeScope="" ma:versionID="97b59af02f9fb0889353baf32d692c0d">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F93E780F-90B9-4958-8A79-4EA6C454DF31}">
  <ds:schemaRefs>
    <ds:schemaRef ds:uri="http://schemas.microsoft.com/sharepoint/v3/contenttype/forms"/>
  </ds:schemaRefs>
</ds:datastoreItem>
</file>

<file path=customXml/itemProps2.xml><?xml version="1.0" encoding="utf-8"?>
<ds:datastoreItem xmlns:ds="http://schemas.openxmlformats.org/officeDocument/2006/customXml" ds:itemID="{A4B8162F-D7CE-4DC1-AF98-9E21008F35CB}">
  <ds:schemaRefs>
    <ds:schemaRef ds:uri="http://schemas.microsoft.com/office/2006/metadata/properties"/>
    <ds:schemaRef ds:uri="http://schemas.microsoft.com/office/infopath/2007/PartnerControls"/>
    <ds:schemaRef ds:uri="0684d57e-1e2d-4e4e-b964-3c7a0f1fc74b"/>
  </ds:schemaRefs>
</ds:datastoreItem>
</file>

<file path=customXml/itemProps3.xml><?xml version="1.0" encoding="utf-8"?>
<ds:datastoreItem xmlns:ds="http://schemas.openxmlformats.org/officeDocument/2006/customXml" ds:itemID="{567B6FF8-AC61-42DD-A6E4-48516F7A1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87EDA6-6E1B-45E8-A0C3-620934E69BAC}">
  <ds:schemaRefs>
    <ds:schemaRef ds:uri="http://schemas.microsoft.com/sharepoint/events"/>
  </ds:schemaRefs>
</ds:datastoreItem>
</file>

<file path=customXml/itemProps5.xml><?xml version="1.0" encoding="utf-8"?>
<ds:datastoreItem xmlns:ds="http://schemas.openxmlformats.org/officeDocument/2006/customXml" ds:itemID="{C7220D16-FB61-4187-A854-ED0B56DD2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2589</Words>
  <Characters>15121</Characters>
  <Application>Microsoft Office Word</Application>
  <DocSecurity>0</DocSecurity>
  <Lines>397</Lines>
  <Paragraphs>245</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17465</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emchugh@fnal.gov</dc:creator>
  <cp:lastModifiedBy>T.J. Sarlina x5741</cp:lastModifiedBy>
  <cp:revision>6</cp:revision>
  <cp:lastPrinted>2016-10-05T15:31:00Z</cp:lastPrinted>
  <dcterms:created xsi:type="dcterms:W3CDTF">2018-07-18T18:41:00Z</dcterms:created>
  <dcterms:modified xsi:type="dcterms:W3CDTF">2018-07-18T21:04:00Z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10bdf543-31ee-44c6-97bb-949781b4850a</vt:lpwstr>
  </property>
  <property fmtid="{D5CDD505-2E9C-101B-9397-08002B2CF9AE}" pid="3" name="ContentTypeId">
    <vt:lpwstr>0x010100C99DFAD8B484954F9EC29AEBD04153F6</vt:lpwstr>
  </property>
</Properties>
</file>