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A3C7" w14:textId="77777777" w:rsidR="00FD1454" w:rsidRPr="0007203C" w:rsidRDefault="00FD1454" w:rsidP="00FD1454">
      <w:pPr>
        <w:jc w:val="center"/>
        <w:rPr>
          <w:b/>
          <w:sz w:val="28"/>
          <w:szCs w:val="28"/>
        </w:rPr>
      </w:pPr>
    </w:p>
    <w:p w14:paraId="0048C7CA" w14:textId="77777777" w:rsidR="00FD1454" w:rsidRPr="0007203C" w:rsidRDefault="00FD1454" w:rsidP="00FD1454">
      <w:pPr>
        <w:jc w:val="center"/>
        <w:rPr>
          <w:b/>
          <w:sz w:val="28"/>
          <w:szCs w:val="28"/>
        </w:rPr>
      </w:pPr>
    </w:p>
    <w:p w14:paraId="0325303B" w14:textId="77777777" w:rsidR="00FD1454" w:rsidRPr="0007203C" w:rsidRDefault="00FD1454" w:rsidP="00FD1454">
      <w:pPr>
        <w:jc w:val="center"/>
        <w:rPr>
          <w:b/>
          <w:sz w:val="28"/>
          <w:szCs w:val="28"/>
        </w:rPr>
      </w:pPr>
    </w:p>
    <w:p w14:paraId="44B8027B" w14:textId="77777777" w:rsidR="00FD1454" w:rsidRPr="0007203C" w:rsidRDefault="00FD1454" w:rsidP="00FD1454">
      <w:pPr>
        <w:jc w:val="center"/>
        <w:rPr>
          <w:b/>
          <w:sz w:val="28"/>
          <w:szCs w:val="28"/>
        </w:rPr>
      </w:pPr>
    </w:p>
    <w:p w14:paraId="34185E50" w14:textId="0FF92B2D" w:rsidR="00AB4D65" w:rsidRPr="0007203C" w:rsidRDefault="004F254C" w:rsidP="00AB4D65">
      <w:pPr>
        <w:ind w:right="36"/>
        <w:jc w:val="center"/>
        <w:rPr>
          <w:color w:val="000000"/>
          <w:sz w:val="36"/>
          <w:szCs w:val="36"/>
        </w:rPr>
      </w:pPr>
      <w:r w:rsidRPr="0007203C">
        <w:rPr>
          <w:color w:val="000000"/>
          <w:sz w:val="36"/>
          <w:szCs w:val="36"/>
        </w:rPr>
        <w:t xml:space="preserve">FESHM </w:t>
      </w:r>
      <w:r w:rsidR="00F4707B" w:rsidRPr="0007203C">
        <w:rPr>
          <w:color w:val="000000"/>
          <w:sz w:val="36"/>
          <w:szCs w:val="36"/>
        </w:rPr>
        <w:t>2001</w:t>
      </w:r>
      <w:r w:rsidRPr="0007203C">
        <w:rPr>
          <w:color w:val="000000"/>
          <w:sz w:val="36"/>
          <w:szCs w:val="36"/>
        </w:rPr>
        <w:t xml:space="preserve">: </w:t>
      </w:r>
      <w:r w:rsidR="00CA774E" w:rsidRPr="0007203C">
        <w:rPr>
          <w:color w:val="000000"/>
          <w:sz w:val="36"/>
          <w:szCs w:val="36"/>
        </w:rPr>
        <w:t xml:space="preserve"> </w:t>
      </w:r>
      <w:r w:rsidR="00AB4D65" w:rsidRPr="0007203C">
        <w:rPr>
          <w:color w:val="000000"/>
          <w:sz w:val="36"/>
          <w:szCs w:val="36"/>
        </w:rPr>
        <w:t xml:space="preserve">ENVIRONMENT, SAFETY &amp; HEALTH </w:t>
      </w:r>
      <w:r w:rsidR="00F4707B" w:rsidRPr="0007203C">
        <w:rPr>
          <w:color w:val="000000"/>
          <w:sz w:val="36"/>
          <w:szCs w:val="36"/>
        </w:rPr>
        <w:t>FOR PROJECTS</w:t>
      </w:r>
    </w:p>
    <w:p w14:paraId="4F00E201" w14:textId="77777777" w:rsidR="00FD1454" w:rsidRPr="0007203C" w:rsidRDefault="00FD1454" w:rsidP="00FD1454">
      <w:pPr>
        <w:jc w:val="center"/>
        <w:rPr>
          <w:b/>
          <w:sz w:val="28"/>
          <w:szCs w:val="28"/>
        </w:rPr>
      </w:pPr>
    </w:p>
    <w:p w14:paraId="6FEB1D7F" w14:textId="77777777" w:rsidR="00FD1454" w:rsidRPr="0007203C" w:rsidRDefault="00FD1454" w:rsidP="00FD1454">
      <w:pPr>
        <w:jc w:val="center"/>
        <w:rPr>
          <w:b/>
          <w:sz w:val="28"/>
          <w:szCs w:val="28"/>
        </w:rPr>
      </w:pPr>
    </w:p>
    <w:p w14:paraId="29D788E0" w14:textId="77777777" w:rsidR="00FD1454" w:rsidRPr="0007203C" w:rsidRDefault="00FD1454" w:rsidP="00FD1454">
      <w:pPr>
        <w:jc w:val="center"/>
        <w:rPr>
          <w:b/>
          <w:sz w:val="28"/>
          <w:szCs w:val="28"/>
        </w:rPr>
      </w:pPr>
    </w:p>
    <w:p w14:paraId="4CAAB70A" w14:textId="77777777" w:rsidR="00FD1454" w:rsidRPr="0007203C" w:rsidRDefault="00FD1454" w:rsidP="00FD1454">
      <w:pPr>
        <w:jc w:val="center"/>
        <w:rPr>
          <w:b/>
          <w:sz w:val="28"/>
          <w:szCs w:val="28"/>
        </w:rPr>
      </w:pPr>
    </w:p>
    <w:p w14:paraId="34185E55" w14:textId="77777777" w:rsidR="00DB5D5A" w:rsidRPr="0007203C" w:rsidRDefault="00743FAE" w:rsidP="00DB5D5A">
      <w:pPr>
        <w:ind w:right="-140"/>
        <w:jc w:val="center"/>
        <w:rPr>
          <w:b/>
          <w:color w:val="000000"/>
        </w:rPr>
      </w:pPr>
      <w:r w:rsidRPr="0007203C">
        <w:rPr>
          <w:b/>
          <w:color w:val="000000"/>
        </w:rPr>
        <w:t>Revision History</w:t>
      </w:r>
    </w:p>
    <w:p w14:paraId="34185E56" w14:textId="77777777" w:rsidR="00DB5D5A" w:rsidRPr="0007203C" w:rsidRDefault="00DB5D5A" w:rsidP="00DB5D5A">
      <w:pPr>
        <w:ind w:right="-140"/>
        <w:rPr>
          <w:b/>
          <w:color w:val="000000"/>
        </w:rPr>
      </w:pPr>
    </w:p>
    <w:tbl>
      <w:tblPr>
        <w:tblW w:w="990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832"/>
        <w:gridCol w:w="1980"/>
      </w:tblGrid>
      <w:tr w:rsidR="00743FAE" w:rsidRPr="0007203C" w14:paraId="34185E5A" w14:textId="77777777" w:rsidTr="00F4707B">
        <w:tc>
          <w:tcPr>
            <w:tcW w:w="2088" w:type="dxa"/>
          </w:tcPr>
          <w:p w14:paraId="34185E57" w14:textId="77777777" w:rsidR="00743FAE" w:rsidRPr="0007203C" w:rsidRDefault="00743FAE" w:rsidP="00C67669">
            <w:pPr>
              <w:tabs>
                <w:tab w:val="left" w:pos="720"/>
              </w:tabs>
              <w:jc w:val="center"/>
              <w:rPr>
                <w:b/>
              </w:rPr>
            </w:pPr>
            <w:r w:rsidRPr="0007203C">
              <w:rPr>
                <w:b/>
              </w:rPr>
              <w:t>Author</w:t>
            </w:r>
          </w:p>
        </w:tc>
        <w:tc>
          <w:tcPr>
            <w:tcW w:w="5832" w:type="dxa"/>
          </w:tcPr>
          <w:p w14:paraId="34185E58" w14:textId="77777777" w:rsidR="00743FAE" w:rsidRPr="0007203C" w:rsidRDefault="00743FAE" w:rsidP="00C67669">
            <w:pPr>
              <w:tabs>
                <w:tab w:val="left" w:pos="720"/>
              </w:tabs>
              <w:jc w:val="center"/>
              <w:rPr>
                <w:b/>
              </w:rPr>
            </w:pPr>
            <w:r w:rsidRPr="0007203C">
              <w:rPr>
                <w:b/>
              </w:rPr>
              <w:t>Description of Change</w:t>
            </w:r>
          </w:p>
        </w:tc>
        <w:tc>
          <w:tcPr>
            <w:tcW w:w="1980" w:type="dxa"/>
          </w:tcPr>
          <w:p w14:paraId="34185E59" w14:textId="77777777" w:rsidR="00743FAE" w:rsidRPr="0007203C" w:rsidRDefault="00743FAE" w:rsidP="00880F07">
            <w:pPr>
              <w:tabs>
                <w:tab w:val="left" w:pos="720"/>
              </w:tabs>
              <w:jc w:val="center"/>
              <w:rPr>
                <w:b/>
              </w:rPr>
            </w:pPr>
            <w:r w:rsidRPr="0007203C">
              <w:rPr>
                <w:b/>
              </w:rPr>
              <w:t>Revision Date</w:t>
            </w:r>
          </w:p>
        </w:tc>
      </w:tr>
      <w:tr w:rsidR="00F4707B" w:rsidRPr="0007203C" w14:paraId="34185E5F" w14:textId="77777777" w:rsidTr="00F4707B">
        <w:tc>
          <w:tcPr>
            <w:tcW w:w="2088" w:type="dxa"/>
          </w:tcPr>
          <w:p w14:paraId="34185E5B" w14:textId="53652CAD" w:rsidR="00F4707B" w:rsidRPr="0007203C" w:rsidRDefault="00F4707B" w:rsidP="00F4707B">
            <w:pPr>
              <w:tabs>
                <w:tab w:val="left" w:pos="720"/>
              </w:tabs>
              <w:jc w:val="left"/>
              <w:rPr>
                <w:szCs w:val="22"/>
              </w:rPr>
            </w:pPr>
            <w:r w:rsidRPr="0007203C">
              <w:t>A. Pavnica </w:t>
            </w:r>
          </w:p>
        </w:tc>
        <w:tc>
          <w:tcPr>
            <w:tcW w:w="5832" w:type="dxa"/>
          </w:tcPr>
          <w:p w14:paraId="34185E5D" w14:textId="3CBA2703" w:rsidR="00F4707B" w:rsidRPr="0007203C" w:rsidRDefault="00F4707B" w:rsidP="00DC36D4">
            <w:pPr>
              <w:pStyle w:val="ListParagraph"/>
              <w:numPr>
                <w:ilvl w:val="0"/>
                <w:numId w:val="10"/>
              </w:numPr>
              <w:tabs>
                <w:tab w:val="left" w:pos="324"/>
              </w:tabs>
              <w:spacing w:after="120"/>
              <w:ind w:left="324" w:hanging="353"/>
              <w:rPr>
                <w:szCs w:val="22"/>
              </w:rPr>
            </w:pPr>
            <w:r w:rsidRPr="0007203C">
              <w:t>Updated format and narrative to be consistent with the QAM Chapter 12130</w:t>
            </w:r>
          </w:p>
        </w:tc>
        <w:tc>
          <w:tcPr>
            <w:tcW w:w="1980" w:type="dxa"/>
          </w:tcPr>
          <w:p w14:paraId="34185E5E" w14:textId="385E6773" w:rsidR="00F4707B" w:rsidRPr="0007203C" w:rsidRDefault="00DC36D4" w:rsidP="00F4707B">
            <w:pPr>
              <w:tabs>
                <w:tab w:val="left" w:pos="720"/>
              </w:tabs>
              <w:jc w:val="left"/>
              <w:rPr>
                <w:szCs w:val="22"/>
              </w:rPr>
            </w:pPr>
            <w:r w:rsidRPr="0007203C">
              <w:t>May</w:t>
            </w:r>
            <w:r w:rsidR="00F4707B" w:rsidRPr="0007203C">
              <w:t xml:space="preserve"> 2022</w:t>
            </w:r>
          </w:p>
        </w:tc>
      </w:tr>
      <w:tr w:rsidR="00F4707B" w:rsidRPr="0007203C" w14:paraId="34185E63" w14:textId="77777777" w:rsidTr="00F4707B">
        <w:tc>
          <w:tcPr>
            <w:tcW w:w="2088" w:type="dxa"/>
          </w:tcPr>
          <w:p w14:paraId="34185E60" w14:textId="1CE4F561" w:rsidR="00F4707B" w:rsidRPr="0007203C" w:rsidRDefault="00F4707B" w:rsidP="00F4707B">
            <w:pPr>
              <w:tabs>
                <w:tab w:val="left" w:pos="720"/>
              </w:tabs>
              <w:jc w:val="left"/>
            </w:pPr>
            <w:r w:rsidRPr="0007203C">
              <w:t>J. Donald Cossairt </w:t>
            </w:r>
          </w:p>
        </w:tc>
        <w:tc>
          <w:tcPr>
            <w:tcW w:w="5832" w:type="dxa"/>
          </w:tcPr>
          <w:p w14:paraId="19490984" w14:textId="77777777" w:rsidR="00F4707B" w:rsidRPr="0007203C" w:rsidRDefault="00F4707B" w:rsidP="00DC36D4">
            <w:pPr>
              <w:pStyle w:val="ListParagraph"/>
              <w:numPr>
                <w:ilvl w:val="0"/>
                <w:numId w:val="10"/>
              </w:numPr>
              <w:ind w:left="331" w:right="360"/>
              <w:textAlignment w:val="baseline"/>
            </w:pPr>
            <w:r w:rsidRPr="0007203C">
              <w:t>Incorporate the addition of responsibilities of ESH&amp;Q Project Coordinators</w:t>
            </w:r>
          </w:p>
          <w:p w14:paraId="34185E61" w14:textId="14FA559A" w:rsidR="00F4707B" w:rsidRPr="0007203C" w:rsidRDefault="00F4707B" w:rsidP="00DC36D4">
            <w:pPr>
              <w:pStyle w:val="ListParagraph"/>
              <w:numPr>
                <w:ilvl w:val="0"/>
                <w:numId w:val="10"/>
              </w:numPr>
              <w:spacing w:after="120"/>
              <w:ind w:left="331" w:right="360"/>
              <w:textAlignment w:val="baseline"/>
            </w:pPr>
            <w:r w:rsidRPr="0007203C">
              <w:t>Editorial corrections</w:t>
            </w:r>
          </w:p>
        </w:tc>
        <w:tc>
          <w:tcPr>
            <w:tcW w:w="1980" w:type="dxa"/>
          </w:tcPr>
          <w:p w14:paraId="34185E62" w14:textId="2CF52B33" w:rsidR="00F4707B" w:rsidRPr="0007203C" w:rsidRDefault="00F4707B" w:rsidP="00F4707B">
            <w:pPr>
              <w:tabs>
                <w:tab w:val="left" w:pos="720"/>
              </w:tabs>
              <w:jc w:val="left"/>
            </w:pPr>
            <w:r w:rsidRPr="0007203C">
              <w:t>June 2015 </w:t>
            </w:r>
          </w:p>
        </w:tc>
      </w:tr>
      <w:tr w:rsidR="00F4707B" w:rsidRPr="0007203C" w14:paraId="34185E67" w14:textId="77777777" w:rsidTr="00F4707B">
        <w:tc>
          <w:tcPr>
            <w:tcW w:w="2088" w:type="dxa"/>
            <w:vAlign w:val="bottom"/>
          </w:tcPr>
          <w:p w14:paraId="34185E64" w14:textId="5FBB330B" w:rsidR="00F4707B" w:rsidRPr="0007203C" w:rsidRDefault="00F4707B" w:rsidP="00F4707B">
            <w:pPr>
              <w:tabs>
                <w:tab w:val="left" w:pos="720"/>
              </w:tabs>
              <w:spacing w:after="60"/>
              <w:jc w:val="left"/>
            </w:pPr>
            <w:r w:rsidRPr="0007203C">
              <w:t>J. Donald Cossairt </w:t>
            </w:r>
          </w:p>
        </w:tc>
        <w:tc>
          <w:tcPr>
            <w:tcW w:w="5832" w:type="dxa"/>
          </w:tcPr>
          <w:p w14:paraId="34185E65" w14:textId="62B29EFA" w:rsidR="00F4707B" w:rsidRPr="0007203C" w:rsidRDefault="00F4707B" w:rsidP="00F4707B">
            <w:pPr>
              <w:tabs>
                <w:tab w:val="left" w:pos="720"/>
              </w:tabs>
              <w:spacing w:after="60"/>
              <w:jc w:val="left"/>
            </w:pPr>
            <w:r w:rsidRPr="0007203C">
              <w:t>Initial release of Chapter 2001</w:t>
            </w:r>
          </w:p>
        </w:tc>
        <w:tc>
          <w:tcPr>
            <w:tcW w:w="1980" w:type="dxa"/>
            <w:vAlign w:val="bottom"/>
          </w:tcPr>
          <w:p w14:paraId="34185E66" w14:textId="2FFAF174" w:rsidR="00F4707B" w:rsidRPr="0007203C" w:rsidRDefault="00F4707B" w:rsidP="00F4707B">
            <w:pPr>
              <w:tabs>
                <w:tab w:val="left" w:pos="720"/>
              </w:tabs>
              <w:spacing w:after="60"/>
            </w:pPr>
            <w:r w:rsidRPr="0007203C">
              <w:t>November 2012 </w:t>
            </w:r>
          </w:p>
        </w:tc>
      </w:tr>
    </w:tbl>
    <w:p w14:paraId="46A42345" w14:textId="77777777" w:rsidR="00CA774E" w:rsidRPr="0007203C" w:rsidRDefault="00CA774E" w:rsidP="00CA774E">
      <w:pPr>
        <w:jc w:val="left"/>
        <w:rPr>
          <w:bCs/>
          <w:sz w:val="28"/>
          <w:szCs w:val="28"/>
        </w:rPr>
      </w:pPr>
    </w:p>
    <w:p w14:paraId="21E9F818" w14:textId="77777777" w:rsidR="00CA774E" w:rsidRPr="0007203C" w:rsidRDefault="00CA774E" w:rsidP="00CA774E">
      <w:pPr>
        <w:jc w:val="left"/>
        <w:rPr>
          <w:bCs/>
          <w:sz w:val="28"/>
          <w:szCs w:val="28"/>
        </w:rPr>
      </w:pPr>
    </w:p>
    <w:p w14:paraId="27DF6505" w14:textId="77777777" w:rsidR="00CA774E" w:rsidRPr="0007203C" w:rsidRDefault="00CA774E" w:rsidP="00CA774E">
      <w:pPr>
        <w:jc w:val="left"/>
        <w:rPr>
          <w:bCs/>
          <w:sz w:val="28"/>
          <w:szCs w:val="28"/>
        </w:rPr>
      </w:pPr>
    </w:p>
    <w:p w14:paraId="4033426A" w14:textId="77777777" w:rsidR="00CA774E" w:rsidRPr="0007203C" w:rsidRDefault="00CA774E" w:rsidP="00CA774E">
      <w:pPr>
        <w:jc w:val="left"/>
        <w:rPr>
          <w:bCs/>
          <w:sz w:val="28"/>
          <w:szCs w:val="28"/>
        </w:rPr>
      </w:pPr>
    </w:p>
    <w:p w14:paraId="0987AEEF" w14:textId="77777777" w:rsidR="00CA774E" w:rsidRPr="0007203C" w:rsidRDefault="00CA774E" w:rsidP="00CA774E">
      <w:pPr>
        <w:jc w:val="left"/>
        <w:rPr>
          <w:bCs/>
          <w:sz w:val="28"/>
          <w:szCs w:val="28"/>
        </w:rPr>
      </w:pPr>
    </w:p>
    <w:p w14:paraId="354EB2CF" w14:textId="77777777" w:rsidR="00CA774E" w:rsidRPr="0007203C" w:rsidRDefault="00CA774E" w:rsidP="00CA774E">
      <w:pPr>
        <w:jc w:val="left"/>
        <w:rPr>
          <w:bCs/>
          <w:sz w:val="28"/>
          <w:szCs w:val="28"/>
        </w:rPr>
      </w:pPr>
    </w:p>
    <w:p w14:paraId="272E7A94" w14:textId="77777777" w:rsidR="00CA774E" w:rsidRPr="0007203C" w:rsidRDefault="00CA774E" w:rsidP="00CA774E">
      <w:pPr>
        <w:jc w:val="left"/>
        <w:rPr>
          <w:bCs/>
          <w:sz w:val="28"/>
          <w:szCs w:val="28"/>
        </w:rPr>
        <w:sectPr w:rsidR="00CA774E" w:rsidRPr="0007203C" w:rsidSect="00755E8B">
          <w:headerReference w:type="default" r:id="rId8"/>
          <w:footerReference w:type="default" r:id="rId9"/>
          <w:pgSz w:w="12240" w:h="15840" w:code="1"/>
          <w:pgMar w:top="720" w:right="1080" w:bottom="720" w:left="1440" w:header="720" w:footer="389" w:gutter="0"/>
          <w:cols w:space="720"/>
          <w:docGrid w:linePitch="360"/>
        </w:sectPr>
      </w:pPr>
    </w:p>
    <w:p w14:paraId="34185E6F" w14:textId="6A9ECA7C" w:rsidR="00A96FFC" w:rsidRPr="0007203C" w:rsidRDefault="00A96FFC" w:rsidP="001A2CF3">
      <w:pPr>
        <w:jc w:val="center"/>
        <w:rPr>
          <w:b/>
          <w:sz w:val="28"/>
          <w:szCs w:val="28"/>
        </w:rPr>
      </w:pPr>
      <w:r w:rsidRPr="0007203C">
        <w:rPr>
          <w:b/>
          <w:sz w:val="28"/>
          <w:szCs w:val="28"/>
        </w:rPr>
        <w:lastRenderedPageBreak/>
        <w:t>TABLE OF CONTENTS</w:t>
      </w:r>
    </w:p>
    <w:p w14:paraId="34185E70" w14:textId="77777777" w:rsidR="00A96FFC" w:rsidRPr="0007203C" w:rsidRDefault="00A96FFC">
      <w:pPr>
        <w:rPr>
          <w:bCs/>
        </w:rPr>
      </w:pPr>
    </w:p>
    <w:p w14:paraId="03524686" w14:textId="0424FCF0" w:rsidR="00364C70" w:rsidRDefault="00FF181A">
      <w:pPr>
        <w:pStyle w:val="TOC1"/>
        <w:rPr>
          <w:rFonts w:asciiTheme="minorHAnsi" w:eastAsiaTheme="minorEastAsia" w:hAnsiTheme="minorHAnsi" w:cstheme="minorBidi"/>
          <w:noProof/>
          <w:sz w:val="22"/>
          <w:szCs w:val="22"/>
        </w:rPr>
      </w:pPr>
      <w:r w:rsidRPr="0007203C">
        <w:rPr>
          <w:bCs/>
        </w:rPr>
        <w:fldChar w:fldCharType="begin"/>
      </w:r>
      <w:r w:rsidR="00A96FFC" w:rsidRPr="0007203C">
        <w:rPr>
          <w:bCs/>
        </w:rPr>
        <w:instrText xml:space="preserve"> TOC \o "1-3" \h \z \u </w:instrText>
      </w:r>
      <w:r w:rsidRPr="0007203C">
        <w:rPr>
          <w:bCs/>
        </w:rPr>
        <w:fldChar w:fldCharType="separate"/>
      </w:r>
      <w:hyperlink w:anchor="_Toc106011565" w:history="1">
        <w:r w:rsidR="00364C70" w:rsidRPr="00CB20E1">
          <w:rPr>
            <w:rStyle w:val="Hyperlink"/>
            <w:rFonts w:ascii="Times New Roman Bold" w:hAnsi="Times New Roman Bold"/>
            <w:noProof/>
          </w:rPr>
          <w:t>1.0</w:t>
        </w:r>
        <w:r w:rsidR="00364C70">
          <w:rPr>
            <w:rFonts w:asciiTheme="minorHAnsi" w:eastAsiaTheme="minorEastAsia" w:hAnsiTheme="minorHAnsi" w:cstheme="minorBidi"/>
            <w:noProof/>
            <w:sz w:val="22"/>
            <w:szCs w:val="22"/>
          </w:rPr>
          <w:tab/>
        </w:r>
        <w:r w:rsidR="00364C70" w:rsidRPr="00CB20E1">
          <w:rPr>
            <w:rStyle w:val="Hyperlink"/>
            <w:noProof/>
          </w:rPr>
          <w:t>INTRODUCTION AND SCOPE</w:t>
        </w:r>
        <w:r w:rsidR="00364C70">
          <w:rPr>
            <w:noProof/>
            <w:webHidden/>
          </w:rPr>
          <w:tab/>
        </w:r>
        <w:r w:rsidR="00364C70">
          <w:rPr>
            <w:noProof/>
            <w:webHidden/>
          </w:rPr>
          <w:fldChar w:fldCharType="begin"/>
        </w:r>
        <w:r w:rsidR="00364C70">
          <w:rPr>
            <w:noProof/>
            <w:webHidden/>
          </w:rPr>
          <w:instrText xml:space="preserve"> PAGEREF _Toc106011565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0668394E" w14:textId="625C2EB9" w:rsidR="00364C70" w:rsidRDefault="005B48A9">
      <w:pPr>
        <w:pStyle w:val="TOC1"/>
        <w:rPr>
          <w:rFonts w:asciiTheme="minorHAnsi" w:eastAsiaTheme="minorEastAsia" w:hAnsiTheme="minorHAnsi" w:cstheme="minorBidi"/>
          <w:noProof/>
          <w:sz w:val="22"/>
          <w:szCs w:val="22"/>
        </w:rPr>
      </w:pPr>
      <w:hyperlink w:anchor="_Toc106011566" w:history="1">
        <w:r w:rsidR="00364C70" w:rsidRPr="00CB20E1">
          <w:rPr>
            <w:rStyle w:val="Hyperlink"/>
            <w:rFonts w:ascii="Times New Roman Bold" w:hAnsi="Times New Roman Bold"/>
            <w:noProof/>
          </w:rPr>
          <w:t>2.0</w:t>
        </w:r>
        <w:r w:rsidR="00364C70">
          <w:rPr>
            <w:rFonts w:asciiTheme="minorHAnsi" w:eastAsiaTheme="minorEastAsia" w:hAnsiTheme="minorHAnsi" w:cstheme="minorBidi"/>
            <w:noProof/>
            <w:sz w:val="22"/>
            <w:szCs w:val="22"/>
          </w:rPr>
          <w:tab/>
        </w:r>
        <w:r w:rsidR="00364C70" w:rsidRPr="00CB20E1">
          <w:rPr>
            <w:rStyle w:val="Hyperlink"/>
            <w:noProof/>
          </w:rPr>
          <w:t>ACRONYMS</w:t>
        </w:r>
        <w:r w:rsidR="00364C70">
          <w:rPr>
            <w:noProof/>
            <w:webHidden/>
          </w:rPr>
          <w:tab/>
        </w:r>
        <w:r w:rsidR="00364C70">
          <w:rPr>
            <w:noProof/>
            <w:webHidden/>
          </w:rPr>
          <w:fldChar w:fldCharType="begin"/>
        </w:r>
        <w:r w:rsidR="00364C70">
          <w:rPr>
            <w:noProof/>
            <w:webHidden/>
          </w:rPr>
          <w:instrText xml:space="preserve"> PAGEREF _Toc106011566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676B28C6" w14:textId="1C7ABA6D" w:rsidR="00364C70" w:rsidRDefault="005B48A9">
      <w:pPr>
        <w:pStyle w:val="TOC1"/>
        <w:rPr>
          <w:rFonts w:asciiTheme="minorHAnsi" w:eastAsiaTheme="minorEastAsia" w:hAnsiTheme="minorHAnsi" w:cstheme="minorBidi"/>
          <w:noProof/>
          <w:sz w:val="22"/>
          <w:szCs w:val="22"/>
        </w:rPr>
      </w:pPr>
      <w:hyperlink w:anchor="_Toc106011567" w:history="1">
        <w:r w:rsidR="00364C70" w:rsidRPr="00CB20E1">
          <w:rPr>
            <w:rStyle w:val="Hyperlink"/>
            <w:rFonts w:ascii="Times New Roman Bold" w:hAnsi="Times New Roman Bold"/>
            <w:noProof/>
          </w:rPr>
          <w:t>3.0</w:t>
        </w:r>
        <w:r w:rsidR="00364C70">
          <w:rPr>
            <w:rFonts w:asciiTheme="minorHAnsi" w:eastAsiaTheme="minorEastAsia" w:hAnsiTheme="minorHAnsi" w:cstheme="minorBidi"/>
            <w:noProof/>
            <w:sz w:val="22"/>
            <w:szCs w:val="22"/>
          </w:rPr>
          <w:tab/>
        </w:r>
        <w:r w:rsidR="00364C70" w:rsidRPr="00CB20E1">
          <w:rPr>
            <w:rStyle w:val="Hyperlink"/>
            <w:noProof/>
          </w:rPr>
          <w:t>RESPONSIBILITIES</w:t>
        </w:r>
        <w:r w:rsidR="00364C70">
          <w:rPr>
            <w:noProof/>
            <w:webHidden/>
          </w:rPr>
          <w:tab/>
        </w:r>
        <w:r w:rsidR="00364C70">
          <w:rPr>
            <w:noProof/>
            <w:webHidden/>
          </w:rPr>
          <w:fldChar w:fldCharType="begin"/>
        </w:r>
        <w:r w:rsidR="00364C70">
          <w:rPr>
            <w:noProof/>
            <w:webHidden/>
          </w:rPr>
          <w:instrText xml:space="preserve"> PAGEREF _Toc106011567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150810AF" w14:textId="031B6882" w:rsidR="00364C70" w:rsidRDefault="005B48A9">
      <w:pPr>
        <w:pStyle w:val="TOC2"/>
        <w:rPr>
          <w:rFonts w:asciiTheme="minorHAnsi" w:eastAsiaTheme="minorEastAsia" w:hAnsiTheme="minorHAnsi" w:cstheme="minorBidi"/>
          <w:noProof/>
          <w:sz w:val="22"/>
          <w:szCs w:val="22"/>
        </w:rPr>
      </w:pPr>
      <w:hyperlink w:anchor="_Toc106011568" w:history="1">
        <w:r w:rsidR="00364C70" w:rsidRPr="00CB20E1">
          <w:rPr>
            <w:rStyle w:val="Hyperlink"/>
            <w:rFonts w:ascii="Times New Roman Bold" w:hAnsi="Times New Roman Bold"/>
            <w:noProof/>
          </w:rPr>
          <w:t>3.1</w:t>
        </w:r>
        <w:r w:rsidR="00364C70">
          <w:rPr>
            <w:rFonts w:asciiTheme="minorHAnsi" w:eastAsiaTheme="minorEastAsia" w:hAnsiTheme="minorHAnsi" w:cstheme="minorBidi"/>
            <w:noProof/>
            <w:sz w:val="22"/>
            <w:szCs w:val="22"/>
          </w:rPr>
          <w:tab/>
        </w:r>
        <w:r w:rsidR="00364C70" w:rsidRPr="00CB20E1">
          <w:rPr>
            <w:rStyle w:val="Hyperlink"/>
            <w:noProof/>
          </w:rPr>
          <w:t>ES&amp;H Project Coordinator or ES&amp;H Project Manage</w:t>
        </w:r>
        <w:r w:rsidR="00364C70">
          <w:rPr>
            <w:noProof/>
            <w:webHidden/>
          </w:rPr>
          <w:tab/>
        </w:r>
        <w:r w:rsidR="00364C70">
          <w:rPr>
            <w:noProof/>
            <w:webHidden/>
          </w:rPr>
          <w:fldChar w:fldCharType="begin"/>
        </w:r>
        <w:r w:rsidR="00364C70">
          <w:rPr>
            <w:noProof/>
            <w:webHidden/>
          </w:rPr>
          <w:instrText xml:space="preserve"> PAGEREF _Toc106011568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7174CF2E" w14:textId="7FDF75BC" w:rsidR="00364C70" w:rsidRDefault="005B48A9">
      <w:pPr>
        <w:pStyle w:val="TOC2"/>
        <w:rPr>
          <w:rFonts w:asciiTheme="minorHAnsi" w:eastAsiaTheme="minorEastAsia" w:hAnsiTheme="minorHAnsi" w:cstheme="minorBidi"/>
          <w:noProof/>
          <w:sz w:val="22"/>
          <w:szCs w:val="22"/>
        </w:rPr>
      </w:pPr>
      <w:hyperlink w:anchor="_Toc106011569" w:history="1">
        <w:r w:rsidR="00364C70" w:rsidRPr="00CB20E1">
          <w:rPr>
            <w:rStyle w:val="Hyperlink"/>
            <w:rFonts w:ascii="Times New Roman Bold" w:hAnsi="Times New Roman Bold"/>
            <w:noProof/>
          </w:rPr>
          <w:t>3.2</w:t>
        </w:r>
        <w:r w:rsidR="00364C70">
          <w:rPr>
            <w:rFonts w:asciiTheme="minorHAnsi" w:eastAsiaTheme="minorEastAsia" w:hAnsiTheme="minorHAnsi" w:cstheme="minorBidi"/>
            <w:noProof/>
            <w:sz w:val="22"/>
            <w:szCs w:val="22"/>
          </w:rPr>
          <w:tab/>
        </w:r>
        <w:r w:rsidR="00364C70" w:rsidRPr="00CB20E1">
          <w:rPr>
            <w:rStyle w:val="Hyperlink"/>
            <w:noProof/>
          </w:rPr>
          <w:t>Project Manager</w:t>
        </w:r>
        <w:r w:rsidR="00364C70">
          <w:rPr>
            <w:noProof/>
            <w:webHidden/>
          </w:rPr>
          <w:tab/>
        </w:r>
        <w:r w:rsidR="00364C70">
          <w:rPr>
            <w:noProof/>
            <w:webHidden/>
          </w:rPr>
          <w:fldChar w:fldCharType="begin"/>
        </w:r>
        <w:r w:rsidR="00364C70">
          <w:rPr>
            <w:noProof/>
            <w:webHidden/>
          </w:rPr>
          <w:instrText xml:space="preserve"> PAGEREF _Toc106011569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293D0E19" w14:textId="411A71B1" w:rsidR="00364C70" w:rsidRDefault="005B48A9">
      <w:pPr>
        <w:pStyle w:val="TOC2"/>
        <w:rPr>
          <w:rFonts w:asciiTheme="minorHAnsi" w:eastAsiaTheme="minorEastAsia" w:hAnsiTheme="minorHAnsi" w:cstheme="minorBidi"/>
          <w:noProof/>
          <w:sz w:val="22"/>
          <w:szCs w:val="22"/>
        </w:rPr>
      </w:pPr>
      <w:hyperlink w:anchor="_Toc106011570" w:history="1">
        <w:r w:rsidR="00364C70" w:rsidRPr="00CB20E1">
          <w:rPr>
            <w:rStyle w:val="Hyperlink"/>
            <w:rFonts w:ascii="Times New Roman Bold" w:hAnsi="Times New Roman Bold"/>
            <w:noProof/>
          </w:rPr>
          <w:t>3.3</w:t>
        </w:r>
        <w:r w:rsidR="00364C70">
          <w:rPr>
            <w:rFonts w:asciiTheme="minorHAnsi" w:eastAsiaTheme="minorEastAsia" w:hAnsiTheme="minorHAnsi" w:cstheme="minorBidi"/>
            <w:noProof/>
            <w:sz w:val="22"/>
            <w:szCs w:val="22"/>
          </w:rPr>
          <w:tab/>
        </w:r>
        <w:r w:rsidR="00364C70" w:rsidRPr="00CB20E1">
          <w:rPr>
            <w:rStyle w:val="Hyperlink"/>
            <w:noProof/>
          </w:rPr>
          <w:t>Level 2, 3, and 4 Managers</w:t>
        </w:r>
        <w:r w:rsidR="00364C70">
          <w:rPr>
            <w:noProof/>
            <w:webHidden/>
          </w:rPr>
          <w:tab/>
        </w:r>
        <w:r w:rsidR="00364C70">
          <w:rPr>
            <w:noProof/>
            <w:webHidden/>
          </w:rPr>
          <w:fldChar w:fldCharType="begin"/>
        </w:r>
        <w:r w:rsidR="00364C70">
          <w:rPr>
            <w:noProof/>
            <w:webHidden/>
          </w:rPr>
          <w:instrText xml:space="preserve"> PAGEREF _Toc106011570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2652AEA0" w14:textId="42E3EED8" w:rsidR="00364C70" w:rsidRDefault="005B48A9">
      <w:pPr>
        <w:pStyle w:val="TOC1"/>
        <w:rPr>
          <w:rFonts w:asciiTheme="minorHAnsi" w:eastAsiaTheme="minorEastAsia" w:hAnsiTheme="minorHAnsi" w:cstheme="minorBidi"/>
          <w:noProof/>
          <w:sz w:val="22"/>
          <w:szCs w:val="22"/>
        </w:rPr>
      </w:pPr>
      <w:hyperlink w:anchor="_Toc106011571" w:history="1">
        <w:r w:rsidR="00364C70" w:rsidRPr="00CB20E1">
          <w:rPr>
            <w:rStyle w:val="Hyperlink"/>
            <w:rFonts w:ascii="Times New Roman Bold" w:hAnsi="Times New Roman Bold"/>
            <w:noProof/>
          </w:rPr>
          <w:t>4.0</w:t>
        </w:r>
        <w:r w:rsidR="00364C70">
          <w:rPr>
            <w:rFonts w:asciiTheme="minorHAnsi" w:eastAsiaTheme="minorEastAsia" w:hAnsiTheme="minorHAnsi" w:cstheme="minorBidi"/>
            <w:noProof/>
            <w:sz w:val="22"/>
            <w:szCs w:val="22"/>
          </w:rPr>
          <w:tab/>
        </w:r>
        <w:r w:rsidR="00364C70" w:rsidRPr="00CB20E1">
          <w:rPr>
            <w:rStyle w:val="Hyperlink"/>
            <w:noProof/>
          </w:rPr>
          <w:t>PROCEDURES</w:t>
        </w:r>
        <w:r w:rsidR="00364C70">
          <w:rPr>
            <w:noProof/>
            <w:webHidden/>
          </w:rPr>
          <w:tab/>
        </w:r>
        <w:r w:rsidR="00364C70">
          <w:rPr>
            <w:noProof/>
            <w:webHidden/>
          </w:rPr>
          <w:fldChar w:fldCharType="begin"/>
        </w:r>
        <w:r w:rsidR="00364C70">
          <w:rPr>
            <w:noProof/>
            <w:webHidden/>
          </w:rPr>
          <w:instrText xml:space="preserve"> PAGEREF _Toc106011571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4D01E5EC" w14:textId="0FDDAEBA" w:rsidR="00364C70" w:rsidRDefault="005B48A9">
      <w:pPr>
        <w:pStyle w:val="TOC2"/>
        <w:rPr>
          <w:rFonts w:asciiTheme="minorHAnsi" w:eastAsiaTheme="minorEastAsia" w:hAnsiTheme="minorHAnsi" w:cstheme="minorBidi"/>
          <w:noProof/>
          <w:sz w:val="22"/>
          <w:szCs w:val="22"/>
        </w:rPr>
      </w:pPr>
      <w:hyperlink w:anchor="_Toc106011572" w:history="1">
        <w:r w:rsidR="00364C70" w:rsidRPr="00CB20E1">
          <w:rPr>
            <w:rStyle w:val="Hyperlink"/>
            <w:rFonts w:ascii="Times New Roman Bold" w:hAnsi="Times New Roman Bold"/>
            <w:noProof/>
          </w:rPr>
          <w:t>4.1</w:t>
        </w:r>
        <w:r w:rsidR="00364C70">
          <w:rPr>
            <w:rFonts w:asciiTheme="minorHAnsi" w:eastAsiaTheme="minorEastAsia" w:hAnsiTheme="minorHAnsi" w:cstheme="minorBidi"/>
            <w:noProof/>
            <w:sz w:val="22"/>
            <w:szCs w:val="22"/>
          </w:rPr>
          <w:tab/>
        </w:r>
        <w:r w:rsidR="00364C70" w:rsidRPr="00CB20E1">
          <w:rPr>
            <w:rStyle w:val="Hyperlink"/>
            <w:noProof/>
          </w:rPr>
          <w:t>Elements of an ES&amp;H Plan</w:t>
        </w:r>
        <w:r w:rsidR="00364C70">
          <w:rPr>
            <w:noProof/>
            <w:webHidden/>
          </w:rPr>
          <w:tab/>
        </w:r>
        <w:r w:rsidR="00364C70">
          <w:rPr>
            <w:noProof/>
            <w:webHidden/>
          </w:rPr>
          <w:fldChar w:fldCharType="begin"/>
        </w:r>
        <w:r w:rsidR="00364C70">
          <w:rPr>
            <w:noProof/>
            <w:webHidden/>
          </w:rPr>
          <w:instrText xml:space="preserve"> PAGEREF _Toc106011572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5CDE789B" w14:textId="6F1343AD" w:rsidR="00364C70" w:rsidRDefault="005B48A9">
      <w:pPr>
        <w:pStyle w:val="TOC3"/>
        <w:tabs>
          <w:tab w:val="left" w:pos="1930"/>
        </w:tabs>
        <w:rPr>
          <w:rFonts w:asciiTheme="minorHAnsi" w:eastAsiaTheme="minorEastAsia" w:hAnsiTheme="minorHAnsi" w:cstheme="minorBidi"/>
          <w:noProof/>
          <w:sz w:val="22"/>
          <w:szCs w:val="22"/>
        </w:rPr>
      </w:pPr>
      <w:hyperlink w:anchor="_Toc106011573" w:history="1">
        <w:r w:rsidR="00364C70" w:rsidRPr="00CB20E1">
          <w:rPr>
            <w:rStyle w:val="Hyperlink"/>
            <w:rFonts w:ascii="Times New Roman Bold" w:hAnsi="Times New Roman Bold"/>
            <w:noProof/>
          </w:rPr>
          <w:t>4.1.1.</w:t>
        </w:r>
        <w:r w:rsidR="00364C70">
          <w:rPr>
            <w:rFonts w:asciiTheme="minorHAnsi" w:eastAsiaTheme="minorEastAsia" w:hAnsiTheme="minorHAnsi" w:cstheme="minorBidi"/>
            <w:noProof/>
            <w:sz w:val="22"/>
            <w:szCs w:val="22"/>
          </w:rPr>
          <w:tab/>
        </w:r>
        <w:r w:rsidR="00364C70" w:rsidRPr="00CB20E1">
          <w:rPr>
            <w:rStyle w:val="Hyperlink"/>
            <w:noProof/>
          </w:rPr>
          <w:t>Integrated Safety Management Plan (ISMP)</w:t>
        </w:r>
        <w:r w:rsidR="00364C70">
          <w:rPr>
            <w:noProof/>
            <w:webHidden/>
          </w:rPr>
          <w:tab/>
        </w:r>
        <w:r w:rsidR="00364C70">
          <w:rPr>
            <w:noProof/>
            <w:webHidden/>
          </w:rPr>
          <w:fldChar w:fldCharType="begin"/>
        </w:r>
        <w:r w:rsidR="00364C70">
          <w:rPr>
            <w:noProof/>
            <w:webHidden/>
          </w:rPr>
          <w:instrText xml:space="preserve"> PAGEREF _Toc106011573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5DC5C566" w14:textId="283CF7D3" w:rsidR="00364C70" w:rsidRDefault="005B48A9">
      <w:pPr>
        <w:pStyle w:val="TOC3"/>
        <w:tabs>
          <w:tab w:val="left" w:pos="1930"/>
        </w:tabs>
        <w:rPr>
          <w:rFonts w:asciiTheme="minorHAnsi" w:eastAsiaTheme="minorEastAsia" w:hAnsiTheme="minorHAnsi" w:cstheme="minorBidi"/>
          <w:noProof/>
          <w:sz w:val="22"/>
          <w:szCs w:val="22"/>
        </w:rPr>
      </w:pPr>
      <w:hyperlink w:anchor="_Toc106011574" w:history="1">
        <w:r w:rsidR="00364C70" w:rsidRPr="00CB20E1">
          <w:rPr>
            <w:rStyle w:val="Hyperlink"/>
            <w:rFonts w:ascii="Times New Roman Bold" w:hAnsi="Times New Roman Bold"/>
            <w:noProof/>
          </w:rPr>
          <w:t>4.1.2.</w:t>
        </w:r>
        <w:r w:rsidR="00364C70">
          <w:rPr>
            <w:rFonts w:asciiTheme="minorHAnsi" w:eastAsiaTheme="minorEastAsia" w:hAnsiTheme="minorHAnsi" w:cstheme="minorBidi"/>
            <w:noProof/>
            <w:sz w:val="22"/>
            <w:szCs w:val="22"/>
          </w:rPr>
          <w:tab/>
        </w:r>
        <w:r w:rsidR="00364C70" w:rsidRPr="00CB20E1">
          <w:rPr>
            <w:rStyle w:val="Hyperlink"/>
            <w:noProof/>
          </w:rPr>
          <w:t>Preliminary Hazard Analysis Review (PHAR)</w:t>
        </w:r>
        <w:r w:rsidR="00364C70">
          <w:rPr>
            <w:noProof/>
            <w:webHidden/>
          </w:rPr>
          <w:tab/>
        </w:r>
        <w:r w:rsidR="00364C70">
          <w:rPr>
            <w:noProof/>
            <w:webHidden/>
          </w:rPr>
          <w:fldChar w:fldCharType="begin"/>
        </w:r>
        <w:r w:rsidR="00364C70">
          <w:rPr>
            <w:noProof/>
            <w:webHidden/>
          </w:rPr>
          <w:instrText xml:space="preserve"> PAGEREF _Toc106011574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0732B3E6" w14:textId="72179694" w:rsidR="00364C70" w:rsidRDefault="005B48A9">
      <w:pPr>
        <w:pStyle w:val="TOC3"/>
        <w:tabs>
          <w:tab w:val="left" w:pos="1930"/>
        </w:tabs>
        <w:rPr>
          <w:rFonts w:asciiTheme="minorHAnsi" w:eastAsiaTheme="minorEastAsia" w:hAnsiTheme="minorHAnsi" w:cstheme="minorBidi"/>
          <w:noProof/>
          <w:sz w:val="22"/>
          <w:szCs w:val="22"/>
        </w:rPr>
      </w:pPr>
      <w:hyperlink w:anchor="_Toc106011575" w:history="1">
        <w:r w:rsidR="00364C70" w:rsidRPr="00CB20E1">
          <w:rPr>
            <w:rStyle w:val="Hyperlink"/>
            <w:rFonts w:ascii="Times New Roman Bold" w:hAnsi="Times New Roman Bold"/>
            <w:noProof/>
          </w:rPr>
          <w:t>4.1.3.</w:t>
        </w:r>
        <w:r w:rsidR="00364C70">
          <w:rPr>
            <w:rFonts w:asciiTheme="minorHAnsi" w:eastAsiaTheme="minorEastAsia" w:hAnsiTheme="minorHAnsi" w:cstheme="minorBidi"/>
            <w:noProof/>
            <w:sz w:val="22"/>
            <w:szCs w:val="22"/>
          </w:rPr>
          <w:tab/>
        </w:r>
        <w:r w:rsidR="00364C70" w:rsidRPr="00CB20E1">
          <w:rPr>
            <w:rStyle w:val="Hyperlink"/>
            <w:noProof/>
          </w:rPr>
          <w:t>Safety Assessment Document (SAD)</w:t>
        </w:r>
        <w:r w:rsidR="00364C70">
          <w:rPr>
            <w:noProof/>
            <w:webHidden/>
          </w:rPr>
          <w:tab/>
        </w:r>
        <w:r w:rsidR="00364C70">
          <w:rPr>
            <w:noProof/>
            <w:webHidden/>
          </w:rPr>
          <w:fldChar w:fldCharType="begin"/>
        </w:r>
        <w:r w:rsidR="00364C70">
          <w:rPr>
            <w:noProof/>
            <w:webHidden/>
          </w:rPr>
          <w:instrText xml:space="preserve"> PAGEREF _Toc106011575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3F2C29DD" w14:textId="1790FEC7" w:rsidR="00364C70" w:rsidRDefault="005B48A9">
      <w:pPr>
        <w:pStyle w:val="TOC3"/>
        <w:tabs>
          <w:tab w:val="left" w:pos="1930"/>
        </w:tabs>
        <w:rPr>
          <w:rFonts w:asciiTheme="minorHAnsi" w:eastAsiaTheme="minorEastAsia" w:hAnsiTheme="minorHAnsi" w:cstheme="minorBidi"/>
          <w:noProof/>
          <w:sz w:val="22"/>
          <w:szCs w:val="22"/>
        </w:rPr>
      </w:pPr>
      <w:hyperlink w:anchor="_Toc106011576" w:history="1">
        <w:r w:rsidR="00364C70" w:rsidRPr="00CB20E1">
          <w:rPr>
            <w:rStyle w:val="Hyperlink"/>
            <w:rFonts w:ascii="Times New Roman Bold" w:hAnsi="Times New Roman Bold"/>
            <w:noProof/>
          </w:rPr>
          <w:t>4.1.4.</w:t>
        </w:r>
        <w:r w:rsidR="00364C70">
          <w:rPr>
            <w:rFonts w:asciiTheme="minorHAnsi" w:eastAsiaTheme="minorEastAsia" w:hAnsiTheme="minorHAnsi" w:cstheme="minorBidi"/>
            <w:noProof/>
            <w:sz w:val="22"/>
            <w:szCs w:val="22"/>
          </w:rPr>
          <w:tab/>
        </w:r>
        <w:r w:rsidR="00364C70" w:rsidRPr="00CB20E1">
          <w:rPr>
            <w:rStyle w:val="Hyperlink"/>
            <w:noProof/>
          </w:rPr>
          <w:t>National Environmental Policy Act (NEPA) Review</w:t>
        </w:r>
        <w:r w:rsidR="00364C70">
          <w:rPr>
            <w:noProof/>
            <w:webHidden/>
          </w:rPr>
          <w:tab/>
        </w:r>
        <w:r w:rsidR="00364C70">
          <w:rPr>
            <w:noProof/>
            <w:webHidden/>
          </w:rPr>
          <w:fldChar w:fldCharType="begin"/>
        </w:r>
        <w:r w:rsidR="00364C70">
          <w:rPr>
            <w:noProof/>
            <w:webHidden/>
          </w:rPr>
          <w:instrText xml:space="preserve"> PAGEREF _Toc106011576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1C4EDCAD" w14:textId="598CA128" w:rsidR="00364C70" w:rsidRDefault="005B48A9">
      <w:pPr>
        <w:pStyle w:val="TOC3"/>
        <w:tabs>
          <w:tab w:val="left" w:pos="1930"/>
        </w:tabs>
        <w:rPr>
          <w:rFonts w:asciiTheme="minorHAnsi" w:eastAsiaTheme="minorEastAsia" w:hAnsiTheme="minorHAnsi" w:cstheme="minorBidi"/>
          <w:noProof/>
          <w:sz w:val="22"/>
          <w:szCs w:val="22"/>
        </w:rPr>
      </w:pPr>
      <w:hyperlink w:anchor="_Toc106011577" w:history="1">
        <w:r w:rsidR="00364C70" w:rsidRPr="00CB20E1">
          <w:rPr>
            <w:rStyle w:val="Hyperlink"/>
            <w:rFonts w:ascii="Times New Roman Bold" w:hAnsi="Times New Roman Bold"/>
            <w:noProof/>
          </w:rPr>
          <w:t>4.1.5.</w:t>
        </w:r>
        <w:r w:rsidR="00364C70">
          <w:rPr>
            <w:rFonts w:asciiTheme="minorHAnsi" w:eastAsiaTheme="minorEastAsia" w:hAnsiTheme="minorHAnsi" w:cstheme="minorBidi"/>
            <w:noProof/>
            <w:sz w:val="22"/>
            <w:szCs w:val="22"/>
          </w:rPr>
          <w:tab/>
        </w:r>
        <w:r w:rsidR="00364C70" w:rsidRPr="00CB20E1">
          <w:rPr>
            <w:rStyle w:val="Hyperlink"/>
            <w:noProof/>
          </w:rPr>
          <w:t>Security Vulnerability Assessment Report (SVAR)</w:t>
        </w:r>
        <w:r w:rsidR="00364C70">
          <w:rPr>
            <w:noProof/>
            <w:webHidden/>
          </w:rPr>
          <w:tab/>
        </w:r>
        <w:r w:rsidR="00364C70">
          <w:rPr>
            <w:noProof/>
            <w:webHidden/>
          </w:rPr>
          <w:fldChar w:fldCharType="begin"/>
        </w:r>
        <w:r w:rsidR="00364C70">
          <w:rPr>
            <w:noProof/>
            <w:webHidden/>
          </w:rPr>
          <w:instrText xml:space="preserve"> PAGEREF _Toc106011577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1874A713" w14:textId="010B2F81" w:rsidR="00364C70" w:rsidRDefault="005B48A9">
      <w:pPr>
        <w:pStyle w:val="TOC3"/>
        <w:tabs>
          <w:tab w:val="left" w:pos="1930"/>
        </w:tabs>
        <w:rPr>
          <w:rFonts w:asciiTheme="minorHAnsi" w:eastAsiaTheme="minorEastAsia" w:hAnsiTheme="minorHAnsi" w:cstheme="minorBidi"/>
          <w:noProof/>
          <w:sz w:val="22"/>
          <w:szCs w:val="22"/>
        </w:rPr>
      </w:pPr>
      <w:hyperlink w:anchor="_Toc106011578" w:history="1">
        <w:r w:rsidR="00364C70" w:rsidRPr="00CB20E1">
          <w:rPr>
            <w:rStyle w:val="Hyperlink"/>
            <w:rFonts w:ascii="Times New Roman Bold" w:hAnsi="Times New Roman Bold"/>
            <w:noProof/>
          </w:rPr>
          <w:t>4.1.6.</w:t>
        </w:r>
        <w:r w:rsidR="00364C70">
          <w:rPr>
            <w:rFonts w:asciiTheme="minorHAnsi" w:eastAsiaTheme="minorEastAsia" w:hAnsiTheme="minorHAnsi" w:cstheme="minorBidi"/>
            <w:noProof/>
            <w:sz w:val="22"/>
            <w:szCs w:val="22"/>
          </w:rPr>
          <w:tab/>
        </w:r>
        <w:r w:rsidR="00364C70" w:rsidRPr="00CB20E1">
          <w:rPr>
            <w:rStyle w:val="Hyperlink"/>
            <w:noProof/>
          </w:rPr>
          <w:t>Hazard Analysis Report (HAR)</w:t>
        </w:r>
        <w:r w:rsidR="00364C70">
          <w:rPr>
            <w:noProof/>
            <w:webHidden/>
          </w:rPr>
          <w:tab/>
        </w:r>
        <w:r w:rsidR="00364C70">
          <w:rPr>
            <w:noProof/>
            <w:webHidden/>
          </w:rPr>
          <w:fldChar w:fldCharType="begin"/>
        </w:r>
        <w:r w:rsidR="00364C70">
          <w:rPr>
            <w:noProof/>
            <w:webHidden/>
          </w:rPr>
          <w:instrText xml:space="preserve"> PAGEREF _Toc106011578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4E3A4FA8" w14:textId="5981F721" w:rsidR="00364C70" w:rsidRDefault="005B48A9">
      <w:pPr>
        <w:pStyle w:val="TOC1"/>
        <w:rPr>
          <w:rFonts w:asciiTheme="minorHAnsi" w:eastAsiaTheme="minorEastAsia" w:hAnsiTheme="minorHAnsi" w:cstheme="minorBidi"/>
          <w:noProof/>
          <w:sz w:val="22"/>
          <w:szCs w:val="22"/>
        </w:rPr>
      </w:pPr>
      <w:hyperlink w:anchor="_Toc106011579" w:history="1">
        <w:r w:rsidR="00364C70" w:rsidRPr="00CB20E1">
          <w:rPr>
            <w:rStyle w:val="Hyperlink"/>
            <w:rFonts w:ascii="Times New Roman Bold" w:hAnsi="Times New Roman Bold"/>
            <w:noProof/>
          </w:rPr>
          <w:t>5.0</w:t>
        </w:r>
        <w:r w:rsidR="00364C70">
          <w:rPr>
            <w:rFonts w:asciiTheme="minorHAnsi" w:eastAsiaTheme="minorEastAsia" w:hAnsiTheme="minorHAnsi" w:cstheme="minorBidi"/>
            <w:noProof/>
            <w:sz w:val="22"/>
            <w:szCs w:val="22"/>
          </w:rPr>
          <w:tab/>
        </w:r>
        <w:r w:rsidR="00364C70" w:rsidRPr="00CB20E1">
          <w:rPr>
            <w:rStyle w:val="Hyperlink"/>
            <w:noProof/>
          </w:rPr>
          <w:t>REFERENCES</w:t>
        </w:r>
        <w:r w:rsidR="00364C70">
          <w:rPr>
            <w:noProof/>
            <w:webHidden/>
          </w:rPr>
          <w:tab/>
        </w:r>
        <w:r w:rsidR="00364C70">
          <w:rPr>
            <w:noProof/>
            <w:webHidden/>
          </w:rPr>
          <w:fldChar w:fldCharType="begin"/>
        </w:r>
        <w:r w:rsidR="00364C70">
          <w:rPr>
            <w:noProof/>
            <w:webHidden/>
          </w:rPr>
          <w:instrText xml:space="preserve"> PAGEREF _Toc106011579 \h </w:instrText>
        </w:r>
        <w:r w:rsidR="00364C70">
          <w:rPr>
            <w:noProof/>
            <w:webHidden/>
          </w:rPr>
        </w:r>
        <w:r w:rsidR="00364C70">
          <w:rPr>
            <w:noProof/>
            <w:webHidden/>
          </w:rPr>
          <w:fldChar w:fldCharType="separate"/>
        </w:r>
        <w:r w:rsidR="00EA6230">
          <w:rPr>
            <w:noProof/>
            <w:webHidden/>
          </w:rPr>
          <w:t>1</w:t>
        </w:r>
        <w:r w:rsidR="00364C70">
          <w:rPr>
            <w:noProof/>
            <w:webHidden/>
          </w:rPr>
          <w:fldChar w:fldCharType="end"/>
        </w:r>
      </w:hyperlink>
    </w:p>
    <w:p w14:paraId="08EEC836" w14:textId="2E0EAC03" w:rsidR="00F41ADD" w:rsidRPr="0007203C" w:rsidRDefault="00FF181A" w:rsidP="00F41ADD">
      <w:pPr>
        <w:tabs>
          <w:tab w:val="right" w:leader="dot" w:pos="9720"/>
        </w:tabs>
        <w:jc w:val="left"/>
        <w:rPr>
          <w:bCs/>
        </w:rPr>
      </w:pPr>
      <w:r w:rsidRPr="0007203C">
        <w:rPr>
          <w:bCs/>
        </w:rPr>
        <w:fldChar w:fldCharType="end"/>
      </w:r>
    </w:p>
    <w:p w14:paraId="4B83866D" w14:textId="77777777" w:rsidR="00F41ADD" w:rsidRPr="0007203C" w:rsidRDefault="00F41ADD" w:rsidP="00F41ADD">
      <w:pPr>
        <w:jc w:val="left"/>
        <w:rPr>
          <w:bCs/>
        </w:rPr>
      </w:pPr>
    </w:p>
    <w:p w14:paraId="0FC8D007" w14:textId="77777777" w:rsidR="00F41ADD" w:rsidRPr="0007203C" w:rsidRDefault="00F41ADD" w:rsidP="00F41ADD">
      <w:pPr>
        <w:rPr>
          <w:bCs/>
        </w:rPr>
      </w:pPr>
    </w:p>
    <w:p w14:paraId="34185E87" w14:textId="25E15A83" w:rsidR="00A96FFC" w:rsidRPr="0007203C" w:rsidRDefault="00A96FFC" w:rsidP="003559A3">
      <w:pPr>
        <w:tabs>
          <w:tab w:val="right" w:leader="dot" w:pos="9720"/>
        </w:tabs>
        <w:jc w:val="left"/>
        <w:rPr>
          <w:bCs/>
        </w:rPr>
      </w:pPr>
    </w:p>
    <w:p w14:paraId="20A01E65" w14:textId="77777777" w:rsidR="00F41ADD" w:rsidRPr="0007203C" w:rsidRDefault="00F41ADD" w:rsidP="00F41ADD">
      <w:pPr>
        <w:rPr>
          <w:bCs/>
        </w:rPr>
      </w:pPr>
    </w:p>
    <w:p w14:paraId="39BAD33F" w14:textId="77777777" w:rsidR="00F41ADD" w:rsidRPr="0007203C" w:rsidRDefault="00F41ADD" w:rsidP="00F41ADD">
      <w:pPr>
        <w:rPr>
          <w:bCs/>
        </w:rPr>
        <w:sectPr w:rsidR="00F41ADD" w:rsidRPr="0007203C" w:rsidSect="008A1C22">
          <w:headerReference w:type="default" r:id="rId10"/>
          <w:footerReference w:type="default" r:id="rId11"/>
          <w:pgSz w:w="12240" w:h="15840" w:code="1"/>
          <w:pgMar w:top="720" w:right="1080" w:bottom="720" w:left="1440" w:header="720" w:footer="389" w:gutter="0"/>
          <w:cols w:space="720"/>
          <w:docGrid w:linePitch="360"/>
        </w:sectPr>
      </w:pPr>
    </w:p>
    <w:p w14:paraId="34185E8C" w14:textId="365CC937" w:rsidR="00CE5B8A" w:rsidRPr="0007203C" w:rsidRDefault="007D5A75" w:rsidP="00F41ADD">
      <w:pPr>
        <w:pStyle w:val="Heading1"/>
      </w:pPr>
      <w:bookmarkStart w:id="0" w:name="_Toc106011565"/>
      <w:r w:rsidRPr="0007203C">
        <w:lastRenderedPageBreak/>
        <w:t>INTRODUCTION</w:t>
      </w:r>
      <w:r w:rsidR="00C9646B" w:rsidRPr="0007203C">
        <w:t xml:space="preserve"> AND SCOPE</w:t>
      </w:r>
      <w:bookmarkEnd w:id="0"/>
    </w:p>
    <w:p w14:paraId="34185E8D" w14:textId="77777777" w:rsidR="00D435EC" w:rsidRPr="0007203C" w:rsidRDefault="00D435EC" w:rsidP="00F41ADD"/>
    <w:p w14:paraId="4B5BAE24" w14:textId="73BF25E6" w:rsidR="00D63398" w:rsidRPr="0007203C" w:rsidRDefault="00D63398" w:rsidP="00F41ADD">
      <w:r w:rsidRPr="0007203C">
        <w:rPr>
          <w:rStyle w:val="normaltextrun"/>
        </w:rPr>
        <w:t>All projects at Fermilab are bound by the requirements of the Fermilab Policy Website, the Fermilab Engineering Manual, and this Fermilab ES&amp;H Manual (FESHM) including the Fermilab Radiological Control Manual (FRCM), and the Quality Assurance Manual (QAM).</w:t>
      </w:r>
      <w:r w:rsidR="00F41ADD" w:rsidRPr="0007203C">
        <w:rPr>
          <w:rStyle w:val="normaltextrun"/>
        </w:rPr>
        <w:t xml:space="preserve"> </w:t>
      </w:r>
      <w:r w:rsidRPr="0007203C">
        <w:rPr>
          <w:rStyle w:val="normaltextrun"/>
        </w:rPr>
        <w:t xml:space="preserve"> The purpose of this chapter is to provide an overview of major environment, safety, and health requirements that apply to project activities with a total cost of greater than $10M.</w:t>
      </w:r>
      <w:r w:rsidR="00F41ADD" w:rsidRPr="0007203C">
        <w:rPr>
          <w:rStyle w:val="normaltextrun"/>
        </w:rPr>
        <w:t xml:space="preserve"> </w:t>
      </w:r>
      <w:r w:rsidRPr="0007203C">
        <w:rPr>
          <w:rStyle w:val="normaltextrun"/>
        </w:rPr>
        <w:t xml:space="preserve"> Projects include planning and execution of new construction, assembly, renovation, modification, environmental restoration, decontamination and decommissioning, capital equipment, and technology development activities.</w:t>
      </w:r>
    </w:p>
    <w:p w14:paraId="17347D9D" w14:textId="08815852" w:rsidR="00D63398" w:rsidRPr="0007203C" w:rsidRDefault="00D63398" w:rsidP="00F41ADD"/>
    <w:p w14:paraId="53C39E0A" w14:textId="1F0781F9" w:rsidR="00D63398" w:rsidRPr="0007203C" w:rsidRDefault="00D63398" w:rsidP="00F41ADD">
      <w:r w:rsidRPr="0007203C">
        <w:rPr>
          <w:rStyle w:val="normaltextrun"/>
        </w:rPr>
        <w:t xml:space="preserve">Environmental, Safety and Health (ES&amp;H) is a critical component to the success of any program or project. Early integration of ES&amp;H into a program or project ensures that appropriate and adequate processes, personnel, and equipment are in place to meet or exceed expectations. </w:t>
      </w:r>
      <w:r w:rsidR="00F41ADD" w:rsidRPr="0007203C">
        <w:rPr>
          <w:rStyle w:val="normaltextrun"/>
        </w:rPr>
        <w:t xml:space="preserve"> </w:t>
      </w:r>
      <w:r w:rsidRPr="0007203C">
        <w:rPr>
          <w:rStyle w:val="normaltextrun"/>
        </w:rPr>
        <w:t xml:space="preserve">This also provides the means to adequately identify and mitigate potential risks. </w:t>
      </w:r>
      <w:r w:rsidR="00F41ADD" w:rsidRPr="0007203C">
        <w:rPr>
          <w:rStyle w:val="normaltextrun"/>
        </w:rPr>
        <w:t xml:space="preserve"> </w:t>
      </w:r>
      <w:r w:rsidRPr="0007203C">
        <w:rPr>
          <w:rStyle w:val="normaltextrun"/>
        </w:rPr>
        <w:t>This chapter describes the expectations regarding the implementation of ES&amp;H in the various types of projects executed by the Fermi Research Alliance (FRA).</w:t>
      </w:r>
    </w:p>
    <w:p w14:paraId="1292D3B5" w14:textId="0495D3C4" w:rsidR="00D63398" w:rsidRPr="0007203C" w:rsidRDefault="00D63398" w:rsidP="00F41ADD"/>
    <w:p w14:paraId="25D073B6" w14:textId="2E93089A" w:rsidR="00D63398" w:rsidRPr="0007203C" w:rsidRDefault="00D63398" w:rsidP="00F41ADD">
      <w:r w:rsidRPr="0007203C">
        <w:rPr>
          <w:rStyle w:val="normaltextrun"/>
        </w:rPr>
        <w:t xml:space="preserve">New projects with a total cost of greater than $50M, or at the discretion of the relevant DOE Under Secretary for Projects, with a total cost between $10-50M (such as new or upgraded High Energy Physics experiments, civil construction, or infrastructure upgrades) are required to follow DOE Order 413.3B – Project and Project Management for the Acquisition of Capital Assets. FRA may choose to undertake focused facility upgrade projects using General Plant Project (GPP) or Accelerator Improvement Project (AIP) funding. </w:t>
      </w:r>
      <w:r w:rsidR="00F41ADD" w:rsidRPr="0007203C">
        <w:rPr>
          <w:rStyle w:val="normaltextrun"/>
        </w:rPr>
        <w:t xml:space="preserve"> </w:t>
      </w:r>
      <w:r w:rsidRPr="0007203C">
        <w:rPr>
          <w:rStyle w:val="normaltextrun"/>
        </w:rPr>
        <w:t xml:space="preserve">FRA also has the option of undertaking less extensive upgrades using Operations budgets. For Projects that fall below the DOE O 413.3B threshold, FRA utilizes a tailored approach as described in the </w:t>
      </w:r>
      <w:hyperlink r:id="rId12" w:tgtFrame="_blank" w:history="1">
        <w:r w:rsidRPr="0007203C">
          <w:rPr>
            <w:rStyle w:val="normaltextrun"/>
            <w:color w:val="0000FF"/>
            <w:u w:val="single"/>
          </w:rPr>
          <w:t>Fermilab Conduct of Project Management Values and Standards.</w:t>
        </w:r>
      </w:hyperlink>
    </w:p>
    <w:p w14:paraId="48F3E65B" w14:textId="72FFBEBD" w:rsidR="00D63398" w:rsidRPr="0007203C" w:rsidRDefault="00D63398" w:rsidP="00F41ADD"/>
    <w:p w14:paraId="554F1D46" w14:textId="072327ED" w:rsidR="005D2693" w:rsidRPr="0007203C" w:rsidRDefault="005D2693" w:rsidP="00F41ADD">
      <w:r w:rsidRPr="0007203C">
        <w:rPr>
          <w:rStyle w:val="normaltextrun"/>
        </w:rPr>
        <w:t xml:space="preserve">To ensure there is focus on instituting the appropriate ES&amp;H framework along with other project personnel, it is also expected that 413.3B projects appoint a designated Fermilab ES&amp;H Coordinator for support and guidance on how to integrate ES&amp;H into the project. </w:t>
      </w:r>
      <w:r w:rsidR="00F41ADD" w:rsidRPr="0007203C">
        <w:rPr>
          <w:rStyle w:val="normaltextrun"/>
        </w:rPr>
        <w:t xml:space="preserve"> </w:t>
      </w:r>
      <w:r w:rsidRPr="0007203C">
        <w:rPr>
          <w:rStyle w:val="normaltextrun"/>
        </w:rPr>
        <w:t>It is important to note that the Project Manager and Project Director (if one is designated) bear the ultimate responsibility for ES&amp;H in their project.</w:t>
      </w:r>
      <w:r w:rsidR="00F41ADD" w:rsidRPr="0007203C">
        <w:rPr>
          <w:rStyle w:val="eop"/>
        </w:rPr>
        <w:t xml:space="preserve">  </w:t>
      </w:r>
      <w:r w:rsidRPr="0007203C">
        <w:rPr>
          <w:rStyle w:val="eop"/>
        </w:rPr>
        <w:t>For Projects that fall below the 413.3B threshold, the expectation is that the DSO of the sponsoring division/section will serve as the project’s ES&amp;H Coordinator, unless the CSO designates an alternate.</w:t>
      </w:r>
    </w:p>
    <w:p w14:paraId="34185E8F" w14:textId="77777777" w:rsidR="007D5A75" w:rsidRPr="0007203C" w:rsidRDefault="007D5A75" w:rsidP="00F41ADD"/>
    <w:p w14:paraId="34185E90" w14:textId="68588AF5" w:rsidR="007D5A75" w:rsidRPr="0007203C" w:rsidRDefault="00D63398" w:rsidP="00F41ADD">
      <w:pPr>
        <w:pStyle w:val="Heading1"/>
      </w:pPr>
      <w:bookmarkStart w:id="1" w:name="_Toc106011566"/>
      <w:r w:rsidRPr="0007203C">
        <w:t>ACRONYMS</w:t>
      </w:r>
      <w:bookmarkEnd w:id="1"/>
    </w:p>
    <w:p w14:paraId="34185E91" w14:textId="77777777" w:rsidR="007D5A75" w:rsidRPr="0007203C" w:rsidRDefault="007D5A75" w:rsidP="00F41ADD"/>
    <w:p w14:paraId="38293AE9" w14:textId="78E78495" w:rsidR="00D63398" w:rsidRPr="0007203C" w:rsidRDefault="00D63398" w:rsidP="00F41ADD">
      <w:pPr>
        <w:rPr>
          <w:sz w:val="18"/>
          <w:szCs w:val="18"/>
        </w:rPr>
      </w:pPr>
      <w:r w:rsidRPr="0007203C">
        <w:rPr>
          <w:rStyle w:val="normaltextrun"/>
        </w:rPr>
        <w:t>DOE – Department of Energy</w:t>
      </w:r>
    </w:p>
    <w:p w14:paraId="610441BE" w14:textId="475E374E" w:rsidR="00D63398" w:rsidRPr="0007203C" w:rsidRDefault="00D63398" w:rsidP="00F41ADD">
      <w:pPr>
        <w:rPr>
          <w:sz w:val="18"/>
          <w:szCs w:val="18"/>
        </w:rPr>
      </w:pPr>
      <w:r w:rsidRPr="0007203C">
        <w:rPr>
          <w:rStyle w:val="normaltextrun"/>
        </w:rPr>
        <w:t>DSO – Division Safety Officer</w:t>
      </w:r>
    </w:p>
    <w:p w14:paraId="6DAA80AF" w14:textId="4FCB536B" w:rsidR="00D63398" w:rsidRPr="0007203C" w:rsidRDefault="00D63398" w:rsidP="00F41ADD">
      <w:pPr>
        <w:rPr>
          <w:sz w:val="18"/>
          <w:szCs w:val="18"/>
        </w:rPr>
      </w:pPr>
      <w:r w:rsidRPr="0007203C">
        <w:rPr>
          <w:rStyle w:val="normaltextrun"/>
        </w:rPr>
        <w:t>FESHM – Fermilab Environmental, Safety and Health Manual</w:t>
      </w:r>
    </w:p>
    <w:p w14:paraId="43817898" w14:textId="3970A982" w:rsidR="00D63398" w:rsidRPr="0007203C" w:rsidRDefault="00D63398" w:rsidP="00F41ADD">
      <w:pPr>
        <w:rPr>
          <w:sz w:val="18"/>
          <w:szCs w:val="18"/>
        </w:rPr>
      </w:pPr>
      <w:r w:rsidRPr="0007203C">
        <w:rPr>
          <w:rStyle w:val="normaltextrun"/>
        </w:rPr>
        <w:t>FRCM – Fermilab Radiation Control Manual</w:t>
      </w:r>
    </w:p>
    <w:p w14:paraId="61564CE7" w14:textId="28D742F4"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FSO – Fermi Site Office</w:t>
      </w:r>
    </w:p>
    <w:p w14:paraId="5E2C286E" w14:textId="14246326"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HA – Hazard Analysis</w:t>
      </w:r>
    </w:p>
    <w:p w14:paraId="35DAC2A6" w14:textId="619144F0"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HAR – Hazard Analysis Report</w:t>
      </w:r>
    </w:p>
    <w:p w14:paraId="17AD34A5" w14:textId="4178B2CE"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ISMP – Integrated Safety Management Plan</w:t>
      </w:r>
    </w:p>
    <w:p w14:paraId="4978D9B4" w14:textId="45D6A86B"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NEPA – National Environmental Policy Act</w:t>
      </w:r>
    </w:p>
    <w:p w14:paraId="33D0D042" w14:textId="5EF72E1F"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lastRenderedPageBreak/>
        <w:t>PHAR – Preliminary Hazard Analysis Report</w:t>
      </w:r>
    </w:p>
    <w:p w14:paraId="594B3041" w14:textId="1A04F6CD"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QAM – Quality Assurance Manual</w:t>
      </w:r>
    </w:p>
    <w:p w14:paraId="3D0D299B" w14:textId="4DCCFE0E"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SAD – Safety Assessment Document</w:t>
      </w:r>
    </w:p>
    <w:p w14:paraId="0C22621F" w14:textId="21B5ED4D" w:rsidR="00D63398" w:rsidRPr="0007203C" w:rsidRDefault="00D63398" w:rsidP="00D63398">
      <w:pPr>
        <w:pStyle w:val="paragraph"/>
        <w:spacing w:before="0" w:beforeAutospacing="0" w:after="0" w:afterAutospacing="0"/>
        <w:jc w:val="both"/>
        <w:textAlignment w:val="baseline"/>
        <w:rPr>
          <w:sz w:val="18"/>
          <w:szCs w:val="18"/>
        </w:rPr>
      </w:pPr>
      <w:r w:rsidRPr="0007203C">
        <w:rPr>
          <w:rStyle w:val="normaltextrun"/>
        </w:rPr>
        <w:t xml:space="preserve">SVAR </w:t>
      </w:r>
      <w:r w:rsidR="00F41ADD" w:rsidRPr="0007203C">
        <w:rPr>
          <w:rStyle w:val="normaltextrun"/>
        </w:rPr>
        <w:t>–</w:t>
      </w:r>
      <w:r w:rsidRPr="0007203C">
        <w:rPr>
          <w:rStyle w:val="normaltextrun"/>
        </w:rPr>
        <w:t xml:space="preserve"> Security Vulnerability Assessment Report</w:t>
      </w:r>
    </w:p>
    <w:p w14:paraId="34185E93" w14:textId="77777777" w:rsidR="006A7918" w:rsidRPr="0007203C" w:rsidRDefault="006A7918" w:rsidP="00E00D72"/>
    <w:p w14:paraId="34185E94" w14:textId="77777777" w:rsidR="00554664" w:rsidRPr="0007203C" w:rsidRDefault="00554664" w:rsidP="00F41ADD">
      <w:pPr>
        <w:pStyle w:val="Heading1"/>
      </w:pPr>
      <w:bookmarkStart w:id="2" w:name="_Toc106011567"/>
      <w:r w:rsidRPr="0007203C">
        <w:t>RESPONSIB</w:t>
      </w:r>
      <w:r w:rsidR="00730FCE" w:rsidRPr="0007203C">
        <w:t>I</w:t>
      </w:r>
      <w:r w:rsidRPr="0007203C">
        <w:t>L</w:t>
      </w:r>
      <w:r w:rsidR="007D5A75" w:rsidRPr="0007203C">
        <w:t>ITIES</w:t>
      </w:r>
      <w:bookmarkEnd w:id="2"/>
    </w:p>
    <w:p w14:paraId="34185E97" w14:textId="24178B39" w:rsidR="00C552C0" w:rsidRPr="0007203C" w:rsidRDefault="00C552C0" w:rsidP="00E00D72">
      <w:pPr>
        <w:rPr>
          <w:bCs/>
          <w:color w:val="000000"/>
          <w:kern w:val="32"/>
        </w:rPr>
      </w:pPr>
    </w:p>
    <w:p w14:paraId="34185E98" w14:textId="6544CD6B" w:rsidR="003E2A77" w:rsidRPr="0007203C" w:rsidRDefault="00D63398" w:rsidP="00F41ADD">
      <w:pPr>
        <w:pStyle w:val="Heading2"/>
      </w:pPr>
      <w:bookmarkStart w:id="3" w:name="_Toc106011568"/>
      <w:r w:rsidRPr="0007203C">
        <w:t>ES&amp;H Project Coordinator or ES&amp;H Project Manage</w:t>
      </w:r>
      <w:bookmarkEnd w:id="3"/>
      <w:r w:rsidR="008A1C22">
        <w:t>r</w:t>
      </w:r>
    </w:p>
    <w:p w14:paraId="0AC02C24" w14:textId="69ACC2D9" w:rsidR="00D63398" w:rsidRPr="0007203C" w:rsidRDefault="00D63398" w:rsidP="00BC54C9">
      <w:pPr>
        <w:pStyle w:val="paragraph"/>
        <w:spacing w:before="0" w:beforeAutospacing="0" w:after="0" w:afterAutospacing="0"/>
        <w:jc w:val="both"/>
        <w:textAlignment w:val="baseline"/>
        <w:rPr>
          <w:sz w:val="18"/>
          <w:szCs w:val="18"/>
        </w:rPr>
      </w:pPr>
      <w:r w:rsidRPr="0007203C">
        <w:rPr>
          <w:rStyle w:val="normaltextrun"/>
        </w:rPr>
        <w:t>At the discretion of the Chief Safety Officer, an ES&amp;H Project Coordinator may be appointed for designated projects. The Project ESH Coordinator is responsible for:</w:t>
      </w:r>
    </w:p>
    <w:p w14:paraId="096A2903" w14:textId="29C0934D"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Assisting PM with oversight of project activities with respect to ES&amp;H requirements.</w:t>
      </w:r>
    </w:p>
    <w:p w14:paraId="48B419F4" w14:textId="2B40381F"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 xml:space="preserve">Monitoring project activities to </w:t>
      </w:r>
      <w:r w:rsidR="008A1C22">
        <w:rPr>
          <w:rStyle w:val="normaltextrun"/>
        </w:rPr>
        <w:t>ensure</w:t>
      </w:r>
      <w:r w:rsidRPr="0007203C">
        <w:rPr>
          <w:rStyle w:val="normaltextrun"/>
        </w:rPr>
        <w:t xml:space="preserve"> conformance with accepted ES&amp;H standards as delineated separately in FRCM and FESHM.</w:t>
      </w:r>
    </w:p>
    <w:p w14:paraId="40547284" w14:textId="238B9496"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When other institutions are within the scope of the Project, coordinate ES&amp;H requirements with local ES&amp;H representatives.</w:t>
      </w:r>
    </w:p>
    <w:p w14:paraId="02BA19BC" w14:textId="65AD462E"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Promptly reporting to the Project Manager and the Chief Safety Officer significant incidents related to ES&amp;H.</w:t>
      </w:r>
      <w:r w:rsidR="00F41ADD" w:rsidRPr="0007203C">
        <w:rPr>
          <w:rStyle w:val="normaltextrun"/>
        </w:rPr>
        <w:t xml:space="preserve"> </w:t>
      </w:r>
      <w:r w:rsidRPr="0007203C">
        <w:rPr>
          <w:rStyle w:val="normaltextrun"/>
        </w:rPr>
        <w:t xml:space="preserve"> The appropriate division or section head should also be notified if the event affects their division or section.</w:t>
      </w:r>
    </w:p>
    <w:p w14:paraId="3879E45D" w14:textId="71C2926D"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Attending project-related meetings and discussions and participate in the associated Project Management Group (PMG) meetings, as appropriate.</w:t>
      </w:r>
    </w:p>
    <w:p w14:paraId="373A9DED" w14:textId="4AC87A3F"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Participate in vendor visits as appropriate.</w:t>
      </w:r>
    </w:p>
    <w:p w14:paraId="5EC96B48" w14:textId="40AA1654" w:rsidR="00D63398" w:rsidRPr="0007203C" w:rsidRDefault="00D63398" w:rsidP="00BC54C9">
      <w:pPr>
        <w:pStyle w:val="paragraph"/>
        <w:numPr>
          <w:ilvl w:val="0"/>
          <w:numId w:val="27"/>
        </w:numPr>
        <w:spacing w:before="0" w:beforeAutospacing="0" w:after="0" w:afterAutospacing="0"/>
        <w:jc w:val="both"/>
        <w:textAlignment w:val="baseline"/>
      </w:pPr>
      <w:r w:rsidRPr="0007203C">
        <w:rPr>
          <w:rStyle w:val="normaltextrun"/>
        </w:rPr>
        <w:t>Being available for internal and DOE reviews as appropriate.</w:t>
      </w:r>
    </w:p>
    <w:p w14:paraId="34185E9A" w14:textId="77777777" w:rsidR="00E7004C" w:rsidRPr="0007203C" w:rsidRDefault="00E7004C" w:rsidP="00E00D72">
      <w:pPr>
        <w:rPr>
          <w:bCs/>
          <w:highlight w:val="yellow"/>
        </w:rPr>
      </w:pPr>
    </w:p>
    <w:p w14:paraId="34185E9B" w14:textId="2F2094E5" w:rsidR="006E7F4F" w:rsidRPr="0007203C" w:rsidRDefault="00D63398" w:rsidP="00BC54C9">
      <w:pPr>
        <w:pStyle w:val="Heading2"/>
      </w:pPr>
      <w:bookmarkStart w:id="4" w:name="_Toc106011569"/>
      <w:r w:rsidRPr="0007203C">
        <w:t>Project Manager</w:t>
      </w:r>
      <w:bookmarkEnd w:id="4"/>
    </w:p>
    <w:p w14:paraId="0E9BA742" w14:textId="5D9BA541" w:rsidR="00D63398" w:rsidRPr="0007203C" w:rsidRDefault="00D63398" w:rsidP="00BC54C9">
      <w:pPr>
        <w:pStyle w:val="paragraph"/>
        <w:numPr>
          <w:ilvl w:val="0"/>
          <w:numId w:val="28"/>
        </w:numPr>
        <w:spacing w:before="0" w:beforeAutospacing="0" w:after="0" w:afterAutospacing="0"/>
        <w:jc w:val="both"/>
        <w:textAlignment w:val="baseline"/>
      </w:pPr>
      <w:r w:rsidRPr="0007203C">
        <w:rPr>
          <w:rStyle w:val="normaltextrun"/>
        </w:rPr>
        <w:t xml:space="preserve">Overall responsibility to </w:t>
      </w:r>
      <w:r w:rsidR="008A1C22">
        <w:rPr>
          <w:rStyle w:val="normaltextrun"/>
        </w:rPr>
        <w:t>ensure</w:t>
      </w:r>
      <w:r w:rsidRPr="0007203C">
        <w:rPr>
          <w:rStyle w:val="normaltextrun"/>
        </w:rPr>
        <w:t xml:space="preserve"> ES&amp;H implementation on the project</w:t>
      </w:r>
    </w:p>
    <w:p w14:paraId="046C3A37" w14:textId="12799D6B" w:rsidR="00D63398" w:rsidRPr="0007203C" w:rsidRDefault="00D63398" w:rsidP="00BC54C9">
      <w:pPr>
        <w:pStyle w:val="paragraph"/>
        <w:numPr>
          <w:ilvl w:val="0"/>
          <w:numId w:val="28"/>
        </w:numPr>
        <w:spacing w:before="0" w:beforeAutospacing="0" w:after="0" w:afterAutospacing="0"/>
        <w:jc w:val="both"/>
        <w:textAlignment w:val="baseline"/>
      </w:pPr>
      <w:r w:rsidRPr="0007203C">
        <w:rPr>
          <w:rStyle w:val="normaltextrun"/>
        </w:rPr>
        <w:t>Maintain cognizance of all project activities</w:t>
      </w:r>
    </w:p>
    <w:p w14:paraId="4701FC0A" w14:textId="7A138734" w:rsidR="00D63398" w:rsidRPr="0007203C" w:rsidRDefault="00D63398" w:rsidP="00BC54C9">
      <w:pPr>
        <w:pStyle w:val="paragraph"/>
        <w:numPr>
          <w:ilvl w:val="0"/>
          <w:numId w:val="28"/>
        </w:numPr>
        <w:spacing w:before="0" w:beforeAutospacing="0" w:after="0" w:afterAutospacing="0"/>
        <w:jc w:val="both"/>
        <w:textAlignment w:val="baseline"/>
      </w:pPr>
      <w:r w:rsidRPr="0007203C">
        <w:rPr>
          <w:rStyle w:val="normaltextrun"/>
        </w:rPr>
        <w:t>Approve the PHAR, HAR, ISMP and SVAR, as well as subsequent updates.</w:t>
      </w:r>
    </w:p>
    <w:p w14:paraId="322EDDFB" w14:textId="259447C3" w:rsidR="00D63398" w:rsidRPr="0007203C" w:rsidRDefault="00D63398" w:rsidP="00BC54C9">
      <w:pPr>
        <w:pStyle w:val="paragraph"/>
        <w:numPr>
          <w:ilvl w:val="0"/>
          <w:numId w:val="28"/>
        </w:numPr>
        <w:spacing w:before="0" w:beforeAutospacing="0" w:after="0" w:afterAutospacing="0"/>
        <w:jc w:val="both"/>
        <w:textAlignment w:val="baseline"/>
      </w:pPr>
      <w:r w:rsidRPr="0007203C">
        <w:rPr>
          <w:rStyle w:val="normaltextrun"/>
        </w:rPr>
        <w:t>Work with the ES&amp;H Project Coordinator and coordinate ES&amp;H oversight with the ES&amp;H Representatives.</w:t>
      </w:r>
    </w:p>
    <w:p w14:paraId="34185E9D" w14:textId="77777777" w:rsidR="00E7004C" w:rsidRPr="0007203C" w:rsidRDefault="00E7004C" w:rsidP="00E00D72"/>
    <w:p w14:paraId="34185E9E" w14:textId="5312312B" w:rsidR="006E7F4F" w:rsidRPr="0007203C" w:rsidRDefault="00D63398" w:rsidP="00A530EF">
      <w:pPr>
        <w:pStyle w:val="Heading2"/>
      </w:pPr>
      <w:bookmarkStart w:id="5" w:name="_Toc106011570"/>
      <w:r w:rsidRPr="0007203C">
        <w:t>Level 2, 3, and 4 Managers</w:t>
      </w:r>
      <w:bookmarkEnd w:id="5"/>
    </w:p>
    <w:p w14:paraId="1C72119E" w14:textId="541B46A8" w:rsidR="00D63398" w:rsidRPr="0007203C" w:rsidRDefault="00D63398" w:rsidP="00A530EF">
      <w:pPr>
        <w:pStyle w:val="paragraph"/>
        <w:numPr>
          <w:ilvl w:val="0"/>
          <w:numId w:val="29"/>
        </w:numPr>
        <w:spacing w:before="0" w:beforeAutospacing="0" w:after="0" w:afterAutospacing="0"/>
        <w:jc w:val="both"/>
        <w:textAlignment w:val="baseline"/>
      </w:pPr>
      <w:r w:rsidRPr="0007203C">
        <w:rPr>
          <w:rStyle w:val="normaltextrun"/>
        </w:rPr>
        <w:t>Develop and implement specific ES&amp;H plans, procedures and guides that follow FESHM and FRCM.</w:t>
      </w:r>
    </w:p>
    <w:p w14:paraId="5F1AA493" w14:textId="12B5A12E" w:rsidR="00D63398" w:rsidRPr="0007203C" w:rsidRDefault="00D63398" w:rsidP="00A530EF">
      <w:pPr>
        <w:pStyle w:val="paragraph"/>
        <w:numPr>
          <w:ilvl w:val="0"/>
          <w:numId w:val="29"/>
        </w:numPr>
        <w:spacing w:before="0" w:beforeAutospacing="0" w:after="0" w:afterAutospacing="0"/>
        <w:jc w:val="both"/>
        <w:textAlignment w:val="baseline"/>
      </w:pPr>
      <w:r w:rsidRPr="0007203C">
        <w:rPr>
          <w:rStyle w:val="normaltextrun"/>
        </w:rPr>
        <w:t>Comply with local ESH requirements for work activities at participating institutions</w:t>
      </w:r>
      <w:r w:rsidRPr="0007203C">
        <w:rPr>
          <w:rStyle w:val="normaltextrun"/>
          <w:color w:val="4F81BD"/>
        </w:rPr>
        <w:t>.</w:t>
      </w:r>
    </w:p>
    <w:p w14:paraId="34185EA0" w14:textId="77777777" w:rsidR="00244E31" w:rsidRPr="0007203C" w:rsidRDefault="00244E31" w:rsidP="00E00D72"/>
    <w:p w14:paraId="34185EA5" w14:textId="77777777" w:rsidR="00BE0C08" w:rsidRPr="0007203C" w:rsidRDefault="00F86384" w:rsidP="00A530EF">
      <w:pPr>
        <w:pStyle w:val="Heading1"/>
      </w:pPr>
      <w:bookmarkStart w:id="6" w:name="_Toc106011571"/>
      <w:r w:rsidRPr="0007203C">
        <w:t>PROCEDURES</w:t>
      </w:r>
      <w:bookmarkEnd w:id="6"/>
    </w:p>
    <w:p w14:paraId="047CD083" w14:textId="53357C82" w:rsidR="005D2693" w:rsidRPr="0007203C" w:rsidRDefault="005D2693" w:rsidP="005D2693">
      <w:pPr>
        <w:pStyle w:val="paragraph"/>
        <w:spacing w:before="0" w:beforeAutospacing="0" w:after="0" w:afterAutospacing="0"/>
        <w:jc w:val="both"/>
        <w:textAlignment w:val="baseline"/>
        <w:rPr>
          <w:sz w:val="18"/>
          <w:szCs w:val="18"/>
        </w:rPr>
      </w:pPr>
      <w:r w:rsidRPr="0007203C">
        <w:rPr>
          <w:rStyle w:val="normaltextrun"/>
        </w:rPr>
        <w:t>An ES&amp;H Plan is required for Projects that are required to follow the DOE O 413.3B, and is recommended for all other project types (</w:t>
      </w:r>
      <w:r w:rsidRPr="0007203C">
        <w:rPr>
          <w:rStyle w:val="contextualspellingandgrammarerror"/>
        </w:rPr>
        <w:t>e.g.</w:t>
      </w:r>
      <w:r w:rsidRPr="0007203C">
        <w:rPr>
          <w:rStyle w:val="normaltextrun"/>
        </w:rPr>
        <w:t xml:space="preserve"> GPP, AIP, etc.).</w:t>
      </w:r>
      <w:r w:rsidR="00A530EF" w:rsidRPr="0007203C">
        <w:rPr>
          <w:rStyle w:val="normaltextrun"/>
        </w:rPr>
        <w:t xml:space="preserve"> </w:t>
      </w:r>
      <w:r w:rsidRPr="0007203C">
        <w:rPr>
          <w:rStyle w:val="normaltextrun"/>
        </w:rPr>
        <w:t xml:space="preserve"> The ES&amp;H Plan for any Fermilab project shall adhere to the Fermilab Environmental Safety and Health Manual (FESHM).</w:t>
      </w:r>
    </w:p>
    <w:p w14:paraId="4357D2DC" w14:textId="6ED79A95" w:rsidR="005D2693" w:rsidRPr="0007203C" w:rsidRDefault="005D2693" w:rsidP="005D2693">
      <w:pPr>
        <w:pStyle w:val="paragraph"/>
        <w:spacing w:before="0" w:beforeAutospacing="0" w:after="0" w:afterAutospacing="0"/>
        <w:jc w:val="both"/>
        <w:textAlignment w:val="baseline"/>
        <w:rPr>
          <w:sz w:val="18"/>
          <w:szCs w:val="18"/>
        </w:rPr>
      </w:pPr>
    </w:p>
    <w:p w14:paraId="1B410E47" w14:textId="4059B3A6" w:rsidR="005D2693" w:rsidRPr="0007203C" w:rsidRDefault="005D2693" w:rsidP="005D2693">
      <w:pPr>
        <w:pStyle w:val="paragraph"/>
        <w:spacing w:before="0" w:beforeAutospacing="0" w:after="0" w:afterAutospacing="0"/>
        <w:jc w:val="both"/>
        <w:textAlignment w:val="baseline"/>
        <w:rPr>
          <w:rStyle w:val="normaltextrun"/>
        </w:rPr>
      </w:pPr>
      <w:r w:rsidRPr="0007203C">
        <w:rPr>
          <w:rStyle w:val="normaltextrun"/>
        </w:rPr>
        <w:t>Projects of a wide range of sizes and complexity constitute a major focus of activities at Fermilab. ES&amp;H Project Manager/Coordinators shall work with the Project Management Team to determine the environmental, safety, and health impacts of their projects.</w:t>
      </w:r>
    </w:p>
    <w:p w14:paraId="29CD70CB" w14:textId="77777777" w:rsidR="005D2693" w:rsidRPr="0007203C" w:rsidRDefault="005D2693" w:rsidP="005D2693">
      <w:pPr>
        <w:pStyle w:val="paragraph"/>
        <w:spacing w:before="0" w:beforeAutospacing="0" w:after="0" w:afterAutospacing="0"/>
        <w:jc w:val="both"/>
        <w:textAlignment w:val="baseline"/>
        <w:rPr>
          <w:sz w:val="18"/>
          <w:szCs w:val="18"/>
        </w:rPr>
      </w:pPr>
    </w:p>
    <w:p w14:paraId="3874D7D5" w14:textId="371FA0BB" w:rsidR="007848D2" w:rsidRPr="0007203C" w:rsidRDefault="005D2693" w:rsidP="007848D2">
      <w:pPr>
        <w:pStyle w:val="paragraph"/>
        <w:spacing w:before="0" w:beforeAutospacing="0" w:after="0" w:afterAutospacing="0"/>
        <w:jc w:val="both"/>
        <w:textAlignment w:val="baseline"/>
        <w:rPr>
          <w:rStyle w:val="normaltextrun"/>
        </w:rPr>
      </w:pPr>
      <w:r w:rsidRPr="0007203C">
        <w:rPr>
          <w:rStyle w:val="normaltextrun"/>
        </w:rPr>
        <w:lastRenderedPageBreak/>
        <w:t>For all projects, consultation with the relevant Division/Section Safety Officer (DSO) or the ES&amp;H Section will be of paramount importance.  The appointed ESHPC is expected to assist in such consultations</w:t>
      </w:r>
      <w:r w:rsidR="008A1C22">
        <w:rPr>
          <w:rStyle w:val="normaltextrun"/>
        </w:rPr>
        <w:t>,</w:t>
      </w:r>
      <w:r w:rsidRPr="0007203C">
        <w:rPr>
          <w:rStyle w:val="normaltextrun"/>
          <w:u w:val="single"/>
        </w:rPr>
        <w:t xml:space="preserve"> </w:t>
      </w:r>
      <w:r w:rsidRPr="0007203C">
        <w:rPr>
          <w:rStyle w:val="normaltextrun"/>
        </w:rPr>
        <w:t>as noted above in the Responsibilities section.</w:t>
      </w:r>
    </w:p>
    <w:p w14:paraId="7033B9E8" w14:textId="7588D161" w:rsidR="005D2693" w:rsidRPr="0007203C" w:rsidRDefault="005D2693" w:rsidP="005D2693">
      <w:pPr>
        <w:pStyle w:val="paragraph"/>
        <w:spacing w:before="0" w:beforeAutospacing="0" w:after="0" w:afterAutospacing="0"/>
        <w:jc w:val="both"/>
        <w:textAlignment w:val="baseline"/>
        <w:rPr>
          <w:rStyle w:val="normaltextrun"/>
        </w:rPr>
      </w:pPr>
    </w:p>
    <w:p w14:paraId="0594907A" w14:textId="5365F1E9" w:rsidR="007848D2" w:rsidRPr="0007203C" w:rsidRDefault="005D2693" w:rsidP="007848D2">
      <w:pPr>
        <w:pStyle w:val="paragraph"/>
        <w:spacing w:before="0" w:beforeAutospacing="0" w:after="0" w:afterAutospacing="0"/>
        <w:jc w:val="both"/>
        <w:textAlignment w:val="baseline"/>
        <w:rPr>
          <w:rStyle w:val="normaltextrun"/>
        </w:rPr>
      </w:pPr>
      <w:r w:rsidRPr="0007203C">
        <w:rPr>
          <w:rStyle w:val="normaltextrun"/>
        </w:rPr>
        <w:t xml:space="preserve">It is quite common for projects of all scopes and sizes to overlap multiple organizational units, including multiple laboratories. </w:t>
      </w:r>
      <w:r w:rsidR="007848D2" w:rsidRPr="0007203C">
        <w:rPr>
          <w:rStyle w:val="normaltextrun"/>
        </w:rPr>
        <w:t xml:space="preserve"> </w:t>
      </w:r>
      <w:r w:rsidRPr="0007203C">
        <w:rPr>
          <w:rStyle w:val="normaltextrun"/>
        </w:rPr>
        <w:t>Thus, all relevant organizations must be involved in defining the environment, safety, and health requirements early in the planning process.</w:t>
      </w:r>
      <w:r w:rsidRPr="0007203C">
        <w:rPr>
          <w:rStyle w:val="eop"/>
        </w:rPr>
        <w:t> </w:t>
      </w:r>
      <w:r w:rsidRPr="0007203C">
        <w:rPr>
          <w:rStyle w:val="normaltextrun"/>
        </w:rPr>
        <w:t>Projects are required to comply with other laboratory policies in addition to the provisions of this chapter, including those cited as references below.</w:t>
      </w:r>
      <w:r w:rsidR="007848D2" w:rsidRPr="0007203C">
        <w:rPr>
          <w:rStyle w:val="normaltextrun"/>
        </w:rPr>
        <w:t xml:space="preserve"> </w:t>
      </w:r>
      <w:r w:rsidRPr="0007203C">
        <w:rPr>
          <w:rStyle w:val="normaltextrun"/>
        </w:rPr>
        <w:t xml:space="preserve"> The integration of the requirements of </w:t>
      </w:r>
      <w:r w:rsidRPr="0007203C">
        <w:rPr>
          <w:rStyle w:val="contextualspellingandgrammarerror"/>
        </w:rPr>
        <w:t>all laboratory</w:t>
      </w:r>
      <w:r w:rsidRPr="0007203C">
        <w:rPr>
          <w:rStyle w:val="normaltextrun"/>
        </w:rPr>
        <w:t xml:space="preserve"> policies shall include environment, safety, and health requirements at all stages of project design, and execution</w:t>
      </w:r>
      <w:r w:rsidR="008A1C22">
        <w:rPr>
          <w:rStyle w:val="normaltextrun"/>
        </w:rPr>
        <w:t>,</w:t>
      </w:r>
      <w:r w:rsidRPr="0007203C">
        <w:rPr>
          <w:rStyle w:val="normaltextrun"/>
        </w:rPr>
        <w:t xml:space="preserve"> including utilization and operation as well as decontamination and decommissioning.</w:t>
      </w:r>
      <w:r w:rsidR="007848D2" w:rsidRPr="0007203C">
        <w:rPr>
          <w:rStyle w:val="normaltextrun"/>
        </w:rPr>
        <w:t xml:space="preserve"> </w:t>
      </w:r>
      <w:r w:rsidRPr="0007203C">
        <w:rPr>
          <w:rStyle w:val="normaltextrun"/>
        </w:rPr>
        <w:t xml:space="preserve"> The appointed ESHPC is expected to </w:t>
      </w:r>
      <w:r w:rsidRPr="0007203C">
        <w:rPr>
          <w:rStyle w:val="advancedproofingissue"/>
        </w:rPr>
        <w:t>provide assistance to</w:t>
      </w:r>
      <w:r w:rsidRPr="0007203C">
        <w:rPr>
          <w:rStyle w:val="normaltextrun"/>
        </w:rPr>
        <w:t xml:space="preserve"> the projects on these topics.</w:t>
      </w:r>
    </w:p>
    <w:p w14:paraId="34185EA8" w14:textId="77777777" w:rsidR="00D929BC" w:rsidRPr="0007203C" w:rsidRDefault="00D929BC" w:rsidP="00E00D72">
      <w:pPr>
        <w:rPr>
          <w:color w:val="000000"/>
        </w:rPr>
      </w:pPr>
    </w:p>
    <w:p w14:paraId="34185EA9" w14:textId="2918B218" w:rsidR="00D929BC" w:rsidRPr="0007203C" w:rsidRDefault="00D7414E" w:rsidP="007848D2">
      <w:pPr>
        <w:pStyle w:val="Heading2"/>
      </w:pPr>
      <w:bookmarkStart w:id="7" w:name="_Toc106011572"/>
      <w:r w:rsidRPr="0007203C">
        <w:t>Elements of an ES&amp;H Plan</w:t>
      </w:r>
      <w:bookmarkEnd w:id="7"/>
    </w:p>
    <w:p w14:paraId="4DCC5AA9" w14:textId="77777777" w:rsidR="007848D2" w:rsidRPr="0007203C" w:rsidRDefault="005D2693" w:rsidP="007848D2">
      <w:pPr>
        <w:pStyle w:val="paragraph"/>
        <w:spacing w:before="0" w:beforeAutospacing="0" w:after="0" w:afterAutospacing="0"/>
        <w:jc w:val="both"/>
        <w:textAlignment w:val="baseline"/>
        <w:rPr>
          <w:rStyle w:val="normaltextrun"/>
        </w:rPr>
      </w:pPr>
      <w:r w:rsidRPr="0007203C">
        <w:rPr>
          <w:rStyle w:val="normaltextrun"/>
        </w:rPr>
        <w:t xml:space="preserve">There are several ES&amp;H Plan elements that must be included during the planning phase of 413.3B projects. </w:t>
      </w:r>
      <w:r w:rsidR="007848D2" w:rsidRPr="0007203C">
        <w:rPr>
          <w:rStyle w:val="normaltextrun"/>
        </w:rPr>
        <w:t xml:space="preserve"> </w:t>
      </w:r>
      <w:r w:rsidRPr="0007203C">
        <w:rPr>
          <w:rStyle w:val="normaltextrun"/>
        </w:rPr>
        <w:t xml:space="preserve">Generally, projects falling below the 413.3B projects are not required to have a formal, specifically written ISMP, PHAR, SAD or SVAR, unless otherwise deemed necessary by the CSO.  Standardized templates for the 413.3B required elements can be found on the </w:t>
      </w:r>
      <w:hyperlink r:id="rId13" w:tgtFrame="_blank" w:history="1">
        <w:r w:rsidRPr="0007203C">
          <w:rPr>
            <w:rStyle w:val="normaltextrun"/>
            <w:color w:val="0000FF"/>
            <w:u w:val="single"/>
          </w:rPr>
          <w:t>Office of Project Support Services website.</w:t>
        </w:r>
      </w:hyperlink>
    </w:p>
    <w:p w14:paraId="554C39F1" w14:textId="77777777" w:rsidR="007848D2" w:rsidRPr="0007203C" w:rsidRDefault="007848D2" w:rsidP="007848D2">
      <w:pPr>
        <w:pStyle w:val="paragraph"/>
        <w:spacing w:before="0" w:beforeAutospacing="0" w:after="0" w:afterAutospacing="0"/>
        <w:jc w:val="both"/>
        <w:textAlignment w:val="baseline"/>
        <w:rPr>
          <w:rStyle w:val="normaltextrun"/>
        </w:rPr>
      </w:pPr>
    </w:p>
    <w:p w14:paraId="4001156D" w14:textId="77777777" w:rsidR="007848D2" w:rsidRPr="0007203C" w:rsidRDefault="005D2693" w:rsidP="007848D2">
      <w:pPr>
        <w:pStyle w:val="paragraph"/>
        <w:spacing w:before="0" w:beforeAutospacing="0" w:after="0" w:afterAutospacing="0"/>
        <w:jc w:val="both"/>
        <w:textAlignment w:val="baseline"/>
        <w:rPr>
          <w:rStyle w:val="normaltextrun"/>
        </w:rPr>
      </w:pPr>
      <w:r w:rsidRPr="0007203C">
        <w:rPr>
          <w:rStyle w:val="normaltextrun"/>
        </w:rPr>
        <w:t>The following are elements of an ES&amp;H Plan:</w:t>
      </w:r>
    </w:p>
    <w:p w14:paraId="6A539115" w14:textId="77777777" w:rsidR="007848D2" w:rsidRPr="0007203C" w:rsidRDefault="007848D2" w:rsidP="007848D2">
      <w:pPr>
        <w:pStyle w:val="paragraph"/>
        <w:spacing w:before="0" w:beforeAutospacing="0" w:after="0" w:afterAutospacing="0"/>
        <w:jc w:val="both"/>
        <w:textAlignment w:val="baseline"/>
        <w:rPr>
          <w:rStyle w:val="normaltextrun"/>
        </w:rPr>
      </w:pPr>
    </w:p>
    <w:p w14:paraId="4FEE91BE" w14:textId="77777777" w:rsidR="00E91A52" w:rsidRPr="0007203C" w:rsidRDefault="00D7414E" w:rsidP="00A23136">
      <w:pPr>
        <w:pStyle w:val="Heading3"/>
        <w:rPr>
          <w:rStyle w:val="normaltextrun"/>
        </w:rPr>
      </w:pPr>
      <w:bookmarkStart w:id="8" w:name="_Toc106011573"/>
      <w:r w:rsidRPr="0007203C">
        <w:rPr>
          <w:rStyle w:val="normaltextrun"/>
        </w:rPr>
        <w:t>Integrated Safety Management Plan (ISMP)</w:t>
      </w:r>
      <w:bookmarkEnd w:id="8"/>
    </w:p>
    <w:p w14:paraId="68145515" w14:textId="339AAB32" w:rsidR="00D7414E" w:rsidRPr="0007203C" w:rsidRDefault="00D7414E" w:rsidP="00E91A52">
      <w:pPr>
        <w:pStyle w:val="paragraph"/>
        <w:spacing w:before="0" w:beforeAutospacing="0" w:after="0" w:afterAutospacing="0"/>
        <w:ind w:left="720"/>
        <w:jc w:val="both"/>
        <w:textAlignment w:val="baseline"/>
      </w:pPr>
      <w:r w:rsidRPr="0007203C">
        <w:rPr>
          <w:rStyle w:val="normaltextrun"/>
        </w:rPr>
        <w:t>The fundamental premise of Integrated Safety Management is that accidents are preventable through early and close attention to safety, design, and operation, and with substantial involvement in those that plan and execute the project, based on appropriate standards. Integrated Safety Management is required in all phases of work, beginning at the planning stages of the Project.</w:t>
      </w:r>
    </w:p>
    <w:p w14:paraId="5B28032C" w14:textId="77777777" w:rsidR="00A23136" w:rsidRPr="0007203C" w:rsidRDefault="00A23136" w:rsidP="00A23136">
      <w:pPr>
        <w:pStyle w:val="paragraph"/>
        <w:spacing w:before="0" w:beforeAutospacing="0" w:after="0" w:afterAutospacing="0"/>
        <w:jc w:val="both"/>
        <w:textAlignment w:val="baseline"/>
        <w:rPr>
          <w:rStyle w:val="normaltextrun"/>
        </w:rPr>
      </w:pPr>
    </w:p>
    <w:p w14:paraId="2BC10CD2" w14:textId="77777777" w:rsidR="00E91A52" w:rsidRPr="0007203C" w:rsidRDefault="00D7414E" w:rsidP="00A23136">
      <w:pPr>
        <w:pStyle w:val="Heading3"/>
        <w:rPr>
          <w:rStyle w:val="normaltextrun"/>
        </w:rPr>
      </w:pPr>
      <w:bookmarkStart w:id="9" w:name="_Toc106011574"/>
      <w:r w:rsidRPr="0007203C">
        <w:rPr>
          <w:rStyle w:val="normaltextrun"/>
        </w:rPr>
        <w:t>Preliminary Hazard Analysis Review (PHAR)</w:t>
      </w:r>
      <w:bookmarkEnd w:id="9"/>
    </w:p>
    <w:p w14:paraId="7751D850" w14:textId="20970790" w:rsidR="00D7414E" w:rsidRPr="0007203C" w:rsidRDefault="00D7414E" w:rsidP="00E91A52">
      <w:pPr>
        <w:pStyle w:val="paragraph"/>
        <w:spacing w:before="0" w:beforeAutospacing="0" w:after="0" w:afterAutospacing="0"/>
        <w:ind w:left="720"/>
        <w:jc w:val="both"/>
        <w:textAlignment w:val="baseline"/>
      </w:pPr>
      <w:r w:rsidRPr="0007203C">
        <w:rPr>
          <w:rStyle w:val="normaltextrun"/>
        </w:rPr>
        <w:t xml:space="preserve">The PHAR constitutes the first stage of environment, safety, and health assessment, and should be written and reviewed before CD2 approval.  PHARs refer to applicable FESHM and FRCM chapters as references to accepted Fermilab methodologies for hazard mitigation as appropriate. </w:t>
      </w:r>
      <w:r w:rsidR="00A23136" w:rsidRPr="0007203C">
        <w:rPr>
          <w:rStyle w:val="normaltextrun"/>
        </w:rPr>
        <w:t xml:space="preserve"> </w:t>
      </w:r>
      <w:r w:rsidRPr="0007203C">
        <w:rPr>
          <w:rStyle w:val="normaltextrun"/>
        </w:rPr>
        <w:t>Projects</w:t>
      </w:r>
      <w:r w:rsidR="008A1C22">
        <w:rPr>
          <w:rStyle w:val="normaltextrun"/>
        </w:rPr>
        <w:t>,</w:t>
      </w:r>
      <w:r w:rsidRPr="0007203C">
        <w:rPr>
          <w:rStyle w:val="normaltextrun"/>
        </w:rPr>
        <w:t xml:space="preserve"> as defined in this FESHM Chapter</w:t>
      </w:r>
      <w:r w:rsidR="008A1C22">
        <w:rPr>
          <w:rStyle w:val="normaltextrun"/>
        </w:rPr>
        <w:t>,</w:t>
      </w:r>
      <w:r w:rsidRPr="0007203C">
        <w:rPr>
          <w:rStyle w:val="normaltextrun"/>
        </w:rPr>
        <w:t xml:space="preserve"> should create a preliminary hazard analysis report (PHAR) early in the life of the project that is developed further as the project proceeds to a final HAR.</w:t>
      </w:r>
    </w:p>
    <w:p w14:paraId="448B70FE" w14:textId="77777777" w:rsidR="00A23136" w:rsidRPr="0007203C" w:rsidRDefault="00A23136" w:rsidP="00A23136">
      <w:pPr>
        <w:pStyle w:val="paragraph"/>
        <w:spacing w:before="0" w:beforeAutospacing="0" w:after="0" w:afterAutospacing="0"/>
        <w:jc w:val="both"/>
        <w:textAlignment w:val="baseline"/>
        <w:rPr>
          <w:rStyle w:val="normaltextrun"/>
        </w:rPr>
      </w:pPr>
    </w:p>
    <w:p w14:paraId="07F51A35" w14:textId="77777777" w:rsidR="00E91A52" w:rsidRPr="0007203C" w:rsidRDefault="00D7414E" w:rsidP="00A23136">
      <w:pPr>
        <w:pStyle w:val="Heading3"/>
        <w:rPr>
          <w:rStyle w:val="normaltextrun"/>
        </w:rPr>
      </w:pPr>
      <w:bookmarkStart w:id="10" w:name="_Toc106011575"/>
      <w:r w:rsidRPr="0007203C">
        <w:rPr>
          <w:rStyle w:val="normaltextrun"/>
        </w:rPr>
        <w:t>Safety Assessment Document (SAD)</w:t>
      </w:r>
      <w:bookmarkEnd w:id="10"/>
    </w:p>
    <w:p w14:paraId="791009B0" w14:textId="2CE2516C" w:rsidR="005D2693" w:rsidRPr="0007203C" w:rsidRDefault="005B48A9" w:rsidP="005D2693">
      <w:pPr>
        <w:pStyle w:val="paragraph"/>
        <w:spacing w:before="0" w:beforeAutospacing="0" w:after="0" w:afterAutospacing="0"/>
        <w:ind w:left="720"/>
        <w:jc w:val="both"/>
        <w:textAlignment w:val="baseline"/>
      </w:pPr>
      <w:hyperlink r:id="rId14" w:tgtFrame="_blank" w:history="1">
        <w:r w:rsidR="005D2693" w:rsidRPr="0007203C">
          <w:rPr>
            <w:rStyle w:val="normaltextrun"/>
            <w:u w:val="single"/>
          </w:rPr>
          <w:t>FESHM 2010, Planning and Review of Accelerator Facilities and Operations</w:t>
        </w:r>
      </w:hyperlink>
      <w:r w:rsidR="005D2693" w:rsidRPr="0007203C">
        <w:rPr>
          <w:rStyle w:val="normaltextrun"/>
        </w:rPr>
        <w:t xml:space="preserve"> defines a formal review process to assure that accelerator facilities and their operations comply with Fermilab ES&amp;H standards and with DOE O 420.2C, </w:t>
      </w:r>
      <w:r w:rsidR="005D2693" w:rsidRPr="0007203C">
        <w:rPr>
          <w:rStyle w:val="normaltextrun"/>
          <w:i/>
          <w:iCs/>
        </w:rPr>
        <w:t>Safety of Accelerator Facilities</w:t>
      </w:r>
      <w:r w:rsidR="005D2693" w:rsidRPr="0007203C">
        <w:rPr>
          <w:rStyle w:val="normaltextrun"/>
        </w:rPr>
        <w:t>.</w:t>
      </w:r>
      <w:r w:rsidR="00A23136" w:rsidRPr="0007203C">
        <w:rPr>
          <w:rStyle w:val="normaltextrun"/>
        </w:rPr>
        <w:t xml:space="preserve"> </w:t>
      </w:r>
      <w:r w:rsidR="005D2693" w:rsidRPr="0007203C">
        <w:rPr>
          <w:rStyle w:val="normaltextrun"/>
        </w:rPr>
        <w:t xml:space="preserve"> This process shall be applied to new accelerator projects or when significant modifications, including decommissioning, occur.</w:t>
      </w:r>
      <w:r w:rsidR="00A23136" w:rsidRPr="0007203C">
        <w:rPr>
          <w:rStyle w:val="normaltextrun"/>
        </w:rPr>
        <w:t xml:space="preserve"> </w:t>
      </w:r>
      <w:r w:rsidR="005D2693" w:rsidRPr="0007203C">
        <w:rPr>
          <w:rStyle w:val="normaltextrun"/>
        </w:rPr>
        <w:t xml:space="preserve"> The review of a SAD is conducted by the </w:t>
      </w:r>
      <w:hyperlink r:id="rId15" w:tgtFrame="_blank" w:history="1">
        <w:r w:rsidR="005D2693" w:rsidRPr="0007203C">
          <w:rPr>
            <w:rStyle w:val="normaltextrun"/>
            <w:u w:val="single"/>
          </w:rPr>
          <w:t>FESHCom Safety Assessment Document Review Subcommittee</w:t>
        </w:r>
      </w:hyperlink>
      <w:r w:rsidR="005D2693" w:rsidRPr="0007203C">
        <w:rPr>
          <w:rStyle w:val="normaltextrun"/>
          <w:color w:val="4F80BD"/>
        </w:rPr>
        <w:t>.</w:t>
      </w:r>
    </w:p>
    <w:p w14:paraId="6A121EDD" w14:textId="038B9534" w:rsidR="00D7414E" w:rsidRPr="0007203C" w:rsidRDefault="00D7414E" w:rsidP="00E91A52">
      <w:pPr>
        <w:pStyle w:val="paragraph"/>
        <w:spacing w:before="0" w:beforeAutospacing="0" w:after="0" w:afterAutospacing="0"/>
        <w:ind w:left="720"/>
        <w:jc w:val="both"/>
        <w:textAlignment w:val="baseline"/>
      </w:pPr>
    </w:p>
    <w:p w14:paraId="322DFAE5" w14:textId="77777777" w:rsidR="00E91A52" w:rsidRPr="0007203C" w:rsidRDefault="00D7414E" w:rsidP="00157CC8">
      <w:pPr>
        <w:pStyle w:val="Heading3"/>
        <w:rPr>
          <w:rStyle w:val="normaltextrun"/>
        </w:rPr>
      </w:pPr>
      <w:bookmarkStart w:id="11" w:name="_Toc106011576"/>
      <w:r w:rsidRPr="0007203C">
        <w:rPr>
          <w:rStyle w:val="normaltextrun"/>
        </w:rPr>
        <w:lastRenderedPageBreak/>
        <w:t>National Environmental Policy Act (NEPA) Review</w:t>
      </w:r>
      <w:bookmarkEnd w:id="11"/>
    </w:p>
    <w:p w14:paraId="21DBB14E" w14:textId="7E37E244" w:rsidR="00A07144" w:rsidRPr="0007203C" w:rsidRDefault="005B48A9" w:rsidP="00E91A52">
      <w:pPr>
        <w:pStyle w:val="paragraph"/>
        <w:spacing w:before="0" w:beforeAutospacing="0" w:after="0" w:afterAutospacing="0"/>
        <w:ind w:left="720"/>
        <w:jc w:val="both"/>
        <w:textAlignment w:val="baseline"/>
        <w:rPr>
          <w:rStyle w:val="normaltextrun"/>
        </w:rPr>
      </w:pPr>
      <w:hyperlink r:id="rId16" w:tgtFrame="_blank" w:history="1">
        <w:r w:rsidR="00D7414E" w:rsidRPr="0007203C">
          <w:rPr>
            <w:rStyle w:val="normaltextrun"/>
            <w:color w:val="0000FF"/>
            <w:u w:val="single"/>
          </w:rPr>
          <w:t>FESHM 8060</w:t>
        </w:r>
      </w:hyperlink>
      <w:r w:rsidR="00D7414E" w:rsidRPr="0007203C">
        <w:rPr>
          <w:rStyle w:val="normaltextrun"/>
        </w:rPr>
        <w:t xml:space="preserve"> defines the actions needed to receive the appropriate and timely review of potential impacts to the environment, both natural and man-made, as well as human health. NEPA requires federal agencies to consider, and document, the potential environmental impacts of proposed actions </w:t>
      </w:r>
      <w:r w:rsidR="00D7414E" w:rsidRPr="0007203C">
        <w:rPr>
          <w:rStyle w:val="normaltextrun"/>
          <w:u w:val="single"/>
        </w:rPr>
        <w:t>prior</w:t>
      </w:r>
      <w:r w:rsidR="00D7414E" w:rsidRPr="0007203C">
        <w:rPr>
          <w:rStyle w:val="normaltextrun"/>
        </w:rPr>
        <w:t xml:space="preserve"> to initiating those actions.</w:t>
      </w:r>
      <w:r w:rsidR="00157CC8" w:rsidRPr="0007203C">
        <w:rPr>
          <w:rStyle w:val="normaltextrun"/>
        </w:rPr>
        <w:t xml:space="preserve">  </w:t>
      </w:r>
      <w:r w:rsidR="00D7414E" w:rsidRPr="0007203C">
        <w:rPr>
          <w:rStyle w:val="normaltextrun"/>
        </w:rPr>
        <w:t>Consequently, the terms of NEPA must be met during the planning phase of a project and/or when substantial project changes are being considered.</w:t>
      </w:r>
      <w:r w:rsidR="00F47DEB" w:rsidRPr="0007203C">
        <w:rPr>
          <w:rStyle w:val="normaltextrun"/>
        </w:rPr>
        <w:t xml:space="preserve"> </w:t>
      </w:r>
      <w:r w:rsidR="00157CC8" w:rsidRPr="0007203C">
        <w:rPr>
          <w:rStyle w:val="normaltextrun"/>
        </w:rPr>
        <w:t xml:space="preserve"> </w:t>
      </w:r>
      <w:r w:rsidR="00D7414E" w:rsidRPr="0007203C">
        <w:rPr>
          <w:rStyle w:val="normaltextrun"/>
        </w:rPr>
        <w:t xml:space="preserve">The NEPA evaluation should begin as soon as there is enough information about the proposed project to engage in meaningful analysis </w:t>
      </w:r>
      <w:r w:rsidR="00D7414E" w:rsidRPr="0007203C">
        <w:rPr>
          <w:rStyle w:val="normaltextrun"/>
          <w:u w:val="single"/>
        </w:rPr>
        <w:t>before</w:t>
      </w:r>
      <w:r w:rsidR="00D7414E" w:rsidRPr="0007203C">
        <w:rPr>
          <w:rStyle w:val="normaltextrun"/>
        </w:rPr>
        <w:t xml:space="preserve"> it is too late to modify the proposed design. This is an important initial step required of all projects.</w:t>
      </w:r>
    </w:p>
    <w:p w14:paraId="042DCD23" w14:textId="77777777" w:rsidR="00A07144" w:rsidRPr="0007203C" w:rsidRDefault="00A07144" w:rsidP="00A07144">
      <w:pPr>
        <w:pStyle w:val="ListParagraph"/>
        <w:rPr>
          <w:rStyle w:val="normaltextrun"/>
        </w:rPr>
      </w:pPr>
    </w:p>
    <w:p w14:paraId="593B84D6" w14:textId="474CCD9E" w:rsidR="00A07144" w:rsidRPr="0007203C" w:rsidRDefault="00D7414E" w:rsidP="00E91A52">
      <w:pPr>
        <w:pStyle w:val="paragraph"/>
        <w:spacing w:before="0" w:beforeAutospacing="0" w:after="0" w:afterAutospacing="0"/>
        <w:ind w:left="720"/>
        <w:jc w:val="both"/>
        <w:textAlignment w:val="baseline"/>
        <w:rPr>
          <w:rStyle w:val="eop"/>
        </w:rPr>
      </w:pPr>
      <w:r w:rsidRPr="0007203C">
        <w:rPr>
          <w:rStyle w:val="normaltextrun"/>
        </w:rPr>
        <w:t xml:space="preserve">The project manager or their designee, in consultation with the appropriate ES&amp;H Project Coordinator, </w:t>
      </w:r>
      <w:r w:rsidR="008A1C22">
        <w:rPr>
          <w:rStyle w:val="normaltextrun"/>
        </w:rPr>
        <w:t>is</w:t>
      </w:r>
      <w:r w:rsidRPr="0007203C">
        <w:rPr>
          <w:rStyle w:val="normaltextrun"/>
        </w:rPr>
        <w:t xml:space="preserve"> responsible for coordinating NEPA reviews and submitting a </w:t>
      </w:r>
      <w:hyperlink r:id="rId17" w:tgtFrame="_blank" w:history="1">
        <w:r w:rsidRPr="0007203C">
          <w:rPr>
            <w:rStyle w:val="normaltextrun"/>
            <w:color w:val="0000FF"/>
            <w:u w:val="single"/>
          </w:rPr>
          <w:t>Environmental Review Form</w:t>
        </w:r>
      </w:hyperlink>
      <w:r w:rsidRPr="0007203C">
        <w:rPr>
          <w:rStyle w:val="normaltextrun"/>
        </w:rPr>
        <w:t xml:space="preserve"> to the ES&amp;H Section. </w:t>
      </w:r>
      <w:r w:rsidR="00157CC8" w:rsidRPr="0007203C">
        <w:rPr>
          <w:rStyle w:val="normaltextrun"/>
        </w:rPr>
        <w:t xml:space="preserve"> </w:t>
      </w:r>
      <w:r w:rsidRPr="0007203C">
        <w:rPr>
          <w:rStyle w:val="normaltextrun"/>
        </w:rPr>
        <w:t>The NEPA Program Manager within the ES&amp;H Section compiles NEPA documentation that is submitted to DOE FSO for approval and concurrence on the recommended level of review.</w:t>
      </w:r>
    </w:p>
    <w:p w14:paraId="5B63DF35" w14:textId="77777777" w:rsidR="00A07144" w:rsidRPr="0007203C" w:rsidRDefault="00A07144" w:rsidP="00A07144">
      <w:pPr>
        <w:pStyle w:val="ListParagraph"/>
        <w:rPr>
          <w:rStyle w:val="normaltextrun"/>
        </w:rPr>
      </w:pPr>
    </w:p>
    <w:p w14:paraId="51F75471" w14:textId="75BED471" w:rsidR="00D7414E" w:rsidRPr="0007203C" w:rsidRDefault="00D7414E" w:rsidP="00E91A52">
      <w:pPr>
        <w:pStyle w:val="paragraph"/>
        <w:spacing w:before="0" w:beforeAutospacing="0" w:after="0" w:afterAutospacing="0"/>
        <w:ind w:left="720"/>
        <w:jc w:val="both"/>
        <w:textAlignment w:val="baseline"/>
      </w:pPr>
      <w:r w:rsidRPr="0007203C">
        <w:rPr>
          <w:rStyle w:val="normaltextrun"/>
        </w:rPr>
        <w:t>In addition to NEPA requirements, there are many topics in the area of environmental protection that clearly merit early consideration in the planning and execution of projects.</w:t>
      </w:r>
      <w:r w:rsidR="00157CC8" w:rsidRPr="0007203C">
        <w:rPr>
          <w:rStyle w:val="normaltextrun"/>
        </w:rPr>
        <w:t xml:space="preserve"> </w:t>
      </w:r>
      <w:r w:rsidRPr="0007203C">
        <w:rPr>
          <w:rStyle w:val="normaltextrun"/>
        </w:rPr>
        <w:t xml:space="preserve"> </w:t>
      </w:r>
      <w:hyperlink r:id="rId18" w:tgtFrame="_blank" w:history="1">
        <w:r w:rsidRPr="0007203C">
          <w:rPr>
            <w:rStyle w:val="normaltextrun"/>
            <w:color w:val="0000FF"/>
            <w:u w:val="single"/>
          </w:rPr>
          <w:t>FESHM 8010</w:t>
        </w:r>
      </w:hyperlink>
      <w:r w:rsidRPr="0007203C">
        <w:rPr>
          <w:rStyle w:val="normaltextrun"/>
        </w:rPr>
        <w:t xml:space="preserve"> describes Fermilab’s Environmental Management System.</w:t>
      </w:r>
      <w:r w:rsidR="00157CC8" w:rsidRPr="0007203C">
        <w:rPr>
          <w:rStyle w:val="normaltextrun"/>
        </w:rPr>
        <w:t xml:space="preserve"> </w:t>
      </w:r>
      <w:r w:rsidRPr="0007203C">
        <w:rPr>
          <w:rStyle w:val="normaltextrun"/>
        </w:rPr>
        <w:t xml:space="preserve"> Input of environmental ramifications is quite important at an early stage, given the need to meet regulatory requirements which may involve applying for environmental permits. The lead times required to obtain such permits or modifications of existing permits is set by outside regulatory agencies beyond the control of Fermilab or the Department of Energy. Design features needed to meet environmental protection requirements can best be included at optimum cost early in the design.</w:t>
      </w:r>
    </w:p>
    <w:p w14:paraId="03F5C944" w14:textId="77777777" w:rsidR="00157CC8" w:rsidRPr="0007203C" w:rsidRDefault="00157CC8" w:rsidP="00157CC8">
      <w:pPr>
        <w:pStyle w:val="paragraph"/>
        <w:spacing w:before="0" w:beforeAutospacing="0" w:after="0" w:afterAutospacing="0"/>
        <w:jc w:val="both"/>
        <w:textAlignment w:val="baseline"/>
        <w:rPr>
          <w:rStyle w:val="normaltextrun"/>
        </w:rPr>
      </w:pPr>
    </w:p>
    <w:p w14:paraId="4A0A8A64" w14:textId="77777777" w:rsidR="00E91A52" w:rsidRPr="0007203C" w:rsidRDefault="00D7414E" w:rsidP="00157CC8">
      <w:pPr>
        <w:pStyle w:val="Heading3"/>
        <w:rPr>
          <w:rStyle w:val="normaltextrun"/>
        </w:rPr>
      </w:pPr>
      <w:bookmarkStart w:id="12" w:name="_Toc106011577"/>
      <w:r w:rsidRPr="0007203C">
        <w:rPr>
          <w:rStyle w:val="normaltextrun"/>
        </w:rPr>
        <w:t>Security Vulnerability Assessment Report (SVAR)</w:t>
      </w:r>
      <w:bookmarkEnd w:id="12"/>
    </w:p>
    <w:p w14:paraId="2BEC884A" w14:textId="3CF13514" w:rsidR="00A07144" w:rsidRPr="0007203C" w:rsidRDefault="00D7414E" w:rsidP="00157CC8">
      <w:pPr>
        <w:pStyle w:val="paragraph"/>
        <w:spacing w:before="0" w:beforeAutospacing="0" w:after="0" w:afterAutospacing="0"/>
        <w:ind w:left="720"/>
        <w:jc w:val="both"/>
        <w:textAlignment w:val="baseline"/>
      </w:pPr>
      <w:r w:rsidRPr="0007203C">
        <w:rPr>
          <w:rStyle w:val="normaltextrun"/>
        </w:rPr>
        <w:t xml:space="preserve">Prior to CD-1, general safeguards and security requirements must be created and evaluated to meet the project needs. </w:t>
      </w:r>
      <w:r w:rsidR="00157CC8" w:rsidRPr="0007203C">
        <w:rPr>
          <w:rStyle w:val="normaltextrun"/>
        </w:rPr>
        <w:t xml:space="preserve"> </w:t>
      </w:r>
      <w:r w:rsidRPr="0007203C">
        <w:rPr>
          <w:rStyle w:val="normaltextrun"/>
        </w:rPr>
        <w:t>This input becomes part of the conceptual design requirements for further development.</w:t>
      </w:r>
      <w:r w:rsidR="00157CC8" w:rsidRPr="0007203C">
        <w:rPr>
          <w:rStyle w:val="normaltextrun"/>
        </w:rPr>
        <w:t xml:space="preserve"> </w:t>
      </w:r>
      <w:r w:rsidRPr="0007203C">
        <w:rPr>
          <w:rStyle w:val="normaltextrun"/>
        </w:rPr>
        <w:t xml:space="preserve"> Depending on the project scope, members of the Fermilab security team are involved with this process and should be contacted early in the evaluation process.</w:t>
      </w:r>
    </w:p>
    <w:p w14:paraId="2C354F35" w14:textId="77777777" w:rsidR="00A07144" w:rsidRPr="0007203C" w:rsidRDefault="00A07144" w:rsidP="00157CC8">
      <w:pPr>
        <w:pStyle w:val="ListParagraph"/>
        <w:rPr>
          <w:rStyle w:val="normaltextrun"/>
        </w:rPr>
      </w:pPr>
    </w:p>
    <w:p w14:paraId="57F1B9CB" w14:textId="74F50467" w:rsidR="00A07144" w:rsidRPr="0007203C" w:rsidRDefault="00D7414E" w:rsidP="00157CC8">
      <w:pPr>
        <w:pStyle w:val="paragraph"/>
        <w:spacing w:before="0" w:beforeAutospacing="0" w:after="0" w:afterAutospacing="0"/>
        <w:ind w:left="720"/>
        <w:jc w:val="both"/>
        <w:textAlignment w:val="baseline"/>
        <w:rPr>
          <w:rStyle w:val="normaltextrun"/>
        </w:rPr>
      </w:pPr>
      <w:r w:rsidRPr="0007203C">
        <w:rPr>
          <w:rStyle w:val="normaltextrun"/>
        </w:rPr>
        <w:t xml:space="preserve">Prior to CD-2, </w:t>
      </w:r>
      <w:r w:rsidR="008A1C22">
        <w:rPr>
          <w:rStyle w:val="normaltextrun"/>
        </w:rPr>
        <w:t>the</w:t>
      </w:r>
      <w:r w:rsidRPr="0007203C">
        <w:rPr>
          <w:rStyle w:val="normaltextrun"/>
        </w:rPr>
        <w:t xml:space="preserve"> SVAR must be updated to account for applicable safeguards and security requirements, evaluating the methods to satisfy those requirements and addresses any potential risk. Risk mitigation must be identified.</w:t>
      </w:r>
    </w:p>
    <w:p w14:paraId="6F719721" w14:textId="77777777" w:rsidR="00A07144" w:rsidRPr="0007203C" w:rsidRDefault="00A07144" w:rsidP="00157CC8">
      <w:pPr>
        <w:pStyle w:val="ListParagraph"/>
        <w:rPr>
          <w:rStyle w:val="normaltextrun"/>
        </w:rPr>
      </w:pPr>
    </w:p>
    <w:p w14:paraId="6197452E" w14:textId="3A29E85C" w:rsidR="00A07144" w:rsidRPr="0007203C" w:rsidRDefault="00D7414E" w:rsidP="00157CC8">
      <w:pPr>
        <w:pStyle w:val="paragraph"/>
        <w:spacing w:before="0" w:beforeAutospacing="0" w:after="0" w:afterAutospacing="0"/>
        <w:ind w:left="720"/>
        <w:jc w:val="both"/>
        <w:textAlignment w:val="baseline"/>
        <w:rPr>
          <w:rStyle w:val="eop"/>
        </w:rPr>
      </w:pPr>
      <w:r w:rsidRPr="0007203C">
        <w:rPr>
          <w:rStyle w:val="normaltextrun"/>
        </w:rPr>
        <w:t xml:space="preserve">Prior to CD-3, </w:t>
      </w:r>
      <w:r w:rsidR="008A1C22">
        <w:rPr>
          <w:rStyle w:val="normaltextrun"/>
        </w:rPr>
        <w:t>the</w:t>
      </w:r>
      <w:r w:rsidRPr="0007203C">
        <w:rPr>
          <w:rStyle w:val="normaltextrun"/>
        </w:rPr>
        <w:t xml:space="preserve"> final SVAR should be issued, addressing all the safeguards and security requirements of the project. </w:t>
      </w:r>
      <w:r w:rsidR="00157CC8" w:rsidRPr="0007203C">
        <w:rPr>
          <w:rStyle w:val="normaltextrun"/>
        </w:rPr>
        <w:t xml:space="preserve"> </w:t>
      </w:r>
      <w:r w:rsidRPr="0007203C">
        <w:rPr>
          <w:rStyle w:val="normaltextrun"/>
        </w:rPr>
        <w:t>The project requirements should be satisfied by the facility design and/or the proposed operational features.</w:t>
      </w:r>
    </w:p>
    <w:p w14:paraId="0345EEA6" w14:textId="77777777" w:rsidR="00A07144" w:rsidRPr="0007203C" w:rsidRDefault="00A07144" w:rsidP="00157CC8">
      <w:pPr>
        <w:pStyle w:val="ListParagraph"/>
        <w:rPr>
          <w:rStyle w:val="normaltextrun"/>
          <w:bCs/>
        </w:rPr>
      </w:pPr>
    </w:p>
    <w:p w14:paraId="1FB6B409" w14:textId="77777777" w:rsidR="00E91A52" w:rsidRPr="0007203C" w:rsidRDefault="00D7414E" w:rsidP="0007203C">
      <w:pPr>
        <w:pStyle w:val="Heading3"/>
        <w:rPr>
          <w:rStyle w:val="normaltextrun"/>
        </w:rPr>
      </w:pPr>
      <w:bookmarkStart w:id="13" w:name="_Toc106011578"/>
      <w:r w:rsidRPr="0007203C">
        <w:rPr>
          <w:rStyle w:val="normaltextrun"/>
        </w:rPr>
        <w:t>Hazard Analysis Report (HAR)</w:t>
      </w:r>
      <w:bookmarkEnd w:id="13"/>
    </w:p>
    <w:p w14:paraId="14D94E00" w14:textId="42FE79AE" w:rsidR="00D7414E" w:rsidRPr="0007203C" w:rsidRDefault="00D7414E" w:rsidP="0007203C">
      <w:pPr>
        <w:pStyle w:val="paragraph"/>
        <w:spacing w:before="0" w:beforeAutospacing="0" w:after="0" w:afterAutospacing="0"/>
        <w:ind w:left="720"/>
        <w:jc w:val="both"/>
        <w:textAlignment w:val="baseline"/>
      </w:pPr>
      <w:r w:rsidRPr="0007203C">
        <w:rPr>
          <w:rStyle w:val="normaltextrun"/>
        </w:rPr>
        <w:t>Prior to CD-2, a Hazard Analysis Report is developed by updating the PHAR to include any new or revised information on hazards associated with facility design or the</w:t>
      </w:r>
      <w:r w:rsidR="008D0D94" w:rsidRPr="0007203C">
        <w:rPr>
          <w:rStyle w:val="normaltextrun"/>
        </w:rPr>
        <w:t xml:space="preserve"> o</w:t>
      </w:r>
      <w:r w:rsidRPr="0007203C">
        <w:rPr>
          <w:rStyle w:val="normaltextrun"/>
        </w:rPr>
        <w:t>peration.</w:t>
      </w:r>
      <w:r w:rsidR="0007203C" w:rsidRPr="0007203C">
        <w:rPr>
          <w:rStyle w:val="eop"/>
        </w:rPr>
        <w:t xml:space="preserve">  </w:t>
      </w:r>
      <w:r w:rsidRPr="0007203C">
        <w:rPr>
          <w:rStyle w:val="normaltextrun"/>
        </w:rPr>
        <w:t>Throughout the project, the hazards and other controls are periodically updated in the</w:t>
      </w:r>
      <w:r w:rsidR="0007203C" w:rsidRPr="0007203C">
        <w:rPr>
          <w:rStyle w:val="scxw127190134"/>
        </w:rPr>
        <w:t xml:space="preserve"> </w:t>
      </w:r>
      <w:r w:rsidRPr="0007203C">
        <w:rPr>
          <w:rStyle w:val="scxw127190134"/>
        </w:rPr>
        <w:t>HAR.</w:t>
      </w:r>
    </w:p>
    <w:p w14:paraId="6123A32B" w14:textId="77777777" w:rsidR="0007203C" w:rsidRPr="0007203C" w:rsidRDefault="0007203C" w:rsidP="0007203C">
      <w:pPr>
        <w:pStyle w:val="paragraph"/>
        <w:spacing w:before="0" w:beforeAutospacing="0" w:after="0" w:afterAutospacing="0"/>
        <w:jc w:val="both"/>
        <w:textAlignment w:val="baseline"/>
        <w:rPr>
          <w:rStyle w:val="normaltextrun"/>
        </w:rPr>
      </w:pPr>
    </w:p>
    <w:p w14:paraId="52C424FF" w14:textId="15EC8E3D" w:rsidR="00D7414E" w:rsidRPr="0007203C" w:rsidRDefault="00D7414E" w:rsidP="00A07144">
      <w:pPr>
        <w:pStyle w:val="paragraph"/>
        <w:spacing w:before="0" w:beforeAutospacing="0" w:after="0" w:afterAutospacing="0"/>
        <w:jc w:val="both"/>
        <w:textAlignment w:val="baseline"/>
        <w:rPr>
          <w:sz w:val="18"/>
          <w:szCs w:val="18"/>
        </w:rPr>
      </w:pPr>
      <w:r w:rsidRPr="0007203C">
        <w:rPr>
          <w:rStyle w:val="normaltextrun"/>
        </w:rPr>
        <w:lastRenderedPageBreak/>
        <w:t>When applicable, projects will require subcontractors to submit ES&amp;H Plans for review.</w:t>
      </w:r>
      <w:r w:rsidR="0007203C" w:rsidRPr="0007203C">
        <w:rPr>
          <w:rStyle w:val="normaltextrun"/>
        </w:rPr>
        <w:t xml:space="preserve"> </w:t>
      </w:r>
      <w:r w:rsidRPr="0007203C">
        <w:rPr>
          <w:rStyle w:val="normaltextrun"/>
        </w:rPr>
        <w:t xml:space="preserve"> As with vendor visits, designated ES&amp;H personnel may assist with the review and acceptance of those plans prior to the subcontractor’s start of work.</w:t>
      </w:r>
    </w:p>
    <w:p w14:paraId="34185EB5" w14:textId="77777777" w:rsidR="003048EB" w:rsidRPr="0007203C" w:rsidRDefault="003048EB" w:rsidP="00E00D72">
      <w:pPr>
        <w:rPr>
          <w:noProof/>
        </w:rPr>
      </w:pPr>
    </w:p>
    <w:p w14:paraId="34185EB6" w14:textId="77777777" w:rsidR="00C704B6" w:rsidRPr="0007203C" w:rsidRDefault="00C704B6" w:rsidP="0007203C">
      <w:pPr>
        <w:pStyle w:val="Heading1"/>
      </w:pPr>
      <w:bookmarkStart w:id="14" w:name="_Toc106011579"/>
      <w:r w:rsidRPr="0007203C">
        <w:t>REFERENCES</w:t>
      </w:r>
      <w:bookmarkEnd w:id="14"/>
    </w:p>
    <w:p w14:paraId="34185EB7" w14:textId="77777777" w:rsidR="00C704B6" w:rsidRPr="0007203C" w:rsidRDefault="00C704B6" w:rsidP="00C704B6">
      <w:pPr>
        <w:rPr>
          <w:highlight w:val="yellow"/>
        </w:rPr>
      </w:pPr>
    </w:p>
    <w:p w14:paraId="7E6E9DB9" w14:textId="08423183" w:rsidR="00D7414E" w:rsidRPr="0007203C" w:rsidRDefault="005B48A9" w:rsidP="0007203C">
      <w:pPr>
        <w:pStyle w:val="paragraph"/>
        <w:spacing w:before="0" w:beforeAutospacing="0" w:after="0" w:afterAutospacing="0"/>
        <w:jc w:val="both"/>
        <w:textAlignment w:val="baseline"/>
        <w:rPr>
          <w:sz w:val="18"/>
          <w:szCs w:val="18"/>
        </w:rPr>
      </w:pPr>
      <w:hyperlink r:id="rId19" w:tgtFrame="_blank" w:history="1">
        <w:r w:rsidR="00D7414E" w:rsidRPr="0007203C">
          <w:rPr>
            <w:rStyle w:val="normaltextrun"/>
            <w:color w:val="0000FF"/>
            <w:u w:val="single"/>
          </w:rPr>
          <w:t>Office of Project Support Services</w:t>
        </w:r>
      </w:hyperlink>
    </w:p>
    <w:p w14:paraId="78B36B30" w14:textId="77777777" w:rsidR="0007203C" w:rsidRPr="0007203C" w:rsidRDefault="0007203C" w:rsidP="0007203C">
      <w:pPr>
        <w:pStyle w:val="paragraph"/>
        <w:spacing w:before="0" w:beforeAutospacing="0" w:after="0" w:afterAutospacing="0"/>
        <w:jc w:val="both"/>
        <w:textAlignment w:val="baseline"/>
        <w:rPr>
          <w:rStyle w:val="normaltextrun"/>
        </w:rPr>
      </w:pPr>
    </w:p>
    <w:p w14:paraId="1659854F" w14:textId="06D39F30" w:rsidR="00D7414E" w:rsidRPr="0007203C" w:rsidRDefault="005B48A9" w:rsidP="0007203C">
      <w:pPr>
        <w:pStyle w:val="paragraph"/>
        <w:spacing w:before="0" w:beforeAutospacing="0" w:after="0" w:afterAutospacing="0"/>
        <w:jc w:val="both"/>
        <w:textAlignment w:val="baseline"/>
        <w:rPr>
          <w:sz w:val="18"/>
          <w:szCs w:val="18"/>
        </w:rPr>
      </w:pPr>
      <w:hyperlink r:id="rId20" w:tgtFrame="_blank" w:history="1">
        <w:r w:rsidR="00D7414E" w:rsidRPr="0007203C">
          <w:rPr>
            <w:rStyle w:val="normaltextrun"/>
            <w:color w:val="0000FF"/>
            <w:u w:val="single"/>
          </w:rPr>
          <w:t>DOE O 413.3B</w:t>
        </w:r>
      </w:hyperlink>
    </w:p>
    <w:sectPr w:rsidR="00D7414E" w:rsidRPr="0007203C" w:rsidSect="00755E8B">
      <w:headerReference w:type="even" r:id="rId21"/>
      <w:headerReference w:type="default" r:id="rId22"/>
      <w:footerReference w:type="default" r:id="rId23"/>
      <w:headerReference w:type="first" r:id="rId2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5CF7" w14:textId="77777777" w:rsidR="005B48A9" w:rsidRDefault="005B48A9" w:rsidP="00CB66DF">
      <w:r>
        <w:separator/>
      </w:r>
    </w:p>
  </w:endnote>
  <w:endnote w:type="continuationSeparator" w:id="0">
    <w:p w14:paraId="50963156" w14:textId="77777777" w:rsidR="005B48A9" w:rsidRDefault="005B48A9"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8EA0" w14:textId="69047EA3" w:rsidR="00CA774E" w:rsidRDefault="00CA774E" w:rsidP="00CA774E">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8A1C22">
      <w:rPr>
        <w:rFonts w:ascii="Palatino" w:hAnsi="Palatino"/>
        <w:sz w:val="18"/>
      </w:rPr>
      <w:t>2001</w:t>
    </w:r>
    <w:r>
      <w:rPr>
        <w:rFonts w:ascii="Palatino" w:hAnsi="Palatino"/>
        <w:sz w:val="18"/>
      </w:rPr>
      <w:t>-</w:t>
    </w:r>
    <w:r w:rsidR="008A1C22" w:rsidRPr="008A1C22">
      <w:rPr>
        <w:rFonts w:ascii="Palatino" w:hAnsi="Palatino"/>
        <w:sz w:val="18"/>
      </w:rPr>
      <w:fldChar w:fldCharType="begin"/>
    </w:r>
    <w:r w:rsidR="008A1C22" w:rsidRPr="008A1C22">
      <w:rPr>
        <w:rFonts w:ascii="Palatino" w:hAnsi="Palatino"/>
        <w:sz w:val="18"/>
      </w:rPr>
      <w:instrText xml:space="preserve"> PAGE   \* MERGEFORMAT </w:instrText>
    </w:r>
    <w:r w:rsidR="008A1C22" w:rsidRPr="008A1C22">
      <w:rPr>
        <w:rFonts w:ascii="Palatino" w:hAnsi="Palatino"/>
        <w:sz w:val="18"/>
      </w:rPr>
      <w:fldChar w:fldCharType="separate"/>
    </w:r>
    <w:r w:rsidR="008A1C22" w:rsidRPr="008A1C22">
      <w:rPr>
        <w:rFonts w:ascii="Palatino" w:hAnsi="Palatino"/>
        <w:noProof/>
        <w:sz w:val="18"/>
      </w:rPr>
      <w:t>1</w:t>
    </w:r>
    <w:r w:rsidR="008A1C22" w:rsidRPr="008A1C22">
      <w:rPr>
        <w:rFonts w:ascii="Palatino" w:hAnsi="Palatino"/>
        <w:noProof/>
        <w:sz w:val="18"/>
      </w:rPr>
      <w:fldChar w:fldCharType="end"/>
    </w:r>
  </w:p>
  <w:p w14:paraId="17AB9AFF" w14:textId="28E106D2" w:rsidR="00CA774E" w:rsidRDefault="00CA774E" w:rsidP="00CA774E">
    <w:pPr>
      <w:pStyle w:val="Footer"/>
      <w:pBdr>
        <w:top w:val="single" w:sz="6" w:space="0" w:color="auto"/>
      </w:pBdr>
      <w:tabs>
        <w:tab w:val="clear" w:pos="9360"/>
        <w:tab w:val="right" w:pos="9720"/>
      </w:tabs>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A921C5">
      <w:rPr>
        <w:sz w:val="18"/>
        <w:szCs w:val="18"/>
      </w:rPr>
      <w:t>05/2022</w:t>
    </w:r>
  </w:p>
  <w:p w14:paraId="2D65DE5D" w14:textId="77777777" w:rsidR="00CA774E" w:rsidRPr="00B072B8" w:rsidRDefault="00CA774E" w:rsidP="00CA774E">
    <w:pPr>
      <w:pStyle w:val="Footer"/>
      <w:tabs>
        <w:tab w:val="clear" w:pos="9360"/>
        <w:tab w:val="right" w:pos="9720"/>
      </w:tabs>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7F99" w14:textId="77777777" w:rsidR="008A1C22" w:rsidRDefault="008A1C22" w:rsidP="00CA774E">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2001-</w:t>
    </w:r>
    <w:r w:rsidRPr="008A1C22">
      <w:rPr>
        <w:rFonts w:ascii="Palatino" w:hAnsi="Palatino"/>
        <w:sz w:val="18"/>
      </w:rPr>
      <w:fldChar w:fldCharType="begin"/>
    </w:r>
    <w:r w:rsidRPr="008A1C22">
      <w:rPr>
        <w:rFonts w:ascii="Palatino" w:hAnsi="Palatino"/>
        <w:sz w:val="18"/>
      </w:rPr>
      <w:instrText xml:space="preserve"> PAGE   \* MERGEFORMAT </w:instrText>
    </w:r>
    <w:r w:rsidRPr="008A1C22">
      <w:rPr>
        <w:rFonts w:ascii="Palatino" w:hAnsi="Palatino"/>
        <w:sz w:val="18"/>
      </w:rPr>
      <w:fldChar w:fldCharType="separate"/>
    </w:r>
    <w:r w:rsidRPr="008A1C22">
      <w:rPr>
        <w:rFonts w:ascii="Palatino" w:hAnsi="Palatino"/>
        <w:noProof/>
        <w:sz w:val="18"/>
      </w:rPr>
      <w:t>1</w:t>
    </w:r>
    <w:r w:rsidRPr="008A1C22">
      <w:rPr>
        <w:rFonts w:ascii="Palatino" w:hAnsi="Palatino"/>
        <w:noProof/>
        <w:sz w:val="18"/>
      </w:rPr>
      <w:fldChar w:fldCharType="end"/>
    </w:r>
  </w:p>
  <w:p w14:paraId="244CC8C8" w14:textId="77777777" w:rsidR="008A1C22" w:rsidRDefault="008A1C22" w:rsidP="00CA774E">
    <w:pPr>
      <w:pStyle w:val="Footer"/>
      <w:pBdr>
        <w:top w:val="single" w:sz="6" w:space="0" w:color="auto"/>
      </w:pBdr>
      <w:tabs>
        <w:tab w:val="clear" w:pos="9360"/>
        <w:tab w:val="right" w:pos="9720"/>
      </w:tabs>
      <w:rPr>
        <w:rFonts w:ascii="Palatino" w:hAnsi="Palatino"/>
        <w:sz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05/2022</w:t>
    </w:r>
  </w:p>
  <w:p w14:paraId="30BF5CFA" w14:textId="77777777" w:rsidR="008A1C22" w:rsidRPr="00B072B8" w:rsidRDefault="008A1C22" w:rsidP="00CA774E">
    <w:pPr>
      <w:pStyle w:val="Footer"/>
      <w:tabs>
        <w:tab w:val="clear" w:pos="9360"/>
        <w:tab w:val="right" w:pos="9720"/>
      </w:tabs>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F02" w14:textId="69C7B28A" w:rsidR="00B072B8" w:rsidRDefault="00B072B8" w:rsidP="00F41ADD">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F43827">
      <w:rPr>
        <w:rFonts w:ascii="Palatino" w:hAnsi="Palatino"/>
        <w:sz w:val="18"/>
      </w:rPr>
      <w:t>2001</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34185F06" w14:textId="57F99BEC" w:rsidR="00F14B58" w:rsidRDefault="00B072B8" w:rsidP="00F41ADD">
    <w:pPr>
      <w:pStyle w:val="Footer"/>
      <w:pBdr>
        <w:top w:val="single" w:sz="6" w:space="0" w:color="auto"/>
      </w:pBdr>
      <w:tabs>
        <w:tab w:val="clear" w:pos="9360"/>
        <w:tab w:val="right" w:pos="9720"/>
      </w:tabs>
      <w:rPr>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DC36D4">
      <w:rPr>
        <w:rFonts w:ascii="Palatino" w:hAnsi="Palatino"/>
        <w:i/>
        <w:sz w:val="18"/>
      </w:rPr>
      <w:t>&amp;H</w:t>
    </w:r>
    <w:r w:rsidRPr="00320751">
      <w:rPr>
        <w:rFonts w:ascii="Palatino" w:hAnsi="Palatino"/>
        <w:i/>
        <w:sz w:val="18"/>
      </w:rPr>
      <w:t xml:space="preserve"> Section website.</w:t>
    </w:r>
    <w:r>
      <w:rPr>
        <w:rFonts w:ascii="Palatino" w:hAnsi="Palatino"/>
        <w:sz w:val="18"/>
      </w:rPr>
      <w:tab/>
    </w:r>
    <w:r w:rsidR="00C9646B">
      <w:rPr>
        <w:sz w:val="18"/>
        <w:szCs w:val="18"/>
      </w:rPr>
      <w:t xml:space="preserve">Rev. </w:t>
    </w:r>
    <w:r w:rsidR="00F43827">
      <w:rPr>
        <w:sz w:val="18"/>
        <w:szCs w:val="18"/>
      </w:rPr>
      <w:t>5/2022</w:t>
    </w:r>
  </w:p>
  <w:p w14:paraId="1DDF8C45" w14:textId="77777777" w:rsidR="00F41ADD" w:rsidRPr="00DB5D5A" w:rsidRDefault="00F41ADD" w:rsidP="00F41ADD">
    <w:pPr>
      <w:pStyle w:val="Footer"/>
      <w:pBdr>
        <w:top w:val="single" w:sz="6" w:space="0" w:color="auto"/>
      </w:pBdr>
      <w:tabs>
        <w:tab w:val="clear" w:pos="9360"/>
        <w:tab w:val="right" w:pos="9720"/>
      </w:tabs>
      <w:rPr>
        <w:rStyle w:val="PageNumber"/>
        <w:i/>
        <w:sz w:val="20"/>
        <w:szCs w:val="20"/>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F475" w14:textId="77777777" w:rsidR="005B48A9" w:rsidRDefault="005B48A9" w:rsidP="00CB66DF">
      <w:r>
        <w:separator/>
      </w:r>
    </w:p>
  </w:footnote>
  <w:footnote w:type="continuationSeparator" w:id="0">
    <w:p w14:paraId="73054463" w14:textId="77777777" w:rsidR="005B48A9" w:rsidRDefault="005B48A9"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CA774E" w:rsidRPr="00423E3B" w14:paraId="69C7BA51" w14:textId="77777777" w:rsidTr="00276DEB">
      <w:trPr>
        <w:trHeight w:val="611"/>
      </w:trPr>
      <w:tc>
        <w:tcPr>
          <w:tcW w:w="1490" w:type="dxa"/>
        </w:tcPr>
        <w:p w14:paraId="3D214F44" w14:textId="77777777" w:rsidR="00CA774E" w:rsidRDefault="00CA774E" w:rsidP="003B3F6D">
          <w:r w:rsidRPr="00684839">
            <w:rPr>
              <w:noProof/>
            </w:rPr>
            <w:drawing>
              <wp:anchor distT="0" distB="0" distL="114300" distR="114300" simplePos="0" relativeHeight="251670016" behindDoc="0" locked="0" layoutInCell="1" allowOverlap="0" wp14:anchorId="6533315C" wp14:editId="77F9963F">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1EAB2D4" w14:textId="77777777" w:rsidR="00CA774E" w:rsidRDefault="00CA774E" w:rsidP="003B3F6D">
          <w:pPr>
            <w:jc w:val="center"/>
          </w:pPr>
          <w:r>
            <w:t>ES&amp;H Manual</w:t>
          </w:r>
        </w:p>
      </w:tc>
      <w:tc>
        <w:tcPr>
          <w:tcW w:w="3188" w:type="dxa"/>
          <w:vAlign w:val="center"/>
        </w:tcPr>
        <w:p w14:paraId="63DB41A9" w14:textId="2E336336" w:rsidR="00CA774E" w:rsidRPr="00423E3B" w:rsidRDefault="00CA774E" w:rsidP="00276DEB">
          <w:pPr>
            <w:jc w:val="center"/>
          </w:pPr>
          <w:r>
            <w:t xml:space="preserve">FESHM </w:t>
          </w:r>
          <w:r w:rsidR="008A1C22">
            <w:t>2001</w:t>
          </w:r>
        </w:p>
        <w:p w14:paraId="6D72D7A5" w14:textId="1A1A2752" w:rsidR="00CA774E" w:rsidRPr="00423E3B" w:rsidRDefault="00A921C5" w:rsidP="00276DEB">
          <w:pPr>
            <w:jc w:val="center"/>
          </w:pPr>
          <w:r>
            <w:t xml:space="preserve"> May 2022</w:t>
          </w:r>
        </w:p>
      </w:tc>
    </w:tr>
  </w:tbl>
  <w:p w14:paraId="2E43AC7D" w14:textId="77777777" w:rsidR="00CA774E" w:rsidRDefault="00CA774E"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F41ADD" w:rsidRPr="00423E3B" w14:paraId="5CAE3C12" w14:textId="77777777" w:rsidTr="00276DEB">
      <w:trPr>
        <w:trHeight w:val="611"/>
      </w:trPr>
      <w:tc>
        <w:tcPr>
          <w:tcW w:w="1490" w:type="dxa"/>
        </w:tcPr>
        <w:p w14:paraId="4F46E776" w14:textId="77777777" w:rsidR="00F41ADD" w:rsidRDefault="00F41ADD" w:rsidP="003B3F6D">
          <w:r w:rsidRPr="00684839">
            <w:rPr>
              <w:noProof/>
            </w:rPr>
            <w:drawing>
              <wp:anchor distT="0" distB="0" distL="114300" distR="114300" simplePos="0" relativeHeight="251672064" behindDoc="0" locked="0" layoutInCell="1" allowOverlap="0" wp14:anchorId="2C89974B" wp14:editId="357DE7BF">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E2A6FF5" w14:textId="77777777" w:rsidR="00F41ADD" w:rsidRDefault="00F41ADD" w:rsidP="003B3F6D">
          <w:pPr>
            <w:jc w:val="center"/>
          </w:pPr>
          <w:r>
            <w:t>ES&amp;H Manual</w:t>
          </w:r>
        </w:p>
      </w:tc>
      <w:tc>
        <w:tcPr>
          <w:tcW w:w="3188" w:type="dxa"/>
          <w:vAlign w:val="center"/>
        </w:tcPr>
        <w:p w14:paraId="6D15FEE4" w14:textId="2521A8B1" w:rsidR="00F41ADD" w:rsidRPr="00423E3B" w:rsidRDefault="00F41ADD" w:rsidP="00276DEB">
          <w:pPr>
            <w:jc w:val="center"/>
          </w:pPr>
          <w:r>
            <w:t xml:space="preserve">FESHM </w:t>
          </w:r>
          <w:r w:rsidR="008A1C22">
            <w:t>2001</w:t>
          </w:r>
        </w:p>
        <w:p w14:paraId="7FE05873" w14:textId="6CDA92E7" w:rsidR="00F41ADD" w:rsidRPr="00423E3B" w:rsidRDefault="00A921C5" w:rsidP="00276DEB">
          <w:pPr>
            <w:jc w:val="center"/>
          </w:pPr>
          <w:r>
            <w:t>May 2022</w:t>
          </w:r>
        </w:p>
      </w:tc>
    </w:tr>
  </w:tbl>
  <w:p w14:paraId="234367F7" w14:textId="77777777" w:rsidR="00F41ADD" w:rsidRDefault="00F41ADD"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58C" w14:textId="6EA18439" w:rsidR="00DC36D4" w:rsidRDefault="00DC3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34185F00" w14:textId="77777777" w:rsidTr="00821B8A">
      <w:trPr>
        <w:trHeight w:val="611"/>
      </w:trPr>
      <w:tc>
        <w:tcPr>
          <w:tcW w:w="2676" w:type="dxa"/>
        </w:tcPr>
        <w:p w14:paraId="34185EFC" w14:textId="77777777" w:rsidR="00821B8A" w:rsidRDefault="00821B8A" w:rsidP="00821B8A">
          <w:r w:rsidRPr="00684839">
            <w:rPr>
              <w:noProof/>
            </w:rPr>
            <w:drawing>
              <wp:anchor distT="0" distB="0" distL="114300" distR="114300" simplePos="0" relativeHeight="251661824" behindDoc="0" locked="0" layoutInCell="1" allowOverlap="0" wp14:anchorId="34185F0B" wp14:editId="34185F0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4185EFD" w14:textId="77777777" w:rsidR="00821B8A" w:rsidRDefault="00821B8A" w:rsidP="00821B8A">
          <w:pPr>
            <w:jc w:val="center"/>
          </w:pPr>
          <w:r>
            <w:t>ES&amp;H Manual</w:t>
          </w:r>
        </w:p>
      </w:tc>
      <w:tc>
        <w:tcPr>
          <w:tcW w:w="2736" w:type="dxa"/>
          <w:vAlign w:val="center"/>
        </w:tcPr>
        <w:p w14:paraId="34185EFE" w14:textId="6FCD918D" w:rsidR="00821B8A" w:rsidRPr="00423E3B" w:rsidRDefault="00821B8A" w:rsidP="00821B8A">
          <w:pPr>
            <w:jc w:val="center"/>
          </w:pPr>
          <w:r>
            <w:t xml:space="preserve">FESHM </w:t>
          </w:r>
          <w:r w:rsidR="00F43827">
            <w:t>2001</w:t>
          </w:r>
        </w:p>
        <w:p w14:paraId="34185EFF" w14:textId="0F44F6BA" w:rsidR="00821B8A" w:rsidRPr="00423E3B" w:rsidRDefault="00F43827" w:rsidP="00821B8A">
          <w:pPr>
            <w:jc w:val="center"/>
          </w:pPr>
          <w:r>
            <w:t>May 2022</w:t>
          </w:r>
        </w:p>
      </w:tc>
    </w:tr>
  </w:tbl>
  <w:p w14:paraId="34185F01" w14:textId="455A6AAE" w:rsidR="00F14B58" w:rsidRDefault="00F14B58"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7DCF" w14:textId="11010174" w:rsidR="00DC36D4" w:rsidRDefault="00DC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7FFC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DF4"/>
    <w:multiLevelType w:val="multilevel"/>
    <w:tmpl w:val="A94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E83C4A"/>
    <w:multiLevelType w:val="multilevel"/>
    <w:tmpl w:val="341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A29B4"/>
    <w:multiLevelType w:val="hybridMultilevel"/>
    <w:tmpl w:val="360C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F54AC"/>
    <w:multiLevelType w:val="multilevel"/>
    <w:tmpl w:val="C5281378"/>
    <w:lvl w:ilvl="0">
      <w:start w:val="1"/>
      <w:numFmt w:val="decimal"/>
      <w:lvlText w:val="%1.0"/>
      <w:lvlJc w:val="left"/>
      <w:pPr>
        <w:ind w:left="636" w:hanging="576"/>
      </w:pPr>
      <w:rPr>
        <w:rFonts w:ascii="Times New Roman" w:hAnsi="Times New Roman" w:cs="Times New Roman" w:hint="default"/>
        <w:sz w:val="24"/>
        <w:szCs w:val="24"/>
      </w:rPr>
    </w:lvl>
    <w:lvl w:ilvl="1">
      <w:start w:val="1"/>
      <w:numFmt w:val="decimal"/>
      <w:lvlText w:val="%1.%2"/>
      <w:lvlJc w:val="left"/>
      <w:pPr>
        <w:ind w:left="1356" w:hanging="576"/>
      </w:pPr>
      <w:rPr>
        <w:rFonts w:ascii="Times New Roman" w:hAnsi="Times New Roman" w:cs="Times New Roman" w:hint="default"/>
        <w:sz w:val="24"/>
        <w:szCs w:val="24"/>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3660" w:hanging="72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460" w:hanging="108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8" w15:restartNumberingAfterBreak="0">
    <w:nsid w:val="15B16056"/>
    <w:multiLevelType w:val="hybridMultilevel"/>
    <w:tmpl w:val="2058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644AF"/>
    <w:multiLevelType w:val="multilevel"/>
    <w:tmpl w:val="74DC79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8D6C18"/>
    <w:multiLevelType w:val="multilevel"/>
    <w:tmpl w:val="28D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0504D"/>
    <w:multiLevelType w:val="hybridMultilevel"/>
    <w:tmpl w:val="CF8A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B5AA2"/>
    <w:multiLevelType w:val="multilevel"/>
    <w:tmpl w:val="847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7370C"/>
    <w:multiLevelType w:val="multilevel"/>
    <w:tmpl w:val="F89C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D6696"/>
    <w:multiLevelType w:val="multilevel"/>
    <w:tmpl w:val="C9FEC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7A19AB"/>
    <w:multiLevelType w:val="multilevel"/>
    <w:tmpl w:val="F942FDB2"/>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6"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7F3789"/>
    <w:multiLevelType w:val="multilevel"/>
    <w:tmpl w:val="68C24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5FE768E"/>
    <w:multiLevelType w:val="multilevel"/>
    <w:tmpl w:val="E61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F3606A2"/>
    <w:multiLevelType w:val="multilevel"/>
    <w:tmpl w:val="37FE7C62"/>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23" w15:restartNumberingAfterBreak="0">
    <w:nsid w:val="515F5F3C"/>
    <w:multiLevelType w:val="multilevel"/>
    <w:tmpl w:val="9E9E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DB35396"/>
    <w:multiLevelType w:val="multilevel"/>
    <w:tmpl w:val="ED1E3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57E4DC2"/>
    <w:multiLevelType w:val="hybridMultilevel"/>
    <w:tmpl w:val="9D76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C5EA2"/>
    <w:multiLevelType w:val="multilevel"/>
    <w:tmpl w:val="55C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9"/>
  </w:num>
  <w:num w:numId="3">
    <w:abstractNumId w:val="18"/>
  </w:num>
  <w:num w:numId="4">
    <w:abstractNumId w:val="4"/>
  </w:num>
  <w:num w:numId="5">
    <w:abstractNumId w:val="21"/>
  </w:num>
  <w:num w:numId="6">
    <w:abstractNumId w:val="1"/>
  </w:num>
  <w:num w:numId="7">
    <w:abstractNumId w:val="0"/>
  </w:num>
  <w:num w:numId="8">
    <w:abstractNumId w:val="16"/>
  </w:num>
  <w:num w:numId="9">
    <w:abstractNumId w:val="27"/>
  </w:num>
  <w:num w:numId="10">
    <w:abstractNumId w:val="2"/>
  </w:num>
  <w:num w:numId="11">
    <w:abstractNumId w:val="22"/>
  </w:num>
  <w:num w:numId="12">
    <w:abstractNumId w:val="7"/>
  </w:num>
  <w:num w:numId="13">
    <w:abstractNumId w:val="12"/>
  </w:num>
  <w:num w:numId="14">
    <w:abstractNumId w:val="5"/>
  </w:num>
  <w:num w:numId="15">
    <w:abstractNumId w:val="10"/>
  </w:num>
  <w:num w:numId="16">
    <w:abstractNumId w:val="28"/>
  </w:num>
  <w:num w:numId="17">
    <w:abstractNumId w:val="3"/>
  </w:num>
  <w:num w:numId="18">
    <w:abstractNumId w:val="20"/>
  </w:num>
  <w:num w:numId="19">
    <w:abstractNumId w:val="17"/>
  </w:num>
  <w:num w:numId="20">
    <w:abstractNumId w:val="23"/>
  </w:num>
  <w:num w:numId="21">
    <w:abstractNumId w:val="9"/>
  </w:num>
  <w:num w:numId="22">
    <w:abstractNumId w:val="14"/>
  </w:num>
  <w:num w:numId="23">
    <w:abstractNumId w:val="15"/>
  </w:num>
  <w:num w:numId="24">
    <w:abstractNumId w:val="24"/>
  </w:num>
  <w:num w:numId="25">
    <w:abstractNumId w:val="8"/>
  </w:num>
  <w:num w:numId="26">
    <w:abstractNumId w:val="13"/>
  </w:num>
  <w:num w:numId="27">
    <w:abstractNumId w:val="11"/>
  </w:num>
  <w:num w:numId="28">
    <w:abstractNumId w:val="6"/>
  </w:num>
  <w:num w:numId="2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064"/>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203C"/>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052B2"/>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57CC8"/>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544"/>
    <w:rsid w:val="001F36C2"/>
    <w:rsid w:val="001F38CB"/>
    <w:rsid w:val="001F3CEC"/>
    <w:rsid w:val="001F45BB"/>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7ED"/>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4E1C"/>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4C70"/>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1C48"/>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653C"/>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48A9"/>
    <w:rsid w:val="005B6905"/>
    <w:rsid w:val="005C1138"/>
    <w:rsid w:val="005C1721"/>
    <w:rsid w:val="005C3DE2"/>
    <w:rsid w:val="005C422D"/>
    <w:rsid w:val="005C68FC"/>
    <w:rsid w:val="005D2693"/>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34E0"/>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252"/>
    <w:rsid w:val="00747685"/>
    <w:rsid w:val="00747CA7"/>
    <w:rsid w:val="007509AD"/>
    <w:rsid w:val="007517A1"/>
    <w:rsid w:val="00754D91"/>
    <w:rsid w:val="00755E8B"/>
    <w:rsid w:val="007637C5"/>
    <w:rsid w:val="00764DC9"/>
    <w:rsid w:val="00765DBA"/>
    <w:rsid w:val="00774629"/>
    <w:rsid w:val="007774FE"/>
    <w:rsid w:val="0078282A"/>
    <w:rsid w:val="007848D2"/>
    <w:rsid w:val="007852F2"/>
    <w:rsid w:val="00790515"/>
    <w:rsid w:val="00790CBC"/>
    <w:rsid w:val="00790EC3"/>
    <w:rsid w:val="00791740"/>
    <w:rsid w:val="0079178C"/>
    <w:rsid w:val="00792643"/>
    <w:rsid w:val="00794290"/>
    <w:rsid w:val="00794AED"/>
    <w:rsid w:val="00797A51"/>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1C22"/>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C7219"/>
    <w:rsid w:val="008D020B"/>
    <w:rsid w:val="008D0878"/>
    <w:rsid w:val="008D0C60"/>
    <w:rsid w:val="008D0D94"/>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1EF"/>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96F68"/>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144"/>
    <w:rsid w:val="00A07DD6"/>
    <w:rsid w:val="00A10A70"/>
    <w:rsid w:val="00A110F1"/>
    <w:rsid w:val="00A14FE3"/>
    <w:rsid w:val="00A17AD0"/>
    <w:rsid w:val="00A216A7"/>
    <w:rsid w:val="00A22817"/>
    <w:rsid w:val="00A23136"/>
    <w:rsid w:val="00A2408C"/>
    <w:rsid w:val="00A24907"/>
    <w:rsid w:val="00A27ED9"/>
    <w:rsid w:val="00A3104E"/>
    <w:rsid w:val="00A341B7"/>
    <w:rsid w:val="00A34CAC"/>
    <w:rsid w:val="00A4075B"/>
    <w:rsid w:val="00A428EF"/>
    <w:rsid w:val="00A4316F"/>
    <w:rsid w:val="00A4491A"/>
    <w:rsid w:val="00A4679F"/>
    <w:rsid w:val="00A50F2A"/>
    <w:rsid w:val="00A50F36"/>
    <w:rsid w:val="00A524DE"/>
    <w:rsid w:val="00A5262D"/>
    <w:rsid w:val="00A530EF"/>
    <w:rsid w:val="00A56003"/>
    <w:rsid w:val="00A619B5"/>
    <w:rsid w:val="00A70984"/>
    <w:rsid w:val="00A71082"/>
    <w:rsid w:val="00A77CCE"/>
    <w:rsid w:val="00A805B8"/>
    <w:rsid w:val="00A84E18"/>
    <w:rsid w:val="00A85501"/>
    <w:rsid w:val="00A8557B"/>
    <w:rsid w:val="00A869F2"/>
    <w:rsid w:val="00A9001C"/>
    <w:rsid w:val="00A921C5"/>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3F21"/>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4D0"/>
    <w:rsid w:val="00B57588"/>
    <w:rsid w:val="00B618FA"/>
    <w:rsid w:val="00B61C02"/>
    <w:rsid w:val="00B641B2"/>
    <w:rsid w:val="00B72264"/>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C54C9"/>
    <w:rsid w:val="00BD056C"/>
    <w:rsid w:val="00BD0818"/>
    <w:rsid w:val="00BD17E2"/>
    <w:rsid w:val="00BD270B"/>
    <w:rsid w:val="00BD292A"/>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06513"/>
    <w:rsid w:val="00C13EEC"/>
    <w:rsid w:val="00C148CE"/>
    <w:rsid w:val="00C16468"/>
    <w:rsid w:val="00C17904"/>
    <w:rsid w:val="00C21783"/>
    <w:rsid w:val="00C22184"/>
    <w:rsid w:val="00C22A4E"/>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A774E"/>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398"/>
    <w:rsid w:val="00D6371B"/>
    <w:rsid w:val="00D64B0D"/>
    <w:rsid w:val="00D65289"/>
    <w:rsid w:val="00D7414E"/>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6D4"/>
    <w:rsid w:val="00DC3A1B"/>
    <w:rsid w:val="00DC635A"/>
    <w:rsid w:val="00DD36A7"/>
    <w:rsid w:val="00DD5ECC"/>
    <w:rsid w:val="00DD6D2F"/>
    <w:rsid w:val="00DD71DC"/>
    <w:rsid w:val="00DE2BC0"/>
    <w:rsid w:val="00DE35C0"/>
    <w:rsid w:val="00DE409C"/>
    <w:rsid w:val="00DE40C3"/>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A52"/>
    <w:rsid w:val="00E91BA9"/>
    <w:rsid w:val="00EA09FC"/>
    <w:rsid w:val="00EA6230"/>
    <w:rsid w:val="00EA6DEF"/>
    <w:rsid w:val="00EA7011"/>
    <w:rsid w:val="00EB39F6"/>
    <w:rsid w:val="00EB3C8E"/>
    <w:rsid w:val="00EB57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34B8"/>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1ADD"/>
    <w:rsid w:val="00F43368"/>
    <w:rsid w:val="00F43827"/>
    <w:rsid w:val="00F43EC4"/>
    <w:rsid w:val="00F46BB4"/>
    <w:rsid w:val="00F4707B"/>
    <w:rsid w:val="00F4760A"/>
    <w:rsid w:val="00F47943"/>
    <w:rsid w:val="00F47DEB"/>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1454"/>
    <w:rsid w:val="00FD2D88"/>
    <w:rsid w:val="00FD5BF2"/>
    <w:rsid w:val="00FD6BDD"/>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34185E4C"/>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customStyle="1" w:styleId="normaltextrun">
    <w:name w:val="normaltextrun"/>
    <w:basedOn w:val="DefaultParagraphFont"/>
    <w:rsid w:val="00D63398"/>
  </w:style>
  <w:style w:type="character" w:customStyle="1" w:styleId="eop">
    <w:name w:val="eop"/>
    <w:basedOn w:val="DefaultParagraphFont"/>
    <w:rsid w:val="00D63398"/>
  </w:style>
  <w:style w:type="paragraph" w:customStyle="1" w:styleId="paragraph">
    <w:name w:val="paragraph"/>
    <w:basedOn w:val="Normal"/>
    <w:rsid w:val="00D63398"/>
    <w:pPr>
      <w:spacing w:before="100" w:beforeAutospacing="1" w:after="100" w:afterAutospacing="1"/>
      <w:jc w:val="left"/>
    </w:pPr>
  </w:style>
  <w:style w:type="character" w:customStyle="1" w:styleId="contextualspellingandgrammarerror">
    <w:name w:val="contextualspellingandgrammarerror"/>
    <w:basedOn w:val="DefaultParagraphFont"/>
    <w:rsid w:val="00D63398"/>
  </w:style>
  <w:style w:type="character" w:customStyle="1" w:styleId="advancedproofingissue">
    <w:name w:val="advancedproofingissue"/>
    <w:basedOn w:val="DefaultParagraphFont"/>
    <w:rsid w:val="00D63398"/>
  </w:style>
  <w:style w:type="character" w:customStyle="1" w:styleId="scxw127190134">
    <w:name w:val="scxw127190134"/>
    <w:basedOn w:val="DefaultParagraphFont"/>
    <w:rsid w:val="00D7414E"/>
  </w:style>
  <w:style w:type="character" w:styleId="LineNumber">
    <w:name w:val="line number"/>
    <w:basedOn w:val="DefaultParagraphFont"/>
    <w:uiPriority w:val="99"/>
    <w:semiHidden/>
    <w:unhideWhenUsed/>
    <w:rsid w:val="00DC36D4"/>
  </w:style>
  <w:style w:type="character" w:styleId="CommentReference">
    <w:name w:val="annotation reference"/>
    <w:basedOn w:val="DefaultParagraphFont"/>
    <w:uiPriority w:val="99"/>
    <w:semiHidden/>
    <w:unhideWhenUsed/>
    <w:rsid w:val="005D2693"/>
    <w:rPr>
      <w:sz w:val="16"/>
      <w:szCs w:val="16"/>
    </w:rPr>
  </w:style>
  <w:style w:type="paragraph" w:styleId="CommentText">
    <w:name w:val="annotation text"/>
    <w:basedOn w:val="Normal"/>
    <w:link w:val="CommentTextChar"/>
    <w:uiPriority w:val="99"/>
    <w:semiHidden/>
    <w:unhideWhenUsed/>
    <w:rsid w:val="005D2693"/>
    <w:pPr>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D2693"/>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fnal.gov/organization/OPSS/SitePages/Document%20Templates%20and%20Examples.aspx" TargetMode="External"/><Relationship Id="rId18" Type="http://schemas.openxmlformats.org/officeDocument/2006/relationships/hyperlink" Target="https://esh-docdb.fnal.gov/cgi-bin/sso/ShowDocument?docid=4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pp-docdb.fnal.gov/cgi-bin/sso/ShowDocument?docid=755" TargetMode="External"/><Relationship Id="rId17" Type="http://schemas.openxmlformats.org/officeDocument/2006/relationships/hyperlink" Target="https://fess-app.fnal.gov/app/EnvironmentalReview/faces/searchReviewForms.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h-docdb.fnal.gov/cgi-bin/sso/ShowDocument?docid=429" TargetMode="External"/><Relationship Id="rId20" Type="http://schemas.openxmlformats.org/officeDocument/2006/relationships/hyperlink" Target="https://www.directives.doe.gov/directives-documents/400-series/0413.3-BOrder-b/@@images/f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esh-docdb.fnal.gov:440/cgi-bin/ShowDocument?docid=1090"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eb.fnal.gov/organization/OPSS/SitePages/Home.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348"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4289AE-A919-48D4-9A3B-914C978E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14302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pavnica@fnal.gov</dc:creator>
  <cp:lastModifiedBy>David J. Skrivan</cp:lastModifiedBy>
  <cp:revision>5</cp:revision>
  <cp:lastPrinted>2015-07-22T19:03:00Z</cp:lastPrinted>
  <dcterms:created xsi:type="dcterms:W3CDTF">2022-07-13T13:17:00Z</dcterms:created>
  <dcterms:modified xsi:type="dcterms:W3CDTF">2022-08-11T18:34:00Z</dcterms:modified>
</cp:coreProperties>
</file>