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852"/>
        <w:tblW w:w="6216" w:type="pct"/>
        <w:tblLook w:val="04A0" w:firstRow="1" w:lastRow="0" w:firstColumn="1" w:lastColumn="0" w:noHBand="0" w:noVBand="1"/>
      </w:tblPr>
      <w:tblGrid>
        <w:gridCol w:w="12456"/>
      </w:tblGrid>
      <w:tr w:rsidR="00226C9A" w:rsidTr="00CD6539">
        <w:trPr>
          <w:trHeight w:val="3028"/>
        </w:trPr>
        <w:tc>
          <w:tcPr>
            <w:tcW w:w="5000" w:type="pct"/>
          </w:tcPr>
          <w:p w:rsidR="004E0420" w:rsidRPr="00377B8C" w:rsidRDefault="004E0420" w:rsidP="006F7D8D">
            <w:pPr>
              <w:tabs>
                <w:tab w:val="left" w:pos="5832"/>
              </w:tabs>
              <w:ind w:left="0"/>
              <w:jc w:val="center"/>
              <w:rPr>
                <w:lang w:eastAsia="ja-JP"/>
              </w:rPr>
            </w:pPr>
            <w:r w:rsidRPr="004E0420">
              <w:rPr>
                <w:noProof/>
              </w:rPr>
              <w:drawing>
                <wp:inline distT="0" distB="0" distL="0" distR="0">
                  <wp:extent cx="7772400" cy="10058400"/>
                  <wp:effectExtent l="0" t="0" r="0" b="0"/>
                  <wp:docPr id="53" name="Picture 53" descr="C:\Users\mieland\Desktop\Environment_Report_Cover_2014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eland\Desktop\Environment_Report_Cover_2014_Hi_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tc>
      </w:tr>
    </w:tbl>
    <w:tbl>
      <w:tblPr>
        <w:tblpPr w:leftFromText="187" w:rightFromText="187" w:horzAnchor="margin" w:tblpXSpec="center" w:tblpYSpec="bottom"/>
        <w:tblW w:w="5000" w:type="pct"/>
        <w:tblLook w:val="04A0" w:firstRow="1" w:lastRow="0" w:firstColumn="1" w:lastColumn="0" w:noHBand="0" w:noVBand="1"/>
      </w:tblPr>
      <w:tblGrid>
        <w:gridCol w:w="9360"/>
      </w:tblGrid>
      <w:tr w:rsidR="00226C9A">
        <w:tc>
          <w:tcPr>
            <w:tcW w:w="5000" w:type="pct"/>
          </w:tcPr>
          <w:p w:rsidR="00226C9A" w:rsidRDefault="00226C9A" w:rsidP="00C73A8B">
            <w:pPr>
              <w:pStyle w:val="NoSpacing"/>
            </w:pPr>
          </w:p>
        </w:tc>
      </w:tr>
    </w:tbl>
    <w:p w:rsidR="00AF200A" w:rsidRDefault="00AF200A" w:rsidP="004E0420">
      <w:pPr>
        <w:pStyle w:val="Header"/>
        <w:tabs>
          <w:tab w:val="clear" w:pos="4320"/>
          <w:tab w:val="clear" w:pos="8640"/>
        </w:tabs>
        <w:ind w:left="0" w:right="-540"/>
      </w:pPr>
      <w:r>
        <w:lastRenderedPageBreak/>
        <w:t>Table of Contents</w:t>
      </w:r>
    </w:p>
    <w:p w:rsidR="00C74C60" w:rsidRDefault="000869F7">
      <w:pPr>
        <w:pStyle w:val="TOC1"/>
        <w:tabs>
          <w:tab w:val="right" w:leader="underscore" w:pos="9350"/>
        </w:tabs>
        <w:rPr>
          <w:rFonts w:asciiTheme="minorHAnsi" w:eastAsiaTheme="minorEastAsia" w:hAnsiTheme="minorHAnsi" w:cstheme="minorBidi"/>
          <w:b w:val="0"/>
          <w:bCs w:val="0"/>
          <w:i w:val="0"/>
          <w:iCs w:val="0"/>
          <w:noProof/>
          <w:spacing w:val="0"/>
          <w:sz w:val="22"/>
          <w:szCs w:val="22"/>
        </w:rPr>
      </w:pPr>
      <w:r w:rsidRPr="00226C9A">
        <w:rPr>
          <w:rFonts w:ascii="Cambria" w:hAnsi="Cambria"/>
          <w:b w:val="0"/>
          <w:bCs w:val="0"/>
          <w:i w:val="0"/>
          <w:iCs w:val="0"/>
        </w:rPr>
        <w:fldChar w:fldCharType="begin"/>
      </w:r>
      <w:r w:rsidRPr="00226C9A">
        <w:rPr>
          <w:rFonts w:ascii="Cambria" w:hAnsi="Cambria"/>
          <w:b w:val="0"/>
          <w:bCs w:val="0"/>
          <w:i w:val="0"/>
          <w:iCs w:val="0"/>
        </w:rPr>
        <w:instrText xml:space="preserve"> TOC \o "1-3" \h \z \u </w:instrText>
      </w:r>
      <w:r w:rsidRPr="00226C9A">
        <w:rPr>
          <w:rFonts w:ascii="Cambria" w:hAnsi="Cambria"/>
          <w:b w:val="0"/>
          <w:bCs w:val="0"/>
          <w:i w:val="0"/>
          <w:iCs w:val="0"/>
        </w:rPr>
        <w:fldChar w:fldCharType="separate"/>
      </w:r>
      <w:hyperlink w:anchor="_Toc426529637" w:history="1">
        <w:r w:rsidR="00C74C60" w:rsidRPr="000A2D2A">
          <w:rPr>
            <w:rStyle w:val="Hyperlink"/>
            <w:noProof/>
          </w:rPr>
          <w:t>1.0 Introduction</w:t>
        </w:r>
        <w:r w:rsidR="00C74C60">
          <w:rPr>
            <w:noProof/>
            <w:webHidden/>
          </w:rPr>
          <w:tab/>
        </w:r>
        <w:r w:rsidR="00C74C60">
          <w:rPr>
            <w:noProof/>
            <w:webHidden/>
          </w:rPr>
          <w:fldChar w:fldCharType="begin"/>
        </w:r>
        <w:r w:rsidR="00C74C60">
          <w:rPr>
            <w:noProof/>
            <w:webHidden/>
          </w:rPr>
          <w:instrText xml:space="preserve"> PAGEREF _Toc426529637 \h </w:instrText>
        </w:r>
        <w:r w:rsidR="00C74C60">
          <w:rPr>
            <w:noProof/>
            <w:webHidden/>
          </w:rPr>
        </w:r>
        <w:r w:rsidR="00C74C60">
          <w:rPr>
            <w:noProof/>
            <w:webHidden/>
          </w:rPr>
          <w:fldChar w:fldCharType="separate"/>
        </w:r>
        <w:r w:rsidR="00C74C60">
          <w:rPr>
            <w:noProof/>
            <w:webHidden/>
          </w:rPr>
          <w:t>3</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38" w:history="1">
        <w:r w:rsidR="00C74C60" w:rsidRPr="000A2D2A">
          <w:rPr>
            <w:rStyle w:val="Hyperlink"/>
            <w:noProof/>
          </w:rPr>
          <w:t>2.0 Summary of Significant Environmental Issues</w:t>
        </w:r>
        <w:r w:rsidR="00C74C60">
          <w:rPr>
            <w:noProof/>
            <w:webHidden/>
          </w:rPr>
          <w:tab/>
        </w:r>
        <w:r w:rsidR="00C74C60">
          <w:rPr>
            <w:noProof/>
            <w:webHidden/>
          </w:rPr>
          <w:fldChar w:fldCharType="begin"/>
        </w:r>
        <w:r w:rsidR="00C74C60">
          <w:rPr>
            <w:noProof/>
            <w:webHidden/>
          </w:rPr>
          <w:instrText xml:space="preserve"> PAGEREF _Toc426529638 \h </w:instrText>
        </w:r>
        <w:r w:rsidR="00C74C60">
          <w:rPr>
            <w:noProof/>
            <w:webHidden/>
          </w:rPr>
        </w:r>
        <w:r w:rsidR="00C74C60">
          <w:rPr>
            <w:noProof/>
            <w:webHidden/>
          </w:rPr>
          <w:fldChar w:fldCharType="separate"/>
        </w:r>
        <w:r w:rsidR="00C74C60">
          <w:rPr>
            <w:noProof/>
            <w:webHidden/>
          </w:rPr>
          <w:t>3</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39" w:history="1">
        <w:r w:rsidR="00164B9D">
          <w:rPr>
            <w:rStyle w:val="Hyperlink"/>
            <w:noProof/>
          </w:rPr>
          <w:t>3.0 Ecological Stewardship</w:t>
        </w:r>
        <w:r w:rsidR="00C74C60">
          <w:rPr>
            <w:noProof/>
            <w:webHidden/>
          </w:rPr>
          <w:tab/>
        </w:r>
        <w:r w:rsidR="00C74C60">
          <w:rPr>
            <w:noProof/>
            <w:webHidden/>
          </w:rPr>
          <w:fldChar w:fldCharType="begin"/>
        </w:r>
        <w:r w:rsidR="00C74C60">
          <w:rPr>
            <w:noProof/>
            <w:webHidden/>
          </w:rPr>
          <w:instrText xml:space="preserve"> PAGEREF _Toc426529639 \h </w:instrText>
        </w:r>
        <w:r w:rsidR="00C74C60">
          <w:rPr>
            <w:noProof/>
            <w:webHidden/>
          </w:rPr>
        </w:r>
        <w:r w:rsidR="00C74C60">
          <w:rPr>
            <w:noProof/>
            <w:webHidden/>
          </w:rPr>
          <w:fldChar w:fldCharType="separate"/>
        </w:r>
        <w:r w:rsidR="00C74C60">
          <w:rPr>
            <w:noProof/>
            <w:webHidden/>
          </w:rPr>
          <w:t>4</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40" w:history="1">
        <w:r w:rsidR="00C74C60" w:rsidRPr="000A2D2A">
          <w:rPr>
            <w:rStyle w:val="Hyperlink"/>
            <w:noProof/>
          </w:rPr>
          <w:t>4.0 Sustainability</w:t>
        </w:r>
        <w:r w:rsidR="00C74C60">
          <w:rPr>
            <w:noProof/>
            <w:webHidden/>
          </w:rPr>
          <w:tab/>
        </w:r>
        <w:r w:rsidR="00C74C60">
          <w:rPr>
            <w:noProof/>
            <w:webHidden/>
          </w:rPr>
          <w:fldChar w:fldCharType="begin"/>
        </w:r>
        <w:r w:rsidR="00C74C60">
          <w:rPr>
            <w:noProof/>
            <w:webHidden/>
          </w:rPr>
          <w:instrText xml:space="preserve"> PAGEREF _Toc426529640 \h </w:instrText>
        </w:r>
        <w:r w:rsidR="00C74C60">
          <w:rPr>
            <w:noProof/>
            <w:webHidden/>
          </w:rPr>
        </w:r>
        <w:r w:rsidR="00C74C60">
          <w:rPr>
            <w:noProof/>
            <w:webHidden/>
          </w:rPr>
          <w:fldChar w:fldCharType="separate"/>
        </w:r>
        <w:r w:rsidR="00C74C60">
          <w:rPr>
            <w:noProof/>
            <w:webHidden/>
          </w:rPr>
          <w:t>4</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41" w:history="1">
        <w:r w:rsidR="00C74C60" w:rsidRPr="000A2D2A">
          <w:rPr>
            <w:rStyle w:val="Hyperlink"/>
            <w:noProof/>
          </w:rPr>
          <w:t>5.0 Environmental Management System (EMS)</w:t>
        </w:r>
        <w:r w:rsidR="00C74C60">
          <w:rPr>
            <w:noProof/>
            <w:webHidden/>
          </w:rPr>
          <w:tab/>
        </w:r>
        <w:r w:rsidR="00C74C60">
          <w:rPr>
            <w:noProof/>
            <w:webHidden/>
          </w:rPr>
          <w:fldChar w:fldCharType="begin"/>
        </w:r>
        <w:r w:rsidR="00C74C60">
          <w:rPr>
            <w:noProof/>
            <w:webHidden/>
          </w:rPr>
          <w:instrText xml:space="preserve"> PAGEREF _Toc426529641 \h </w:instrText>
        </w:r>
        <w:r w:rsidR="00C74C60">
          <w:rPr>
            <w:noProof/>
            <w:webHidden/>
          </w:rPr>
        </w:r>
        <w:r w:rsidR="00C74C60">
          <w:rPr>
            <w:noProof/>
            <w:webHidden/>
          </w:rPr>
          <w:fldChar w:fldCharType="separate"/>
        </w:r>
        <w:r w:rsidR="00C74C60">
          <w:rPr>
            <w:noProof/>
            <w:webHidden/>
          </w:rPr>
          <w:t>7</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42" w:history="1">
        <w:r w:rsidR="00C74C60" w:rsidRPr="000A2D2A">
          <w:rPr>
            <w:rStyle w:val="Hyperlink"/>
            <w:noProof/>
          </w:rPr>
          <w:t>6.0 Environmental Monitoring and Surveillance</w:t>
        </w:r>
        <w:r w:rsidR="00C74C60">
          <w:rPr>
            <w:noProof/>
            <w:webHidden/>
          </w:rPr>
          <w:tab/>
        </w:r>
        <w:r w:rsidR="00C74C60">
          <w:rPr>
            <w:noProof/>
            <w:webHidden/>
          </w:rPr>
          <w:fldChar w:fldCharType="begin"/>
        </w:r>
        <w:r w:rsidR="00C74C60">
          <w:rPr>
            <w:noProof/>
            <w:webHidden/>
          </w:rPr>
          <w:instrText xml:space="preserve"> PAGEREF _Toc426529642 \h </w:instrText>
        </w:r>
        <w:r w:rsidR="00C74C60">
          <w:rPr>
            <w:noProof/>
            <w:webHidden/>
          </w:rPr>
        </w:r>
        <w:r w:rsidR="00C74C60">
          <w:rPr>
            <w:noProof/>
            <w:webHidden/>
          </w:rPr>
          <w:fldChar w:fldCharType="separate"/>
        </w:r>
        <w:r w:rsidR="00C74C60">
          <w:rPr>
            <w:noProof/>
            <w:webHidden/>
          </w:rPr>
          <w:t>7</w:t>
        </w:r>
        <w:r w:rsidR="00C74C60">
          <w:rPr>
            <w:noProof/>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43" w:history="1">
        <w:r w:rsidR="00C74C60" w:rsidRPr="000A2D2A">
          <w:rPr>
            <w:rStyle w:val="Hyperlink"/>
          </w:rPr>
          <w:t>6.1 Air Quality</w:t>
        </w:r>
        <w:r w:rsidR="00C74C60">
          <w:rPr>
            <w:webHidden/>
          </w:rPr>
          <w:tab/>
        </w:r>
        <w:r w:rsidR="00C74C60">
          <w:rPr>
            <w:webHidden/>
          </w:rPr>
          <w:fldChar w:fldCharType="begin"/>
        </w:r>
        <w:r w:rsidR="00C74C60">
          <w:rPr>
            <w:webHidden/>
          </w:rPr>
          <w:instrText xml:space="preserve"> PAGEREF _Toc426529643 \h </w:instrText>
        </w:r>
        <w:r w:rsidR="00C74C60">
          <w:rPr>
            <w:webHidden/>
          </w:rPr>
        </w:r>
        <w:r w:rsidR="00C74C60">
          <w:rPr>
            <w:webHidden/>
          </w:rPr>
          <w:fldChar w:fldCharType="separate"/>
        </w:r>
        <w:r w:rsidR="00C74C60">
          <w:rPr>
            <w:webHidden/>
          </w:rPr>
          <w:t>8</w:t>
        </w:r>
        <w:r w:rsidR="00C74C60">
          <w:rPr>
            <w:webHidden/>
          </w:rPr>
          <w:fldChar w:fldCharType="end"/>
        </w:r>
      </w:hyperlink>
    </w:p>
    <w:p w:rsidR="00C74C60" w:rsidRPr="00C74C60" w:rsidRDefault="00C4442D">
      <w:pPr>
        <w:pStyle w:val="TOC3"/>
        <w:rPr>
          <w:rFonts w:asciiTheme="minorHAnsi" w:eastAsiaTheme="minorEastAsia" w:hAnsiTheme="minorHAnsi" w:cs="Arial"/>
          <w:spacing w:val="0"/>
          <w:kern w:val="0"/>
          <w:sz w:val="22"/>
          <w:szCs w:val="22"/>
        </w:rPr>
      </w:pPr>
      <w:hyperlink w:anchor="_Toc426529644" w:history="1">
        <w:r w:rsidR="00C74C60" w:rsidRPr="00C74C60">
          <w:rPr>
            <w:rStyle w:val="Hyperlink"/>
            <w:rFonts w:asciiTheme="minorHAnsi" w:hAnsiTheme="minorHAnsi" w:cs="Arial"/>
            <w:u w:val="none"/>
          </w:rPr>
          <w:t>6.1.1 Radioactive Air Emissions</w:t>
        </w:r>
        <w:r w:rsidR="00C74C60" w:rsidRPr="00C74C60">
          <w:rPr>
            <w:rFonts w:asciiTheme="minorHAnsi" w:hAnsiTheme="minorHAnsi" w:cs="Arial"/>
            <w:webHidden/>
          </w:rPr>
          <w:tab/>
        </w:r>
        <w:r w:rsidR="00C74C60" w:rsidRPr="00C74C60">
          <w:rPr>
            <w:rFonts w:asciiTheme="minorHAnsi" w:hAnsiTheme="minorHAnsi" w:cs="Arial"/>
            <w:webHidden/>
          </w:rPr>
          <w:fldChar w:fldCharType="begin"/>
        </w:r>
        <w:r w:rsidR="00C74C60" w:rsidRPr="00C74C60">
          <w:rPr>
            <w:rFonts w:asciiTheme="minorHAnsi" w:hAnsiTheme="minorHAnsi" w:cs="Arial"/>
            <w:webHidden/>
          </w:rPr>
          <w:instrText xml:space="preserve"> PAGEREF _Toc426529644 \h </w:instrText>
        </w:r>
        <w:r w:rsidR="00C74C60" w:rsidRPr="00C74C60">
          <w:rPr>
            <w:rFonts w:asciiTheme="minorHAnsi" w:hAnsiTheme="minorHAnsi" w:cs="Arial"/>
            <w:webHidden/>
          </w:rPr>
        </w:r>
        <w:r w:rsidR="00C74C60" w:rsidRPr="00C74C60">
          <w:rPr>
            <w:rFonts w:asciiTheme="minorHAnsi" w:hAnsiTheme="minorHAnsi" w:cs="Arial"/>
            <w:webHidden/>
          </w:rPr>
          <w:fldChar w:fldCharType="separate"/>
        </w:r>
        <w:r w:rsidR="00C74C60" w:rsidRPr="00C74C60">
          <w:rPr>
            <w:rFonts w:asciiTheme="minorHAnsi" w:hAnsiTheme="minorHAnsi" w:cs="Arial"/>
            <w:webHidden/>
          </w:rPr>
          <w:t>8</w:t>
        </w:r>
        <w:r w:rsidR="00C74C60" w:rsidRPr="00C74C60">
          <w:rPr>
            <w:rFonts w:asciiTheme="minorHAnsi" w:hAnsiTheme="minorHAnsi" w:cs="Arial"/>
            <w:webHidden/>
          </w:rPr>
          <w:fldChar w:fldCharType="end"/>
        </w:r>
      </w:hyperlink>
    </w:p>
    <w:p w:rsidR="00C74C60" w:rsidRPr="00C74C60" w:rsidRDefault="00C4442D">
      <w:pPr>
        <w:pStyle w:val="TOC3"/>
        <w:rPr>
          <w:rFonts w:asciiTheme="minorHAnsi" w:eastAsiaTheme="minorEastAsia" w:hAnsiTheme="minorHAnsi" w:cs="Arial"/>
          <w:spacing w:val="0"/>
          <w:kern w:val="0"/>
          <w:sz w:val="22"/>
          <w:szCs w:val="22"/>
        </w:rPr>
      </w:pPr>
      <w:hyperlink w:anchor="_Toc426529645" w:history="1">
        <w:r w:rsidR="00C74C60" w:rsidRPr="00C74C60">
          <w:rPr>
            <w:rStyle w:val="Hyperlink"/>
            <w:rFonts w:asciiTheme="minorHAnsi" w:hAnsiTheme="minorHAnsi" w:cs="Arial"/>
          </w:rPr>
          <w:t>6.1.2 Non-Radioactive Air Emissions</w:t>
        </w:r>
        <w:r w:rsidR="00C74C60" w:rsidRPr="00C74C60">
          <w:rPr>
            <w:rFonts w:asciiTheme="minorHAnsi" w:hAnsiTheme="minorHAnsi" w:cs="Arial"/>
            <w:webHidden/>
          </w:rPr>
          <w:tab/>
        </w:r>
        <w:r w:rsidR="00C74C60" w:rsidRPr="00C74C60">
          <w:rPr>
            <w:rFonts w:asciiTheme="minorHAnsi" w:hAnsiTheme="minorHAnsi" w:cs="Arial"/>
            <w:webHidden/>
          </w:rPr>
          <w:fldChar w:fldCharType="begin"/>
        </w:r>
        <w:r w:rsidR="00C74C60" w:rsidRPr="00C74C60">
          <w:rPr>
            <w:rFonts w:asciiTheme="minorHAnsi" w:hAnsiTheme="minorHAnsi" w:cs="Arial"/>
            <w:webHidden/>
          </w:rPr>
          <w:instrText xml:space="preserve"> PAGEREF _Toc426529645 \h </w:instrText>
        </w:r>
        <w:r w:rsidR="00C74C60" w:rsidRPr="00C74C60">
          <w:rPr>
            <w:rFonts w:asciiTheme="minorHAnsi" w:hAnsiTheme="minorHAnsi" w:cs="Arial"/>
            <w:webHidden/>
          </w:rPr>
        </w:r>
        <w:r w:rsidR="00C74C60" w:rsidRPr="00C74C60">
          <w:rPr>
            <w:rFonts w:asciiTheme="minorHAnsi" w:hAnsiTheme="minorHAnsi" w:cs="Arial"/>
            <w:webHidden/>
          </w:rPr>
          <w:fldChar w:fldCharType="separate"/>
        </w:r>
        <w:r w:rsidR="00C74C60" w:rsidRPr="00C74C60">
          <w:rPr>
            <w:rFonts w:asciiTheme="minorHAnsi" w:hAnsiTheme="minorHAnsi" w:cs="Arial"/>
            <w:webHidden/>
          </w:rPr>
          <w:t>9</w:t>
        </w:r>
        <w:r w:rsidR="00C74C60" w:rsidRPr="00C74C60">
          <w:rPr>
            <w:rFonts w:asciiTheme="minorHAnsi" w:hAnsiTheme="minorHAnsi" w:cs="Arial"/>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46" w:history="1">
        <w:r w:rsidR="00C74C60" w:rsidRPr="000A2D2A">
          <w:rPr>
            <w:rStyle w:val="Hyperlink"/>
          </w:rPr>
          <w:t>6.2 Penetrating Radiation</w:t>
        </w:r>
        <w:r w:rsidR="00C74C60">
          <w:rPr>
            <w:webHidden/>
          </w:rPr>
          <w:tab/>
        </w:r>
        <w:r w:rsidR="00C74C60">
          <w:rPr>
            <w:webHidden/>
          </w:rPr>
          <w:fldChar w:fldCharType="begin"/>
        </w:r>
        <w:r w:rsidR="00C74C60">
          <w:rPr>
            <w:webHidden/>
          </w:rPr>
          <w:instrText xml:space="preserve"> PAGEREF _Toc426529646 \h </w:instrText>
        </w:r>
        <w:r w:rsidR="00C74C60">
          <w:rPr>
            <w:webHidden/>
          </w:rPr>
        </w:r>
        <w:r w:rsidR="00C74C60">
          <w:rPr>
            <w:webHidden/>
          </w:rPr>
          <w:fldChar w:fldCharType="separate"/>
        </w:r>
        <w:r w:rsidR="00C74C60">
          <w:rPr>
            <w:webHidden/>
          </w:rPr>
          <w:t>9</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47" w:history="1">
        <w:r w:rsidR="00C74C60" w:rsidRPr="000A2D2A">
          <w:rPr>
            <w:rStyle w:val="Hyperlink"/>
          </w:rPr>
          <w:t>6.3 Surface Water Quality (except TWG summary)</w:t>
        </w:r>
        <w:r w:rsidR="00C74C60">
          <w:rPr>
            <w:webHidden/>
          </w:rPr>
          <w:tab/>
        </w:r>
        <w:r w:rsidR="00C74C60">
          <w:rPr>
            <w:webHidden/>
          </w:rPr>
          <w:fldChar w:fldCharType="begin"/>
        </w:r>
        <w:r w:rsidR="00C74C60">
          <w:rPr>
            <w:webHidden/>
          </w:rPr>
          <w:instrText xml:space="preserve"> PAGEREF _Toc426529647 \h </w:instrText>
        </w:r>
        <w:r w:rsidR="00C74C60">
          <w:rPr>
            <w:webHidden/>
          </w:rPr>
        </w:r>
        <w:r w:rsidR="00C74C60">
          <w:rPr>
            <w:webHidden/>
          </w:rPr>
          <w:fldChar w:fldCharType="separate"/>
        </w:r>
        <w:r w:rsidR="00C74C60">
          <w:rPr>
            <w:webHidden/>
          </w:rPr>
          <w:t>10</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48" w:history="1">
        <w:r w:rsidR="00C74C60" w:rsidRPr="000A2D2A">
          <w:rPr>
            <w:rStyle w:val="Hyperlink"/>
          </w:rPr>
          <w:t>6.3.1 Cooling Water System</w:t>
        </w:r>
        <w:r w:rsidR="00C74C60">
          <w:rPr>
            <w:webHidden/>
          </w:rPr>
          <w:tab/>
        </w:r>
        <w:r w:rsidR="00C74C60">
          <w:rPr>
            <w:webHidden/>
          </w:rPr>
          <w:fldChar w:fldCharType="begin"/>
        </w:r>
        <w:r w:rsidR="00C74C60">
          <w:rPr>
            <w:webHidden/>
          </w:rPr>
          <w:instrText xml:space="preserve"> PAGEREF _Toc426529648 \h </w:instrText>
        </w:r>
        <w:r w:rsidR="00C74C60">
          <w:rPr>
            <w:webHidden/>
          </w:rPr>
        </w:r>
        <w:r w:rsidR="00C74C60">
          <w:rPr>
            <w:webHidden/>
          </w:rPr>
          <w:fldChar w:fldCharType="separate"/>
        </w:r>
        <w:r w:rsidR="00C74C60">
          <w:rPr>
            <w:webHidden/>
          </w:rPr>
          <w:t>10</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49" w:history="1">
        <w:r w:rsidR="00C74C60" w:rsidRPr="000A2D2A">
          <w:rPr>
            <w:rStyle w:val="Hyperlink"/>
          </w:rPr>
          <w:t>6.3.2 Non-Radioactive Releases to Surface Water</w:t>
        </w:r>
        <w:r w:rsidR="00C74C60">
          <w:rPr>
            <w:webHidden/>
          </w:rPr>
          <w:tab/>
        </w:r>
        <w:r w:rsidR="00C74C60">
          <w:rPr>
            <w:webHidden/>
          </w:rPr>
          <w:fldChar w:fldCharType="begin"/>
        </w:r>
        <w:r w:rsidR="00C74C60">
          <w:rPr>
            <w:webHidden/>
          </w:rPr>
          <w:instrText xml:space="preserve"> PAGEREF _Toc426529649 \h </w:instrText>
        </w:r>
        <w:r w:rsidR="00C74C60">
          <w:rPr>
            <w:webHidden/>
          </w:rPr>
        </w:r>
        <w:r w:rsidR="00C74C60">
          <w:rPr>
            <w:webHidden/>
          </w:rPr>
          <w:fldChar w:fldCharType="separate"/>
        </w:r>
        <w:r w:rsidR="00C74C60">
          <w:rPr>
            <w:webHidden/>
          </w:rPr>
          <w:t>10</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50" w:history="1">
        <w:r w:rsidR="00C74C60" w:rsidRPr="000A2D2A">
          <w:rPr>
            <w:rStyle w:val="Hyperlink"/>
          </w:rPr>
          <w:t>6.3.3 Radioactive Releases to Surface Water</w:t>
        </w:r>
        <w:r w:rsidR="00C74C60">
          <w:rPr>
            <w:webHidden/>
          </w:rPr>
          <w:tab/>
        </w:r>
        <w:r w:rsidR="00C74C60">
          <w:rPr>
            <w:webHidden/>
          </w:rPr>
          <w:fldChar w:fldCharType="begin"/>
        </w:r>
        <w:r w:rsidR="00C74C60">
          <w:rPr>
            <w:webHidden/>
          </w:rPr>
          <w:instrText xml:space="preserve"> PAGEREF _Toc426529650 \h </w:instrText>
        </w:r>
        <w:r w:rsidR="00C74C60">
          <w:rPr>
            <w:webHidden/>
          </w:rPr>
        </w:r>
        <w:r w:rsidR="00C74C60">
          <w:rPr>
            <w:webHidden/>
          </w:rPr>
          <w:fldChar w:fldCharType="separate"/>
        </w:r>
        <w:r w:rsidR="00C74C60">
          <w:rPr>
            <w:webHidden/>
          </w:rPr>
          <w:t>10</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51" w:history="1">
        <w:r w:rsidR="00C74C60" w:rsidRPr="000A2D2A">
          <w:rPr>
            <w:rStyle w:val="Hyperlink"/>
          </w:rPr>
          <w:t>6.3.4 Releases to Sanitary Sewers</w:t>
        </w:r>
        <w:r w:rsidR="00C74C60">
          <w:rPr>
            <w:webHidden/>
          </w:rPr>
          <w:tab/>
        </w:r>
        <w:r w:rsidR="00C74C60">
          <w:rPr>
            <w:webHidden/>
          </w:rPr>
          <w:fldChar w:fldCharType="begin"/>
        </w:r>
        <w:r w:rsidR="00C74C60">
          <w:rPr>
            <w:webHidden/>
          </w:rPr>
          <w:instrText xml:space="preserve"> PAGEREF _Toc426529651 \h </w:instrText>
        </w:r>
        <w:r w:rsidR="00C74C60">
          <w:rPr>
            <w:webHidden/>
          </w:rPr>
        </w:r>
        <w:r w:rsidR="00C74C60">
          <w:rPr>
            <w:webHidden/>
          </w:rPr>
          <w:fldChar w:fldCharType="separate"/>
        </w:r>
        <w:r w:rsidR="00C74C60">
          <w:rPr>
            <w:webHidden/>
          </w:rPr>
          <w:t>11</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52" w:history="1">
        <w:r w:rsidR="00C74C60" w:rsidRPr="000A2D2A">
          <w:rPr>
            <w:rStyle w:val="Hyperlink"/>
          </w:rPr>
          <w:t>6.4 Groundwater Quality</w:t>
        </w:r>
        <w:r w:rsidR="00C74C60">
          <w:rPr>
            <w:webHidden/>
          </w:rPr>
          <w:tab/>
        </w:r>
        <w:r w:rsidR="00C74C60">
          <w:rPr>
            <w:webHidden/>
          </w:rPr>
          <w:fldChar w:fldCharType="begin"/>
        </w:r>
        <w:r w:rsidR="00C74C60">
          <w:rPr>
            <w:webHidden/>
          </w:rPr>
          <w:instrText xml:space="preserve"> PAGEREF _Toc426529652 \h </w:instrText>
        </w:r>
        <w:r w:rsidR="00C74C60">
          <w:rPr>
            <w:webHidden/>
          </w:rPr>
        </w:r>
        <w:r w:rsidR="00C74C60">
          <w:rPr>
            <w:webHidden/>
          </w:rPr>
          <w:fldChar w:fldCharType="separate"/>
        </w:r>
        <w:r w:rsidR="00C74C60">
          <w:rPr>
            <w:webHidden/>
          </w:rPr>
          <w:t>12</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53" w:history="1">
        <w:r w:rsidR="00C74C60" w:rsidRPr="000A2D2A">
          <w:rPr>
            <w:rStyle w:val="Hyperlink"/>
          </w:rPr>
          <w:t>6.4.1 Radionuclides in Groundwater</w:t>
        </w:r>
        <w:r w:rsidR="00C74C60">
          <w:rPr>
            <w:webHidden/>
          </w:rPr>
          <w:tab/>
        </w:r>
        <w:r w:rsidR="00C74C60">
          <w:rPr>
            <w:webHidden/>
          </w:rPr>
          <w:fldChar w:fldCharType="begin"/>
        </w:r>
        <w:r w:rsidR="00C74C60">
          <w:rPr>
            <w:webHidden/>
          </w:rPr>
          <w:instrText xml:space="preserve"> PAGEREF _Toc426529653 \h </w:instrText>
        </w:r>
        <w:r w:rsidR="00C74C60">
          <w:rPr>
            <w:webHidden/>
          </w:rPr>
        </w:r>
        <w:r w:rsidR="00C74C60">
          <w:rPr>
            <w:webHidden/>
          </w:rPr>
          <w:fldChar w:fldCharType="separate"/>
        </w:r>
        <w:r w:rsidR="00C74C60">
          <w:rPr>
            <w:webHidden/>
          </w:rPr>
          <w:t>14</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54" w:history="1">
        <w:r w:rsidR="00C74C60" w:rsidRPr="000A2D2A">
          <w:rPr>
            <w:rStyle w:val="Hyperlink"/>
          </w:rPr>
          <w:t>6.4.2 Chemicals in Groundwater</w:t>
        </w:r>
        <w:r w:rsidR="00C74C60">
          <w:rPr>
            <w:webHidden/>
          </w:rPr>
          <w:tab/>
        </w:r>
        <w:r w:rsidR="00C74C60">
          <w:rPr>
            <w:webHidden/>
          </w:rPr>
          <w:fldChar w:fldCharType="begin"/>
        </w:r>
        <w:r w:rsidR="00C74C60">
          <w:rPr>
            <w:webHidden/>
          </w:rPr>
          <w:instrText xml:space="preserve"> PAGEREF _Toc426529654 \h </w:instrText>
        </w:r>
        <w:r w:rsidR="00C74C60">
          <w:rPr>
            <w:webHidden/>
          </w:rPr>
        </w:r>
        <w:r w:rsidR="00C74C60">
          <w:rPr>
            <w:webHidden/>
          </w:rPr>
          <w:fldChar w:fldCharType="separate"/>
        </w:r>
        <w:r w:rsidR="00C74C60">
          <w:rPr>
            <w:webHidden/>
          </w:rPr>
          <w:t>14</w:t>
        </w:r>
        <w:r w:rsidR="00C74C60">
          <w:rPr>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55" w:history="1">
        <w:r w:rsidR="00C74C60" w:rsidRPr="000A2D2A">
          <w:rPr>
            <w:rStyle w:val="Hyperlink"/>
            <w:noProof/>
          </w:rPr>
          <w:t>7.0 Compliance with Specific Environmental Requirements</w:t>
        </w:r>
        <w:r w:rsidR="00C74C60">
          <w:rPr>
            <w:noProof/>
            <w:webHidden/>
          </w:rPr>
          <w:tab/>
        </w:r>
        <w:r w:rsidR="00C74C60">
          <w:rPr>
            <w:noProof/>
            <w:webHidden/>
          </w:rPr>
          <w:fldChar w:fldCharType="begin"/>
        </w:r>
        <w:r w:rsidR="00C74C60">
          <w:rPr>
            <w:noProof/>
            <w:webHidden/>
          </w:rPr>
          <w:instrText xml:space="preserve"> PAGEREF _Toc426529655 \h </w:instrText>
        </w:r>
        <w:r w:rsidR="00C74C60">
          <w:rPr>
            <w:noProof/>
            <w:webHidden/>
          </w:rPr>
        </w:r>
        <w:r w:rsidR="00C74C60">
          <w:rPr>
            <w:noProof/>
            <w:webHidden/>
          </w:rPr>
          <w:fldChar w:fldCharType="separate"/>
        </w:r>
        <w:r w:rsidR="00C74C60">
          <w:rPr>
            <w:noProof/>
            <w:webHidden/>
          </w:rPr>
          <w:t>15</w:t>
        </w:r>
        <w:r w:rsidR="00C74C60">
          <w:rPr>
            <w:noProof/>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56" w:history="1">
        <w:r w:rsidR="00C74C60" w:rsidRPr="000A2D2A">
          <w:rPr>
            <w:rStyle w:val="Hyperlink"/>
          </w:rPr>
          <w:t>7.1 Clean Air Act</w:t>
        </w:r>
        <w:r w:rsidR="00C74C60">
          <w:rPr>
            <w:webHidden/>
          </w:rPr>
          <w:tab/>
        </w:r>
        <w:r w:rsidR="00C74C60">
          <w:rPr>
            <w:webHidden/>
          </w:rPr>
          <w:fldChar w:fldCharType="begin"/>
        </w:r>
        <w:r w:rsidR="00C74C60">
          <w:rPr>
            <w:webHidden/>
          </w:rPr>
          <w:instrText xml:space="preserve"> PAGEREF _Toc426529656 \h </w:instrText>
        </w:r>
        <w:r w:rsidR="00C74C60">
          <w:rPr>
            <w:webHidden/>
          </w:rPr>
        </w:r>
        <w:r w:rsidR="00C74C60">
          <w:rPr>
            <w:webHidden/>
          </w:rPr>
          <w:fldChar w:fldCharType="separate"/>
        </w:r>
        <w:r w:rsidR="00C74C60">
          <w:rPr>
            <w:webHidden/>
          </w:rPr>
          <w:t>15</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57" w:history="1">
        <w:r w:rsidR="00C74C60" w:rsidRPr="000A2D2A">
          <w:rPr>
            <w:rStyle w:val="Hyperlink"/>
          </w:rPr>
          <w:t>7.2 Greenhouse Gas Emissions Reporting under Executive Order 13514</w:t>
        </w:r>
        <w:r w:rsidR="00C74C60">
          <w:rPr>
            <w:webHidden/>
          </w:rPr>
          <w:tab/>
        </w:r>
        <w:r w:rsidR="00C74C60">
          <w:rPr>
            <w:webHidden/>
          </w:rPr>
          <w:fldChar w:fldCharType="begin"/>
        </w:r>
        <w:r w:rsidR="00C74C60">
          <w:rPr>
            <w:webHidden/>
          </w:rPr>
          <w:instrText xml:space="preserve"> PAGEREF _Toc426529657 \h </w:instrText>
        </w:r>
        <w:r w:rsidR="00C74C60">
          <w:rPr>
            <w:webHidden/>
          </w:rPr>
        </w:r>
        <w:r w:rsidR="00C74C60">
          <w:rPr>
            <w:webHidden/>
          </w:rPr>
          <w:fldChar w:fldCharType="separate"/>
        </w:r>
        <w:r w:rsidR="00C74C60">
          <w:rPr>
            <w:webHidden/>
          </w:rPr>
          <w:t>15</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58" w:history="1">
        <w:r w:rsidR="00C74C60" w:rsidRPr="000A2D2A">
          <w:rPr>
            <w:rStyle w:val="Hyperlink"/>
          </w:rPr>
          <w:t>7.3 Underground Storage Tanks and Fuels</w:t>
        </w:r>
        <w:r w:rsidR="00C74C60">
          <w:rPr>
            <w:webHidden/>
          </w:rPr>
          <w:tab/>
        </w:r>
        <w:r w:rsidR="00C74C60">
          <w:rPr>
            <w:webHidden/>
          </w:rPr>
          <w:fldChar w:fldCharType="begin"/>
        </w:r>
        <w:r w:rsidR="00C74C60">
          <w:rPr>
            <w:webHidden/>
          </w:rPr>
          <w:instrText xml:space="preserve"> PAGEREF _Toc426529658 \h </w:instrText>
        </w:r>
        <w:r w:rsidR="00C74C60">
          <w:rPr>
            <w:webHidden/>
          </w:rPr>
        </w:r>
        <w:r w:rsidR="00C74C60">
          <w:rPr>
            <w:webHidden/>
          </w:rPr>
          <w:fldChar w:fldCharType="separate"/>
        </w:r>
        <w:r w:rsidR="00C74C60">
          <w:rPr>
            <w:webHidden/>
          </w:rPr>
          <w:t>16</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59" w:history="1">
        <w:r w:rsidR="00C74C60" w:rsidRPr="000A2D2A">
          <w:rPr>
            <w:rStyle w:val="Hyperlink"/>
          </w:rPr>
          <w:t>7.4 The Endangered Species Act of 1973</w:t>
        </w:r>
        <w:r w:rsidR="00C74C60">
          <w:rPr>
            <w:webHidden/>
          </w:rPr>
          <w:tab/>
        </w:r>
        <w:r w:rsidR="00C74C60">
          <w:rPr>
            <w:webHidden/>
          </w:rPr>
          <w:fldChar w:fldCharType="begin"/>
        </w:r>
        <w:r w:rsidR="00C74C60">
          <w:rPr>
            <w:webHidden/>
          </w:rPr>
          <w:instrText xml:space="preserve"> PAGEREF _Toc426529659 \h </w:instrText>
        </w:r>
        <w:r w:rsidR="00C74C60">
          <w:rPr>
            <w:webHidden/>
          </w:rPr>
        </w:r>
        <w:r w:rsidR="00C74C60">
          <w:rPr>
            <w:webHidden/>
          </w:rPr>
          <w:fldChar w:fldCharType="separate"/>
        </w:r>
        <w:r w:rsidR="00C74C60">
          <w:rPr>
            <w:webHidden/>
          </w:rPr>
          <w:t>16</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0" w:history="1">
        <w:r w:rsidR="00C74C60" w:rsidRPr="000A2D2A">
          <w:rPr>
            <w:rStyle w:val="Hyperlink"/>
          </w:rPr>
          <w:t>7.5 Executive Order 11988, “Floodplain Management”</w:t>
        </w:r>
        <w:r w:rsidR="00C74C60">
          <w:rPr>
            <w:webHidden/>
          </w:rPr>
          <w:tab/>
        </w:r>
        <w:r w:rsidR="00C74C60">
          <w:rPr>
            <w:webHidden/>
          </w:rPr>
          <w:fldChar w:fldCharType="begin"/>
        </w:r>
        <w:r w:rsidR="00C74C60">
          <w:rPr>
            <w:webHidden/>
          </w:rPr>
          <w:instrText xml:space="preserve"> PAGEREF _Toc426529660 \h </w:instrText>
        </w:r>
        <w:r w:rsidR="00C74C60">
          <w:rPr>
            <w:webHidden/>
          </w:rPr>
        </w:r>
        <w:r w:rsidR="00C74C60">
          <w:rPr>
            <w:webHidden/>
          </w:rPr>
          <w:fldChar w:fldCharType="separate"/>
        </w:r>
        <w:r w:rsidR="00C74C60">
          <w:rPr>
            <w:webHidden/>
          </w:rPr>
          <w:t>16</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1" w:history="1">
        <w:r w:rsidR="00C74C60" w:rsidRPr="000A2D2A">
          <w:rPr>
            <w:rStyle w:val="Hyperlink"/>
          </w:rPr>
          <w:t>7.6 Clean Water Act Section 404 (and Executive Order 11990, “Protection of Wetlands”)</w:t>
        </w:r>
        <w:r w:rsidR="00C74C60">
          <w:rPr>
            <w:webHidden/>
          </w:rPr>
          <w:tab/>
        </w:r>
        <w:r w:rsidR="00C74C60">
          <w:rPr>
            <w:webHidden/>
          </w:rPr>
          <w:fldChar w:fldCharType="begin"/>
        </w:r>
        <w:r w:rsidR="00C74C60">
          <w:rPr>
            <w:webHidden/>
          </w:rPr>
          <w:instrText xml:space="preserve"> PAGEREF _Toc426529661 \h </w:instrText>
        </w:r>
        <w:r w:rsidR="00C74C60">
          <w:rPr>
            <w:webHidden/>
          </w:rPr>
        </w:r>
        <w:r w:rsidR="00C74C60">
          <w:rPr>
            <w:webHidden/>
          </w:rPr>
          <w:fldChar w:fldCharType="separate"/>
        </w:r>
        <w:r w:rsidR="00C74C60">
          <w:rPr>
            <w:webHidden/>
          </w:rPr>
          <w:t>16</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2" w:history="1">
        <w:r w:rsidR="00C74C60" w:rsidRPr="000A2D2A">
          <w:rPr>
            <w:rStyle w:val="Hyperlink"/>
          </w:rPr>
          <w:t>7.7 Federal Insecticide, Fungicide, and Rodenticide Act (FIFRA)</w:t>
        </w:r>
        <w:r w:rsidR="00C74C60">
          <w:rPr>
            <w:webHidden/>
          </w:rPr>
          <w:tab/>
        </w:r>
        <w:r w:rsidR="00C74C60">
          <w:rPr>
            <w:webHidden/>
          </w:rPr>
          <w:fldChar w:fldCharType="begin"/>
        </w:r>
        <w:r w:rsidR="00C74C60">
          <w:rPr>
            <w:webHidden/>
          </w:rPr>
          <w:instrText xml:space="preserve"> PAGEREF _Toc426529662 \h </w:instrText>
        </w:r>
        <w:r w:rsidR="00C74C60">
          <w:rPr>
            <w:webHidden/>
          </w:rPr>
        </w:r>
        <w:r w:rsidR="00C74C60">
          <w:rPr>
            <w:webHidden/>
          </w:rPr>
          <w:fldChar w:fldCharType="separate"/>
        </w:r>
        <w:r w:rsidR="00C74C60">
          <w:rPr>
            <w:webHidden/>
          </w:rPr>
          <w:t>17</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3" w:history="1">
        <w:r w:rsidR="00C74C60" w:rsidRPr="000A2D2A">
          <w:rPr>
            <w:rStyle w:val="Hyperlink"/>
          </w:rPr>
          <w:t>7.8 Illinois Department of Natural Resources “Rules for Construction and Maintenance of Dams”</w:t>
        </w:r>
        <w:r w:rsidR="00C74C60">
          <w:rPr>
            <w:webHidden/>
          </w:rPr>
          <w:tab/>
        </w:r>
        <w:r w:rsidR="00C74C60">
          <w:rPr>
            <w:webHidden/>
          </w:rPr>
          <w:fldChar w:fldCharType="begin"/>
        </w:r>
        <w:r w:rsidR="00C74C60">
          <w:rPr>
            <w:webHidden/>
          </w:rPr>
          <w:instrText xml:space="preserve"> PAGEREF _Toc426529663 \h </w:instrText>
        </w:r>
        <w:r w:rsidR="00C74C60">
          <w:rPr>
            <w:webHidden/>
          </w:rPr>
        </w:r>
        <w:r w:rsidR="00C74C60">
          <w:rPr>
            <w:webHidden/>
          </w:rPr>
          <w:fldChar w:fldCharType="separate"/>
        </w:r>
        <w:r w:rsidR="00C74C60">
          <w:rPr>
            <w:webHidden/>
          </w:rPr>
          <w:t>17</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4" w:history="1">
        <w:r w:rsidR="00C74C60" w:rsidRPr="000A2D2A">
          <w:rPr>
            <w:rStyle w:val="Hyperlink"/>
          </w:rPr>
          <w:t>7.9 The Migratory Bird Treaty Act</w:t>
        </w:r>
        <w:r w:rsidR="00C74C60">
          <w:rPr>
            <w:webHidden/>
          </w:rPr>
          <w:tab/>
        </w:r>
        <w:r w:rsidR="00C74C60">
          <w:rPr>
            <w:webHidden/>
          </w:rPr>
          <w:fldChar w:fldCharType="begin"/>
        </w:r>
        <w:r w:rsidR="00C74C60">
          <w:rPr>
            <w:webHidden/>
          </w:rPr>
          <w:instrText xml:space="preserve"> PAGEREF _Toc426529664 \h </w:instrText>
        </w:r>
        <w:r w:rsidR="00C74C60">
          <w:rPr>
            <w:webHidden/>
          </w:rPr>
        </w:r>
        <w:r w:rsidR="00C74C60">
          <w:rPr>
            <w:webHidden/>
          </w:rPr>
          <w:fldChar w:fldCharType="separate"/>
        </w:r>
        <w:r w:rsidR="00C74C60">
          <w:rPr>
            <w:webHidden/>
          </w:rPr>
          <w:t>17</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5" w:history="1">
        <w:r w:rsidR="00C74C60" w:rsidRPr="000A2D2A">
          <w:rPr>
            <w:rStyle w:val="Hyperlink"/>
          </w:rPr>
          <w:t>7.10 National Environmental Policy Act (NEPA)</w:t>
        </w:r>
        <w:r w:rsidR="00C74C60">
          <w:rPr>
            <w:webHidden/>
          </w:rPr>
          <w:tab/>
        </w:r>
        <w:r w:rsidR="00C74C60">
          <w:rPr>
            <w:webHidden/>
          </w:rPr>
          <w:fldChar w:fldCharType="begin"/>
        </w:r>
        <w:r w:rsidR="00C74C60">
          <w:rPr>
            <w:webHidden/>
          </w:rPr>
          <w:instrText xml:space="preserve"> PAGEREF _Toc426529665 \h </w:instrText>
        </w:r>
        <w:r w:rsidR="00C74C60">
          <w:rPr>
            <w:webHidden/>
          </w:rPr>
        </w:r>
        <w:r w:rsidR="00C74C60">
          <w:rPr>
            <w:webHidden/>
          </w:rPr>
          <w:fldChar w:fldCharType="separate"/>
        </w:r>
        <w:r w:rsidR="00C74C60">
          <w:rPr>
            <w:webHidden/>
          </w:rPr>
          <w:t>17</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6" w:history="1">
        <w:r w:rsidR="00C74C60" w:rsidRPr="000A2D2A">
          <w:rPr>
            <w:rStyle w:val="Hyperlink"/>
          </w:rPr>
          <w:t>7.11 National Historic Preservation Act (NHPA), Archaeological Resources Protection Act, Native American Graves Protection and Repatriation Act (NAGPRA) of 1990</w:t>
        </w:r>
        <w:r w:rsidR="00C74C60">
          <w:rPr>
            <w:webHidden/>
          </w:rPr>
          <w:tab/>
        </w:r>
        <w:r w:rsidR="00C74C60">
          <w:rPr>
            <w:webHidden/>
          </w:rPr>
          <w:fldChar w:fldCharType="begin"/>
        </w:r>
        <w:r w:rsidR="00C74C60">
          <w:rPr>
            <w:webHidden/>
          </w:rPr>
          <w:instrText xml:space="preserve"> PAGEREF _Toc426529666 \h </w:instrText>
        </w:r>
        <w:r w:rsidR="00C74C60">
          <w:rPr>
            <w:webHidden/>
          </w:rPr>
        </w:r>
        <w:r w:rsidR="00C74C60">
          <w:rPr>
            <w:webHidden/>
          </w:rPr>
          <w:fldChar w:fldCharType="separate"/>
        </w:r>
        <w:r w:rsidR="00C74C60">
          <w:rPr>
            <w:webHidden/>
          </w:rPr>
          <w:t>18</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7" w:history="1">
        <w:r w:rsidR="00C74C60" w:rsidRPr="000A2D2A">
          <w:rPr>
            <w:rStyle w:val="Hyperlink"/>
          </w:rPr>
          <w:t>7.12 National Pollutant Discharge Elimination System (NPDES)</w:t>
        </w:r>
        <w:r w:rsidR="00C74C60">
          <w:rPr>
            <w:webHidden/>
          </w:rPr>
          <w:tab/>
        </w:r>
        <w:r w:rsidR="00C74C60">
          <w:rPr>
            <w:webHidden/>
          </w:rPr>
          <w:fldChar w:fldCharType="begin"/>
        </w:r>
        <w:r w:rsidR="00C74C60">
          <w:rPr>
            <w:webHidden/>
          </w:rPr>
          <w:instrText xml:space="preserve"> PAGEREF _Toc426529667 \h </w:instrText>
        </w:r>
        <w:r w:rsidR="00C74C60">
          <w:rPr>
            <w:webHidden/>
          </w:rPr>
        </w:r>
        <w:r w:rsidR="00C74C60">
          <w:rPr>
            <w:webHidden/>
          </w:rPr>
          <w:fldChar w:fldCharType="separate"/>
        </w:r>
        <w:r w:rsidR="00C74C60">
          <w:rPr>
            <w:webHidden/>
          </w:rPr>
          <w:t>18</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68" w:history="1">
        <w:r w:rsidR="00C74C60" w:rsidRPr="000A2D2A">
          <w:rPr>
            <w:rStyle w:val="Hyperlink"/>
          </w:rPr>
          <w:t>7.13 Resource Conservation and Recovery Act of 1976 (RCRA)</w:t>
        </w:r>
        <w:r w:rsidR="00C74C60">
          <w:rPr>
            <w:webHidden/>
          </w:rPr>
          <w:tab/>
        </w:r>
        <w:r w:rsidR="00C74C60">
          <w:rPr>
            <w:webHidden/>
          </w:rPr>
          <w:fldChar w:fldCharType="begin"/>
        </w:r>
        <w:r w:rsidR="00C74C60">
          <w:rPr>
            <w:webHidden/>
          </w:rPr>
          <w:instrText xml:space="preserve"> PAGEREF _Toc426529668 \h </w:instrText>
        </w:r>
        <w:r w:rsidR="00C74C60">
          <w:rPr>
            <w:webHidden/>
          </w:rPr>
        </w:r>
        <w:r w:rsidR="00C74C60">
          <w:rPr>
            <w:webHidden/>
          </w:rPr>
          <w:fldChar w:fldCharType="separate"/>
        </w:r>
        <w:r w:rsidR="00C74C60">
          <w:rPr>
            <w:webHidden/>
          </w:rPr>
          <w:t>19</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69" w:history="1">
        <w:r w:rsidR="00C74C60" w:rsidRPr="000A2D2A">
          <w:rPr>
            <w:rStyle w:val="Hyperlink"/>
          </w:rPr>
          <w:t>7.13.1 Regulated Waste Disposal and Reclamation</w:t>
        </w:r>
        <w:r w:rsidR="00C74C60">
          <w:rPr>
            <w:webHidden/>
          </w:rPr>
          <w:tab/>
        </w:r>
        <w:r w:rsidR="00C74C60">
          <w:rPr>
            <w:webHidden/>
          </w:rPr>
          <w:fldChar w:fldCharType="begin"/>
        </w:r>
        <w:r w:rsidR="00C74C60">
          <w:rPr>
            <w:webHidden/>
          </w:rPr>
          <w:instrText xml:space="preserve"> PAGEREF _Toc426529669 \h </w:instrText>
        </w:r>
        <w:r w:rsidR="00C74C60">
          <w:rPr>
            <w:webHidden/>
          </w:rPr>
        </w:r>
        <w:r w:rsidR="00C74C60">
          <w:rPr>
            <w:webHidden/>
          </w:rPr>
          <w:fldChar w:fldCharType="separate"/>
        </w:r>
        <w:r w:rsidR="00C74C60">
          <w:rPr>
            <w:webHidden/>
          </w:rPr>
          <w:t>19</w:t>
        </w:r>
        <w:r w:rsidR="00C74C60">
          <w:rPr>
            <w:webHidden/>
          </w:rPr>
          <w:fldChar w:fldCharType="end"/>
        </w:r>
      </w:hyperlink>
    </w:p>
    <w:p w:rsidR="00C74C60" w:rsidRDefault="00C4442D">
      <w:pPr>
        <w:pStyle w:val="TOC3"/>
        <w:rPr>
          <w:rFonts w:asciiTheme="minorHAnsi" w:eastAsiaTheme="minorEastAsia" w:hAnsiTheme="minorHAnsi" w:cstheme="minorBidi"/>
          <w:spacing w:val="0"/>
          <w:kern w:val="0"/>
          <w:sz w:val="22"/>
          <w:szCs w:val="22"/>
        </w:rPr>
      </w:pPr>
      <w:hyperlink w:anchor="_Toc426529670" w:history="1">
        <w:r w:rsidR="00C74C60" w:rsidRPr="000A2D2A">
          <w:rPr>
            <w:rStyle w:val="Hyperlink"/>
          </w:rPr>
          <w:t>7.13.2 RCRA Facility Investigation (RFI) Activities</w:t>
        </w:r>
        <w:r w:rsidR="00C74C60">
          <w:rPr>
            <w:webHidden/>
          </w:rPr>
          <w:tab/>
        </w:r>
        <w:r w:rsidR="00C74C60">
          <w:rPr>
            <w:webHidden/>
          </w:rPr>
          <w:fldChar w:fldCharType="begin"/>
        </w:r>
        <w:r w:rsidR="00C74C60">
          <w:rPr>
            <w:webHidden/>
          </w:rPr>
          <w:instrText xml:space="preserve"> PAGEREF _Toc426529670 \h </w:instrText>
        </w:r>
        <w:r w:rsidR="00C74C60">
          <w:rPr>
            <w:webHidden/>
          </w:rPr>
        </w:r>
        <w:r w:rsidR="00C74C60">
          <w:rPr>
            <w:webHidden/>
          </w:rPr>
          <w:fldChar w:fldCharType="separate"/>
        </w:r>
        <w:r w:rsidR="00C74C60">
          <w:rPr>
            <w:webHidden/>
          </w:rPr>
          <w:t>20</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71" w:history="1">
        <w:r w:rsidR="00C74C60" w:rsidRPr="000A2D2A">
          <w:rPr>
            <w:rStyle w:val="Hyperlink"/>
          </w:rPr>
          <w:t>7.14 Safe Drinking Water Act</w:t>
        </w:r>
        <w:r w:rsidR="00C74C60">
          <w:rPr>
            <w:webHidden/>
          </w:rPr>
          <w:tab/>
        </w:r>
        <w:r w:rsidR="00C74C60">
          <w:rPr>
            <w:webHidden/>
          </w:rPr>
          <w:fldChar w:fldCharType="begin"/>
        </w:r>
        <w:r w:rsidR="00C74C60">
          <w:rPr>
            <w:webHidden/>
          </w:rPr>
          <w:instrText xml:space="preserve"> PAGEREF _Toc426529671 \h </w:instrText>
        </w:r>
        <w:r w:rsidR="00C74C60">
          <w:rPr>
            <w:webHidden/>
          </w:rPr>
        </w:r>
        <w:r w:rsidR="00C74C60">
          <w:rPr>
            <w:webHidden/>
          </w:rPr>
          <w:fldChar w:fldCharType="separate"/>
        </w:r>
        <w:r w:rsidR="00C74C60">
          <w:rPr>
            <w:webHidden/>
          </w:rPr>
          <w:t>22</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72" w:history="1">
        <w:r w:rsidR="00C74C60" w:rsidRPr="000A2D2A">
          <w:rPr>
            <w:rStyle w:val="Hyperlink"/>
          </w:rPr>
          <w:t>7.15 Superfund Amendments and Reauthorization Act (SARA) TITLE III or Emergency Planning and Community Right-To-Know Act of 1986 (EPCRA)</w:t>
        </w:r>
        <w:r w:rsidR="00C74C60">
          <w:rPr>
            <w:webHidden/>
          </w:rPr>
          <w:tab/>
        </w:r>
        <w:r w:rsidR="00C74C60">
          <w:rPr>
            <w:webHidden/>
          </w:rPr>
          <w:fldChar w:fldCharType="begin"/>
        </w:r>
        <w:r w:rsidR="00C74C60">
          <w:rPr>
            <w:webHidden/>
          </w:rPr>
          <w:instrText xml:space="preserve"> PAGEREF _Toc426529672 \h </w:instrText>
        </w:r>
        <w:r w:rsidR="00C74C60">
          <w:rPr>
            <w:webHidden/>
          </w:rPr>
        </w:r>
        <w:r w:rsidR="00C74C60">
          <w:rPr>
            <w:webHidden/>
          </w:rPr>
          <w:fldChar w:fldCharType="separate"/>
        </w:r>
        <w:r w:rsidR="00C74C60">
          <w:rPr>
            <w:webHidden/>
          </w:rPr>
          <w:t>22</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73" w:history="1">
        <w:r w:rsidR="00C74C60" w:rsidRPr="000A2D2A">
          <w:rPr>
            <w:rStyle w:val="Hyperlink"/>
          </w:rPr>
          <w:t>7.16 Oil Spill Prevention</w:t>
        </w:r>
        <w:r w:rsidR="00C74C60">
          <w:rPr>
            <w:webHidden/>
          </w:rPr>
          <w:tab/>
        </w:r>
        <w:r w:rsidR="00C74C60">
          <w:rPr>
            <w:webHidden/>
          </w:rPr>
          <w:fldChar w:fldCharType="begin"/>
        </w:r>
        <w:r w:rsidR="00C74C60">
          <w:rPr>
            <w:webHidden/>
          </w:rPr>
          <w:instrText xml:space="preserve"> PAGEREF _Toc426529673 \h </w:instrText>
        </w:r>
        <w:r w:rsidR="00C74C60">
          <w:rPr>
            <w:webHidden/>
          </w:rPr>
        </w:r>
        <w:r w:rsidR="00C74C60">
          <w:rPr>
            <w:webHidden/>
          </w:rPr>
          <w:fldChar w:fldCharType="separate"/>
        </w:r>
        <w:r w:rsidR="00C74C60">
          <w:rPr>
            <w:webHidden/>
          </w:rPr>
          <w:t>22</w:t>
        </w:r>
        <w:r w:rsidR="00C74C60">
          <w:rPr>
            <w:webHidden/>
          </w:rPr>
          <w:fldChar w:fldCharType="end"/>
        </w:r>
      </w:hyperlink>
    </w:p>
    <w:p w:rsidR="00C74C60" w:rsidRDefault="00C4442D">
      <w:pPr>
        <w:pStyle w:val="TOC2"/>
        <w:rPr>
          <w:rFonts w:asciiTheme="minorHAnsi" w:eastAsiaTheme="minorEastAsia" w:hAnsiTheme="minorHAnsi" w:cstheme="minorBidi"/>
          <w:bCs w:val="0"/>
          <w:spacing w:val="0"/>
        </w:rPr>
      </w:pPr>
      <w:hyperlink w:anchor="_Toc426529674" w:history="1">
        <w:r w:rsidR="00C74C60" w:rsidRPr="000A2D2A">
          <w:rPr>
            <w:rStyle w:val="Hyperlink"/>
          </w:rPr>
          <w:t>7.17 Toxic Substance Control Act (TSCA)</w:t>
        </w:r>
        <w:r w:rsidR="00C74C60">
          <w:rPr>
            <w:webHidden/>
          </w:rPr>
          <w:tab/>
        </w:r>
        <w:r w:rsidR="00C74C60">
          <w:rPr>
            <w:webHidden/>
          </w:rPr>
          <w:fldChar w:fldCharType="begin"/>
        </w:r>
        <w:r w:rsidR="00C74C60">
          <w:rPr>
            <w:webHidden/>
          </w:rPr>
          <w:instrText xml:space="preserve"> PAGEREF _Toc426529674 \h </w:instrText>
        </w:r>
        <w:r w:rsidR="00C74C60">
          <w:rPr>
            <w:webHidden/>
          </w:rPr>
        </w:r>
        <w:r w:rsidR="00C74C60">
          <w:rPr>
            <w:webHidden/>
          </w:rPr>
          <w:fldChar w:fldCharType="separate"/>
        </w:r>
        <w:r w:rsidR="00C74C60">
          <w:rPr>
            <w:webHidden/>
          </w:rPr>
          <w:t>23</w:t>
        </w:r>
        <w:r w:rsidR="00C74C60">
          <w:rPr>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75" w:history="1">
        <w:r w:rsidR="00C74C60" w:rsidRPr="000A2D2A">
          <w:rPr>
            <w:rStyle w:val="Hyperlink"/>
            <w:noProof/>
          </w:rPr>
          <w:t>8.0 Pollution Prevention and Waste Minimization</w:t>
        </w:r>
        <w:r w:rsidR="00C74C60">
          <w:rPr>
            <w:noProof/>
            <w:webHidden/>
          </w:rPr>
          <w:tab/>
        </w:r>
        <w:r w:rsidR="00C74C60">
          <w:rPr>
            <w:noProof/>
            <w:webHidden/>
          </w:rPr>
          <w:fldChar w:fldCharType="begin"/>
        </w:r>
        <w:r w:rsidR="00C74C60">
          <w:rPr>
            <w:noProof/>
            <w:webHidden/>
          </w:rPr>
          <w:instrText xml:space="preserve"> PAGEREF _Toc426529675 \h </w:instrText>
        </w:r>
        <w:r w:rsidR="00C74C60">
          <w:rPr>
            <w:noProof/>
            <w:webHidden/>
          </w:rPr>
        </w:r>
        <w:r w:rsidR="00C74C60">
          <w:rPr>
            <w:noProof/>
            <w:webHidden/>
          </w:rPr>
          <w:fldChar w:fldCharType="separate"/>
        </w:r>
        <w:r w:rsidR="00C74C60">
          <w:rPr>
            <w:noProof/>
            <w:webHidden/>
          </w:rPr>
          <w:t>23</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76" w:history="1">
        <w:r w:rsidR="00C74C60" w:rsidRPr="000A2D2A">
          <w:rPr>
            <w:rStyle w:val="Hyperlink"/>
            <w:noProof/>
          </w:rPr>
          <w:t>9.0 Radiological Clearance of Property and Metals Release Suspension</w:t>
        </w:r>
        <w:r w:rsidR="00C74C60">
          <w:rPr>
            <w:noProof/>
            <w:webHidden/>
          </w:rPr>
          <w:tab/>
        </w:r>
        <w:r w:rsidR="00C74C60">
          <w:rPr>
            <w:noProof/>
            <w:webHidden/>
          </w:rPr>
          <w:fldChar w:fldCharType="begin"/>
        </w:r>
        <w:r w:rsidR="00C74C60">
          <w:rPr>
            <w:noProof/>
            <w:webHidden/>
          </w:rPr>
          <w:instrText xml:space="preserve"> PAGEREF _Toc426529676 \h </w:instrText>
        </w:r>
        <w:r w:rsidR="00C74C60">
          <w:rPr>
            <w:noProof/>
            <w:webHidden/>
          </w:rPr>
        </w:r>
        <w:r w:rsidR="00C74C60">
          <w:rPr>
            <w:noProof/>
            <w:webHidden/>
          </w:rPr>
          <w:fldChar w:fldCharType="separate"/>
        </w:r>
        <w:r w:rsidR="00C74C60">
          <w:rPr>
            <w:noProof/>
            <w:webHidden/>
          </w:rPr>
          <w:t>24</w:t>
        </w:r>
        <w:r w:rsidR="00C74C60">
          <w:rPr>
            <w:noProof/>
            <w:webHidden/>
          </w:rPr>
          <w:fldChar w:fldCharType="end"/>
        </w:r>
      </w:hyperlink>
    </w:p>
    <w:p w:rsidR="00C74C60" w:rsidRDefault="00C4442D">
      <w:pPr>
        <w:pStyle w:val="TOC1"/>
        <w:tabs>
          <w:tab w:val="right" w:leader="underscore" w:pos="9350"/>
        </w:tabs>
        <w:rPr>
          <w:rFonts w:asciiTheme="minorHAnsi" w:eastAsiaTheme="minorEastAsia" w:hAnsiTheme="minorHAnsi" w:cstheme="minorBidi"/>
          <w:b w:val="0"/>
          <w:bCs w:val="0"/>
          <w:i w:val="0"/>
          <w:iCs w:val="0"/>
          <w:noProof/>
          <w:spacing w:val="0"/>
          <w:sz w:val="22"/>
          <w:szCs w:val="22"/>
        </w:rPr>
      </w:pPr>
      <w:hyperlink w:anchor="_Toc426529677" w:history="1">
        <w:r w:rsidR="00C74C60" w:rsidRPr="000A2D2A">
          <w:rPr>
            <w:rStyle w:val="Hyperlink"/>
            <w:noProof/>
          </w:rPr>
          <w:t>10.0 Conclusion</w:t>
        </w:r>
        <w:r w:rsidR="00C74C60">
          <w:rPr>
            <w:noProof/>
            <w:webHidden/>
          </w:rPr>
          <w:tab/>
        </w:r>
        <w:r w:rsidR="00C74C60">
          <w:rPr>
            <w:noProof/>
            <w:webHidden/>
          </w:rPr>
          <w:fldChar w:fldCharType="begin"/>
        </w:r>
        <w:r w:rsidR="00C74C60">
          <w:rPr>
            <w:noProof/>
            <w:webHidden/>
          </w:rPr>
          <w:instrText xml:space="preserve"> PAGEREF _Toc426529677 \h </w:instrText>
        </w:r>
        <w:r w:rsidR="00C74C60">
          <w:rPr>
            <w:noProof/>
            <w:webHidden/>
          </w:rPr>
        </w:r>
        <w:r w:rsidR="00C74C60">
          <w:rPr>
            <w:noProof/>
            <w:webHidden/>
          </w:rPr>
          <w:fldChar w:fldCharType="separate"/>
        </w:r>
        <w:r w:rsidR="00C74C60">
          <w:rPr>
            <w:noProof/>
            <w:webHidden/>
          </w:rPr>
          <w:t>25</w:t>
        </w:r>
        <w:r w:rsidR="00C74C60">
          <w:rPr>
            <w:noProof/>
            <w:webHidden/>
          </w:rPr>
          <w:fldChar w:fldCharType="end"/>
        </w:r>
      </w:hyperlink>
    </w:p>
    <w:p w:rsidR="00AF200A" w:rsidRDefault="000869F7">
      <w:pPr>
        <w:ind w:left="0"/>
      </w:pPr>
      <w:r w:rsidRPr="00226C9A">
        <w:rPr>
          <w:rFonts w:ascii="Cambria" w:hAnsi="Cambria" w:cs="Calibri"/>
          <w:b/>
          <w:bCs/>
          <w:i/>
          <w:iCs/>
          <w:sz w:val="24"/>
          <w:szCs w:val="24"/>
        </w:rPr>
        <w:fldChar w:fldCharType="end"/>
      </w:r>
    </w:p>
    <w:p w:rsidR="00AF200A" w:rsidRDefault="004C7BC8" w:rsidP="00AB1179">
      <w:pPr>
        <w:pStyle w:val="Header"/>
        <w:pBdr>
          <w:top w:val="single" w:sz="4" w:space="1" w:color="auto"/>
        </w:pBdr>
        <w:tabs>
          <w:tab w:val="clear" w:pos="8640"/>
          <w:tab w:val="right" w:pos="9360"/>
        </w:tabs>
        <w:ind w:left="0"/>
        <w:jc w:val="center"/>
        <w:rPr>
          <w:b/>
          <w:bCs/>
          <w:caps w:val="0"/>
          <w:sz w:val="32"/>
        </w:rPr>
      </w:pPr>
      <w:r>
        <w:rPr>
          <w:b/>
          <w:bCs/>
          <w:caps w:val="0"/>
          <w:sz w:val="32"/>
        </w:rPr>
        <w:br w:type="page"/>
      </w:r>
    </w:p>
    <w:p w:rsidR="00242C02" w:rsidRDefault="00242C02" w:rsidP="00AB1179">
      <w:pPr>
        <w:pStyle w:val="Header"/>
        <w:pBdr>
          <w:top w:val="single" w:sz="4" w:space="1" w:color="auto"/>
        </w:pBdr>
        <w:tabs>
          <w:tab w:val="clear" w:pos="8640"/>
          <w:tab w:val="right" w:pos="9360"/>
        </w:tabs>
        <w:ind w:left="0"/>
        <w:jc w:val="center"/>
        <w:rPr>
          <w:b/>
          <w:bCs/>
          <w:caps w:val="0"/>
          <w:sz w:val="32"/>
        </w:rPr>
      </w:pPr>
    </w:p>
    <w:p w:rsidR="00E40625" w:rsidRPr="0029394F" w:rsidRDefault="00E40625" w:rsidP="006F195B">
      <w:pPr>
        <w:pStyle w:val="Heading1"/>
        <w:ind w:left="0"/>
        <w:jc w:val="both"/>
        <w:rPr>
          <w:color w:val="auto"/>
        </w:rPr>
      </w:pPr>
      <w:bookmarkStart w:id="0" w:name="_Toc426529637"/>
      <w:r w:rsidRPr="0029394F">
        <w:rPr>
          <w:color w:val="auto"/>
        </w:rPr>
        <w:t>1.0 Introduction</w:t>
      </w:r>
      <w:bookmarkEnd w:id="0"/>
    </w:p>
    <w:p w:rsidR="00EA0E83" w:rsidRDefault="00EA0E83" w:rsidP="00EA0E83">
      <w:pPr>
        <w:spacing w:after="240" w:line="240" w:lineRule="atLeast"/>
        <w:ind w:left="0"/>
        <w:jc w:val="both"/>
      </w:pPr>
      <w:r w:rsidRPr="00EA0E83">
        <w:t>This Report to the Director on the Fermilab Environment documents the performance of Fermilab’s environmental protection program.  The report presents the status of environmental objectives</w:t>
      </w:r>
      <w:r w:rsidR="00962D7A">
        <w:t xml:space="preserve"> for the laboratory</w:t>
      </w:r>
      <w:r w:rsidRPr="00EA0E83">
        <w:t xml:space="preserve"> and documents the compliance status of environmental requirements under the scope of Fermilab’s Environmental Management System (EMS).  The laboratory has maintained certification for the EMS to the I</w:t>
      </w:r>
      <w:r w:rsidR="00C067EF">
        <w:t>nternational Organization for Standards (ISO)</w:t>
      </w:r>
      <w:r w:rsidRPr="00EA0E83">
        <w:t xml:space="preserve"> 14001 standard since 2007.    The EMS provides Fermilab a practical framework from which to assess and manage the environmental impacts of site operations.</w:t>
      </w:r>
    </w:p>
    <w:p w:rsidR="00164B9D" w:rsidRPr="00EA0E83" w:rsidRDefault="00164B9D" w:rsidP="00EA0E83">
      <w:pPr>
        <w:spacing w:after="240" w:line="240" w:lineRule="atLeast"/>
        <w:ind w:left="0"/>
        <w:jc w:val="both"/>
      </w:pPr>
      <w:r w:rsidRPr="00EA0E83">
        <w:t xml:space="preserve">The Fermilab site consists of 6,800 acres of mixed use land.  The primary features of the site include the accelerator complex </w:t>
      </w:r>
      <w:r>
        <w:t>and</w:t>
      </w:r>
      <w:r w:rsidRPr="00EA0E83">
        <w:t xml:space="preserve"> associated</w:t>
      </w:r>
      <w:r>
        <w:t xml:space="preserve"> building</w:t>
      </w:r>
      <w:r w:rsidRPr="00EA0E83">
        <w:t xml:space="preserve"> infrastructure, an interconnected industrial cooling water system, </w:t>
      </w:r>
      <w:r>
        <w:t>a housing complex for visiting researchers (</w:t>
      </w:r>
      <w:r w:rsidRPr="00EA0E83">
        <w:t>th</w:t>
      </w:r>
      <w:r>
        <w:t>e Village), row crop agriculture,</w:t>
      </w:r>
      <w:r w:rsidRPr="00EA0E83">
        <w:t xml:space="preserve"> and natural areas in various states of restoration consisting primarily of tall grass prairie, forest, and wetlands.  Fermilab is Americ</w:t>
      </w:r>
      <w:r>
        <w:t>a’s premier particle physics laboratory</w:t>
      </w:r>
      <w:r w:rsidRPr="00EA0E83">
        <w:t xml:space="preserve"> with a mission to drive discovery in particle physics</w:t>
      </w:r>
      <w:r>
        <w:t>,</w:t>
      </w:r>
      <w:r w:rsidRPr="00EA0E83">
        <w:t xml:space="preserve"> encouraging pioneering research by operating world</w:t>
      </w:r>
      <w:r w:rsidR="00962D7A">
        <w:t>-</w:t>
      </w:r>
      <w:r w:rsidRPr="00EA0E83">
        <w:t xml:space="preserve">class accelerators and detector facilities.  </w:t>
      </w:r>
      <w:r>
        <w:t xml:space="preserve">Founded in 1967, </w:t>
      </w:r>
      <w:r w:rsidRPr="00EA0E83">
        <w:t>Fermilab has been operated by Fermi Research Alliance LLC (FRA) since 2007.</w:t>
      </w:r>
    </w:p>
    <w:p w:rsidR="00EA0E83" w:rsidRPr="00EA0E83" w:rsidRDefault="00EA0E83" w:rsidP="00EA0E83">
      <w:pPr>
        <w:spacing w:after="240" w:line="240" w:lineRule="atLeast"/>
        <w:ind w:left="0"/>
        <w:jc w:val="both"/>
      </w:pPr>
      <w:r w:rsidRPr="00EA0E83">
        <w:t>Fermilab’s environmental monitoring and surveillance program provides for the measurement and interpretation of the impac</w:t>
      </w:r>
      <w:r w:rsidR="00962D7A">
        <w:t>t of Fermilab operations on the</w:t>
      </w:r>
      <w:r w:rsidRPr="00EA0E83">
        <w:t xml:space="preserve"> environment.</w:t>
      </w:r>
      <w:r w:rsidR="00962D7A">
        <w:t xml:space="preserve"> </w:t>
      </w:r>
      <w:r w:rsidRPr="00EA0E83">
        <w:t xml:space="preserve"> Surveillance and monitoring tasks are conducted to confirm compliance with </w:t>
      </w:r>
      <w:r w:rsidR="00962D7A">
        <w:t xml:space="preserve">established </w:t>
      </w:r>
      <w:r w:rsidRPr="00EA0E83">
        <w:t xml:space="preserve">standards and </w:t>
      </w:r>
      <w:r w:rsidR="003A1336">
        <w:t xml:space="preserve">specific </w:t>
      </w:r>
      <w:r w:rsidRPr="00EA0E83">
        <w:t>permit limits</w:t>
      </w:r>
      <w:r w:rsidR="00962D7A">
        <w:t>,</w:t>
      </w:r>
      <w:r w:rsidRPr="00EA0E83">
        <w:t xml:space="preserve"> as well as ensure early detection of an unplanned pollutant release.  The location and frequency of sampling are based on established routines, operational considerations and process assessments as well as historic le</w:t>
      </w:r>
      <w:r w:rsidR="00962D7A">
        <w:t>vels of pollutants found a</w:t>
      </w:r>
      <w:r w:rsidR="003A1336">
        <w:t>t a</w:t>
      </w:r>
      <w:r w:rsidR="00962D7A">
        <w:t xml:space="preserve"> particular</w:t>
      </w:r>
      <w:r w:rsidRPr="00EA0E83">
        <w:t xml:space="preserve"> location.  Sampling points are selected based on the potential for adverse impacts.  Additionally, samples of effluents and environmental media such as soil and groundwater are collected on the site and at the site boundary.  These samples are analyzed and results are compared to applicable guidelines and standards. Discussed in this report are the results of Fermilab’s environmental monitoring and surveillance activities, compliance with all specific environmental regulations, and our progress on environmental restoration, waste management and corrective action activities.  The report is arranged by environmental topic and specific environmental compliance requirement.</w:t>
      </w:r>
    </w:p>
    <w:p w:rsidR="00E40625" w:rsidRPr="0029394F" w:rsidRDefault="00E40625" w:rsidP="006F195B">
      <w:pPr>
        <w:pStyle w:val="Heading1"/>
        <w:ind w:left="0"/>
        <w:jc w:val="both"/>
        <w:rPr>
          <w:color w:val="auto"/>
        </w:rPr>
      </w:pPr>
      <w:bookmarkStart w:id="1" w:name="_Toc426529638"/>
      <w:r w:rsidRPr="0029394F">
        <w:rPr>
          <w:color w:val="auto"/>
        </w:rPr>
        <w:t xml:space="preserve">2.0 </w:t>
      </w:r>
      <w:r w:rsidR="0093776F" w:rsidRPr="0029394F">
        <w:rPr>
          <w:color w:val="auto"/>
        </w:rPr>
        <w:t xml:space="preserve">Summary of </w:t>
      </w:r>
      <w:r w:rsidRPr="0029394F">
        <w:rPr>
          <w:color w:val="auto"/>
        </w:rPr>
        <w:t xml:space="preserve">Significant Environmental </w:t>
      </w:r>
      <w:r w:rsidR="0093776F" w:rsidRPr="0029394F">
        <w:rPr>
          <w:color w:val="auto"/>
        </w:rPr>
        <w:t>Issues</w:t>
      </w:r>
      <w:bookmarkEnd w:id="1"/>
    </w:p>
    <w:p w:rsidR="00EA0E83" w:rsidRPr="00EA0E83" w:rsidRDefault="00EA0E83" w:rsidP="00EA0E83">
      <w:pPr>
        <w:ind w:left="0"/>
        <w:rPr>
          <w:i/>
        </w:rPr>
      </w:pPr>
      <w:r w:rsidRPr="00EA0E83">
        <w:rPr>
          <w:i/>
        </w:rPr>
        <w:t>Federal Sustainability Goals</w:t>
      </w:r>
    </w:p>
    <w:p w:rsidR="00EA0E83" w:rsidRPr="00EA0E83" w:rsidRDefault="00C067EF" w:rsidP="00EA0E83">
      <w:pPr>
        <w:ind w:left="0"/>
      </w:pPr>
      <w:r>
        <w:t>In December 2014</w:t>
      </w:r>
      <w:r w:rsidR="003A67D5">
        <w:t xml:space="preserve"> Fermilab issued the</w:t>
      </w:r>
      <w:r w:rsidR="00EA0E83" w:rsidRPr="00EA0E83">
        <w:t xml:space="preserve"> </w:t>
      </w:r>
      <w:r>
        <w:t xml:space="preserve">annual </w:t>
      </w:r>
      <w:r w:rsidR="00EA0E83" w:rsidRPr="00EA0E83">
        <w:t xml:space="preserve">Site Sustainability Plan.  This plan outlines the laboratory’s progress towards achieving goals the Department of Energy </w:t>
      </w:r>
      <w:r w:rsidR="00DF7F40">
        <w:t xml:space="preserve">(DOE) </w:t>
      </w:r>
      <w:r w:rsidR="00EA0E83" w:rsidRPr="00EA0E83">
        <w:t>has committed to in its Strategic Sustainability Performance Plan, as required by Executive Order 13514. This Order commits the federal government to measure, manage and develop a strategy to reduce its own greenhouse gas (GHG) emissions. In addition</w:t>
      </w:r>
      <w:r w:rsidR="00060A8C">
        <w:t>,</w:t>
      </w:r>
      <w:r w:rsidR="00EA0E83" w:rsidRPr="00EA0E83">
        <w:t xml:space="preserve"> agencies must increase energy efficiencies, reduce fleet petroleum consumption, conserve water and reduce waste.  The GHG emission reduction goals have long term targets that mature in 2020, with other related goals having shorter time frames.  Fermilab’s sustainability progress is summarized in additional sections in this report.</w:t>
      </w:r>
    </w:p>
    <w:p w:rsidR="00EA0E83" w:rsidRPr="00EA0E83" w:rsidRDefault="00EA0E83" w:rsidP="00EA0E83">
      <w:pPr>
        <w:ind w:left="0"/>
        <w:rPr>
          <w:i/>
        </w:rPr>
      </w:pPr>
    </w:p>
    <w:p w:rsidR="00EA0E83" w:rsidRPr="00EA0E83" w:rsidRDefault="00EA0E83" w:rsidP="00EA0E83">
      <w:pPr>
        <w:ind w:left="0"/>
        <w:jc w:val="both"/>
        <w:rPr>
          <w:i/>
        </w:rPr>
      </w:pPr>
      <w:r w:rsidRPr="00EA0E83">
        <w:rPr>
          <w:i/>
        </w:rPr>
        <w:t>Tritium Discharges</w:t>
      </w:r>
    </w:p>
    <w:p w:rsidR="00C067EF" w:rsidRPr="00EA0E83" w:rsidRDefault="00C067EF" w:rsidP="00C067EF">
      <w:pPr>
        <w:spacing w:after="240"/>
        <w:ind w:left="0"/>
        <w:jc w:val="both"/>
      </w:pPr>
      <w:r w:rsidRPr="00EA0E83">
        <w:t xml:space="preserve">The generation of tritium is an expected outcome of operating the accelerator complex and it has been monitored throughout the history of the laboratory.  Detectable amounts of tritium have been observed in surface water discharges from the site since 2005 and Fermilab maintains permits to release tritium from regulated points.  Additionally Fermilab monitors the sanitary effluent discharged from the site to the municipal waste water treatment plants of Batavia and Warrenville/Naperville.  </w:t>
      </w:r>
      <w:r>
        <w:t>L</w:t>
      </w:r>
      <w:r w:rsidRPr="00EA0E83">
        <w:t xml:space="preserve">ow concentrations of tritium </w:t>
      </w:r>
      <w:r>
        <w:t xml:space="preserve">are regularly </w:t>
      </w:r>
      <w:r w:rsidR="003A67D5">
        <w:t>recorded</w:t>
      </w:r>
      <w:r w:rsidRPr="00EA0E83">
        <w:t xml:space="preserve"> in the discharge to Batavia.   </w:t>
      </w:r>
    </w:p>
    <w:p w:rsidR="00C067EF" w:rsidRPr="00C067EF" w:rsidRDefault="00C067EF" w:rsidP="00C067EF">
      <w:pPr>
        <w:spacing w:after="240"/>
        <w:ind w:left="0"/>
        <w:jc w:val="both"/>
      </w:pPr>
      <w:r w:rsidRPr="00C067EF">
        <w:t xml:space="preserve">In response to the persistence of observable tritium and the expectation that future operations will generate additional tritium, the Fermilab Director formed a Tritium Working Group beginning in 2012.   This group works to identify, manage and mitigate to the extent possible tritium generated as a result of laboratory operations.  Additional details concerning the management of tritium can be found in various sections of this report. </w:t>
      </w:r>
    </w:p>
    <w:p w:rsidR="00C7653D" w:rsidRPr="0029394F" w:rsidRDefault="00B669E1" w:rsidP="00903BD3">
      <w:pPr>
        <w:pStyle w:val="Heading1"/>
        <w:pBdr>
          <w:top w:val="single" w:sz="48" w:space="5" w:color="FFFFFF"/>
        </w:pBdr>
        <w:ind w:left="0"/>
        <w:jc w:val="both"/>
        <w:rPr>
          <w:color w:val="auto"/>
        </w:rPr>
      </w:pPr>
      <w:bookmarkStart w:id="2" w:name="_Toc426529639"/>
      <w:r w:rsidRPr="0029394F">
        <w:rPr>
          <w:color w:val="auto"/>
        </w:rPr>
        <w:lastRenderedPageBreak/>
        <w:t>3.0</w:t>
      </w:r>
      <w:r w:rsidR="00E40625" w:rsidRPr="0029394F">
        <w:rPr>
          <w:color w:val="auto"/>
        </w:rPr>
        <w:t xml:space="preserve"> </w:t>
      </w:r>
      <w:r w:rsidR="00DE5B44" w:rsidRPr="0029394F">
        <w:rPr>
          <w:color w:val="auto"/>
        </w:rPr>
        <w:t xml:space="preserve">Ecological </w:t>
      </w:r>
      <w:bookmarkEnd w:id="2"/>
      <w:r w:rsidR="00164B9D">
        <w:rPr>
          <w:color w:val="auto"/>
        </w:rPr>
        <w:t>Stewardship</w:t>
      </w:r>
    </w:p>
    <w:p w:rsidR="00786E36" w:rsidRDefault="00786E36" w:rsidP="00786E36">
      <w:pPr>
        <w:pStyle w:val="BodyText"/>
        <w:ind w:left="0"/>
      </w:pPr>
      <w:r>
        <w:t xml:space="preserve">The Director of Fermilab established the Ecological Land Management (ELM) Committee to recommend management practices based on sound ecological principles that enhance the natural resources of the </w:t>
      </w:r>
      <w:r w:rsidR="004C4ED7">
        <w:t>laboratory</w:t>
      </w:r>
      <w:r>
        <w:t>.  The ELM committee, in conjunction with FESS Site Services and Roads &amp; Grounds, oversees the management of nearly 2,500 acres of natural areas, which include 1,000 acres of tall grass prairie plantings, oak savannas, open-water marshes, wetlands, and forests.  The primary goal is to increase biodiversity of native flora and fauna while enhancing functional services of these ecological systems. This type of site stewardship includes prescribed burning, controlling invasive species, monitoring threatened &amp; endangered species, surveying plants and wildlife and collecting seed from over 250 native species to spread into recently restored areas.  Some of this work is carried out by trained natural areas volunteers that are provided by Fermilab Natural Areas, a 501(c</w:t>
      </w:r>
      <w:proofErr w:type="gramStart"/>
      <w:r>
        <w:t>)(</w:t>
      </w:r>
      <w:proofErr w:type="gramEnd"/>
      <w:r>
        <w:t xml:space="preserve">3) not-for-profit corporation. </w:t>
      </w:r>
    </w:p>
    <w:p w:rsidR="00786E36" w:rsidRDefault="00786E36" w:rsidP="00786E36">
      <w:pPr>
        <w:pStyle w:val="BodyText"/>
        <w:ind w:left="0"/>
      </w:pPr>
      <w:r>
        <w:t xml:space="preserve">Fermilab manages wildlife resources to preserve the Fermilab ecosystem while still conducting the primary mission of the </w:t>
      </w:r>
      <w:r w:rsidR="004C4ED7">
        <w:t>laboratory</w:t>
      </w:r>
      <w:r>
        <w:t>.  The Lab has a Nuisance Animal permit issued by the Illinois Department of Natural Resources (IDNR) that allows for the trapping and elimination of nuisance animals.  During 2014, 30 reports of nuisance wildlife were received, resulting in the transfer and release of 8 animals on site.  No animals were euthanized. Fermilab manages the population of whitetail deer on site to preserve the ecosystem by contracting annually with the U.S. Department of Agriculture Wildlife Services Group to reduce the herd to an optimum number.  Vegetation studies, accident reports and aerial surveillance indicated that no removals were necessary, so the activity was not required in 2014. Therefore, no whitetail deer were removed.</w:t>
      </w:r>
    </w:p>
    <w:p w:rsidR="00255248" w:rsidRPr="0029394F" w:rsidRDefault="00D92830" w:rsidP="006F195B">
      <w:pPr>
        <w:pStyle w:val="Heading1"/>
        <w:pBdr>
          <w:bottom w:val="single" w:sz="6" w:space="2" w:color="FFFFFF"/>
        </w:pBdr>
        <w:ind w:left="0"/>
        <w:jc w:val="both"/>
        <w:rPr>
          <w:color w:val="auto"/>
        </w:rPr>
      </w:pPr>
      <w:bookmarkStart w:id="3" w:name="_Toc426529640"/>
      <w:r w:rsidRPr="0029394F">
        <w:rPr>
          <w:color w:val="auto"/>
        </w:rPr>
        <w:t xml:space="preserve">4.0 </w:t>
      </w:r>
      <w:r w:rsidR="00255248" w:rsidRPr="0029394F">
        <w:rPr>
          <w:color w:val="auto"/>
        </w:rPr>
        <w:t>Sustainability</w:t>
      </w:r>
      <w:bookmarkEnd w:id="3"/>
    </w:p>
    <w:p w:rsidR="007111D6" w:rsidRDefault="00EA0E83" w:rsidP="00D42F1F">
      <w:pPr>
        <w:pStyle w:val="BodyText"/>
        <w:ind w:left="0"/>
      </w:pPr>
      <w:r w:rsidRPr="00E76F40">
        <w:rPr>
          <w:rFonts w:eastAsia="Calibri" w:cs="Arial"/>
        </w:rPr>
        <w:t>Fermilab is committed to minimizing the environmental impact of site operations.  In response to goals established by</w:t>
      </w:r>
      <w:r>
        <w:rPr>
          <w:rFonts w:eastAsia="Calibri" w:cs="Arial"/>
        </w:rPr>
        <w:t xml:space="preserve"> the Department of Energy</w:t>
      </w:r>
      <w:r w:rsidRPr="00E76F40">
        <w:rPr>
          <w:rFonts w:eastAsia="Calibri" w:cs="Arial"/>
        </w:rPr>
        <w:t xml:space="preserve"> to improve</w:t>
      </w:r>
      <w:r>
        <w:rPr>
          <w:rFonts w:eastAsia="Calibri" w:cs="Arial"/>
        </w:rPr>
        <w:t xml:space="preserve"> the department’s</w:t>
      </w:r>
      <w:r w:rsidRPr="00E76F40">
        <w:rPr>
          <w:rFonts w:eastAsia="Calibri" w:cs="Arial"/>
        </w:rPr>
        <w:t xml:space="preserve"> environmental footprint, </w:t>
      </w:r>
      <w:r>
        <w:rPr>
          <w:rFonts w:eastAsia="Calibri" w:cs="Arial"/>
        </w:rPr>
        <w:t>Fermilab</w:t>
      </w:r>
      <w:r w:rsidRPr="00E76F40">
        <w:rPr>
          <w:rFonts w:eastAsia="Calibri" w:cs="Arial"/>
        </w:rPr>
        <w:t xml:space="preserve"> has developed a Site Sustainability Plan that documents </w:t>
      </w:r>
      <w:r>
        <w:rPr>
          <w:rFonts w:eastAsia="Calibri" w:cs="Arial"/>
        </w:rPr>
        <w:t xml:space="preserve">the laboratory’s </w:t>
      </w:r>
      <w:r w:rsidRPr="00E76F40">
        <w:rPr>
          <w:rFonts w:eastAsia="Calibri" w:cs="Arial"/>
        </w:rPr>
        <w:t>contribution towards meeting the goals.  The primary emphasis of the plan is on the reduction of greenhouse gas</w:t>
      </w:r>
      <w:r w:rsidR="00821AE8">
        <w:rPr>
          <w:rFonts w:eastAsia="Calibri" w:cs="Arial"/>
        </w:rPr>
        <w:t xml:space="preserve"> (GHG)</w:t>
      </w:r>
      <w:r w:rsidRPr="00E76F40">
        <w:rPr>
          <w:rFonts w:eastAsia="Calibri" w:cs="Arial"/>
        </w:rPr>
        <w:t xml:space="preserve"> emissions.  The plan also addresses more broad ranging goals that include operating buildings more efficiently, reducing water consumption, reduced fossil fuel consumption for vehicle fleets and improved energy consumption of computer data centers.  An outline of the primary goals</w:t>
      </w:r>
      <w:r w:rsidR="00C067EF">
        <w:rPr>
          <w:rFonts w:eastAsia="Calibri" w:cs="Arial"/>
        </w:rPr>
        <w:t xml:space="preserve"> and Fermilab’s status in 2014</w:t>
      </w:r>
      <w:r w:rsidRPr="00E76F40">
        <w:rPr>
          <w:rFonts w:eastAsia="Calibri" w:cs="Arial"/>
        </w:rPr>
        <w:t xml:space="preserve"> is provided below</w:t>
      </w:r>
      <w:r w:rsidR="00FB1043" w:rsidRPr="00D42F1F">
        <w:t>.</w:t>
      </w:r>
      <w:r w:rsidR="00164B9D">
        <w:t xml:space="preserve">  A summary of GHG emissions is further described in section 7.2</w:t>
      </w:r>
    </w:p>
    <w:p w:rsidR="007111D6" w:rsidRPr="00D42F1F" w:rsidRDefault="007111D6" w:rsidP="00D42F1F">
      <w:pPr>
        <w:pStyle w:val="BodyText"/>
        <w:ind w:left="0"/>
      </w:pPr>
    </w:p>
    <w:tbl>
      <w:tblPr>
        <w:tblW w:w="936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810"/>
        <w:gridCol w:w="2880"/>
        <w:gridCol w:w="2160"/>
        <w:gridCol w:w="2160"/>
        <w:gridCol w:w="1350"/>
      </w:tblGrid>
      <w:tr w:rsidR="00812F35" w:rsidRPr="0061451C" w:rsidTr="0061451C">
        <w:trPr>
          <w:trHeight w:val="593"/>
          <w:tblHeader/>
        </w:trPr>
        <w:tc>
          <w:tcPr>
            <w:tcW w:w="810" w:type="dxa"/>
            <w:shd w:val="clear" w:color="auto" w:fill="548DD4" w:themeFill="text2" w:themeFillTint="99"/>
            <w:vAlign w:val="center"/>
          </w:tcPr>
          <w:p w:rsidR="00812F35" w:rsidRPr="0061451C" w:rsidRDefault="00812F35" w:rsidP="00D857C1">
            <w:pPr>
              <w:ind w:left="0"/>
              <w:jc w:val="center"/>
              <w:rPr>
                <w:rFonts w:ascii="Calibri" w:hAnsi="Calibri"/>
                <w:b/>
                <w:spacing w:val="0"/>
                <w:szCs w:val="24"/>
              </w:rPr>
            </w:pPr>
            <w:r w:rsidRPr="0061451C">
              <w:rPr>
                <w:rFonts w:ascii="Calibri" w:hAnsi="Calibri"/>
                <w:b/>
                <w:spacing w:val="0"/>
                <w:szCs w:val="24"/>
              </w:rPr>
              <w:t>Goal #</w:t>
            </w:r>
          </w:p>
        </w:tc>
        <w:tc>
          <w:tcPr>
            <w:tcW w:w="2880" w:type="dxa"/>
            <w:shd w:val="clear" w:color="auto" w:fill="548DD4" w:themeFill="text2" w:themeFillTint="99"/>
            <w:vAlign w:val="center"/>
          </w:tcPr>
          <w:p w:rsidR="00812F35" w:rsidRPr="0061451C" w:rsidRDefault="00812F35" w:rsidP="00D857C1">
            <w:pPr>
              <w:ind w:left="0"/>
              <w:jc w:val="center"/>
              <w:rPr>
                <w:rFonts w:ascii="Calibri" w:hAnsi="Calibri"/>
                <w:b/>
                <w:spacing w:val="0"/>
                <w:szCs w:val="24"/>
              </w:rPr>
            </w:pPr>
            <w:r w:rsidRPr="0061451C">
              <w:rPr>
                <w:rFonts w:ascii="Calibri" w:hAnsi="Calibri"/>
                <w:b/>
                <w:spacing w:val="0"/>
                <w:szCs w:val="24"/>
              </w:rPr>
              <w:t>DOE Goal</w:t>
            </w:r>
          </w:p>
        </w:tc>
        <w:tc>
          <w:tcPr>
            <w:tcW w:w="2160" w:type="dxa"/>
            <w:shd w:val="clear" w:color="auto" w:fill="548DD4" w:themeFill="text2" w:themeFillTint="99"/>
            <w:vAlign w:val="center"/>
          </w:tcPr>
          <w:p w:rsidR="00812F35" w:rsidRPr="0061451C" w:rsidRDefault="00821AE8" w:rsidP="00D857C1">
            <w:pPr>
              <w:ind w:left="0"/>
              <w:jc w:val="center"/>
              <w:rPr>
                <w:rFonts w:ascii="Calibri" w:hAnsi="Calibri"/>
                <w:b/>
                <w:spacing w:val="0"/>
                <w:szCs w:val="24"/>
              </w:rPr>
            </w:pPr>
            <w:r w:rsidRPr="0061451C">
              <w:rPr>
                <w:rFonts w:ascii="Calibri" w:hAnsi="Calibri"/>
                <w:b/>
                <w:spacing w:val="0"/>
                <w:szCs w:val="24"/>
              </w:rPr>
              <w:t xml:space="preserve">Fermilab </w:t>
            </w:r>
            <w:r w:rsidR="00812F35" w:rsidRPr="0061451C">
              <w:rPr>
                <w:rFonts w:ascii="Calibri" w:hAnsi="Calibri"/>
                <w:b/>
                <w:spacing w:val="0"/>
                <w:szCs w:val="24"/>
              </w:rPr>
              <w:t>Performance</w:t>
            </w:r>
            <w:r w:rsidRPr="0061451C">
              <w:rPr>
                <w:rFonts w:ascii="Calibri" w:hAnsi="Calibri"/>
                <w:b/>
                <w:spacing w:val="0"/>
                <w:szCs w:val="24"/>
              </w:rPr>
              <w:t xml:space="preserve"> </w:t>
            </w:r>
            <w:r w:rsidR="00D857C1">
              <w:rPr>
                <w:rFonts w:ascii="Calibri" w:hAnsi="Calibri"/>
                <w:b/>
                <w:spacing w:val="0"/>
                <w:szCs w:val="24"/>
              </w:rPr>
              <w:t>Status through FY2014</w:t>
            </w:r>
          </w:p>
        </w:tc>
        <w:tc>
          <w:tcPr>
            <w:tcW w:w="2160" w:type="dxa"/>
            <w:shd w:val="clear" w:color="auto" w:fill="548DD4" w:themeFill="text2" w:themeFillTint="99"/>
            <w:vAlign w:val="center"/>
          </w:tcPr>
          <w:p w:rsidR="00812F35" w:rsidRPr="0061451C" w:rsidRDefault="00812F35" w:rsidP="00D857C1">
            <w:pPr>
              <w:ind w:left="0"/>
              <w:jc w:val="center"/>
              <w:rPr>
                <w:rFonts w:ascii="Calibri" w:hAnsi="Calibri"/>
                <w:b/>
                <w:spacing w:val="0"/>
                <w:szCs w:val="24"/>
              </w:rPr>
            </w:pPr>
            <w:r w:rsidRPr="0061451C">
              <w:rPr>
                <w:rFonts w:ascii="Calibri" w:hAnsi="Calibri"/>
                <w:b/>
                <w:spacing w:val="0"/>
                <w:szCs w:val="24"/>
              </w:rPr>
              <w:t>Planned Actions &amp; Contribution</w:t>
            </w:r>
          </w:p>
        </w:tc>
        <w:tc>
          <w:tcPr>
            <w:tcW w:w="1350" w:type="dxa"/>
            <w:shd w:val="clear" w:color="auto" w:fill="548DD4" w:themeFill="text2" w:themeFillTint="99"/>
            <w:vAlign w:val="center"/>
          </w:tcPr>
          <w:p w:rsidR="00812F35" w:rsidRPr="0061451C" w:rsidRDefault="00812F35" w:rsidP="00D857C1">
            <w:pPr>
              <w:ind w:left="0"/>
              <w:jc w:val="center"/>
              <w:rPr>
                <w:rFonts w:ascii="Calibri" w:hAnsi="Calibri"/>
                <w:b/>
                <w:spacing w:val="0"/>
                <w:szCs w:val="24"/>
              </w:rPr>
            </w:pPr>
            <w:r w:rsidRPr="0061451C">
              <w:rPr>
                <w:rFonts w:ascii="Calibri" w:hAnsi="Calibri"/>
                <w:b/>
                <w:spacing w:val="0"/>
                <w:szCs w:val="24"/>
              </w:rPr>
              <w:t>Risk of Non-attainment</w:t>
            </w:r>
          </w:p>
        </w:tc>
      </w:tr>
      <w:tr w:rsidR="00812F35" w:rsidRPr="00812F35" w:rsidTr="0061451C">
        <w:trPr>
          <w:trHeight w:val="647"/>
        </w:trPr>
        <w:tc>
          <w:tcPr>
            <w:tcW w:w="9360" w:type="dxa"/>
            <w:gridSpan w:val="5"/>
            <w:shd w:val="clear" w:color="auto" w:fill="C6D9F1" w:themeFill="text2" w:themeFillTint="33"/>
            <w:vAlign w:val="center"/>
          </w:tcPr>
          <w:p w:rsidR="00812F35" w:rsidRPr="00BB6F8C" w:rsidRDefault="00812F35" w:rsidP="00BB6F8C">
            <w:pPr>
              <w:ind w:left="0"/>
              <w:jc w:val="center"/>
              <w:rPr>
                <w:rFonts w:ascii="Calibri" w:hAnsi="Calibri"/>
                <w:b/>
                <w:spacing w:val="0"/>
                <w:szCs w:val="24"/>
              </w:rPr>
            </w:pPr>
            <w:bookmarkStart w:id="4" w:name="_Toc316285156"/>
            <w:bookmarkStart w:id="5" w:name="_Toc319998108"/>
            <w:bookmarkStart w:id="6" w:name="_Toc243033997"/>
            <w:bookmarkStart w:id="7" w:name="_Toc243035502"/>
            <w:r w:rsidRPr="00BB6F8C">
              <w:rPr>
                <w:rFonts w:ascii="Calibri" w:hAnsi="Calibri"/>
                <w:b/>
                <w:spacing w:val="0"/>
                <w:szCs w:val="24"/>
              </w:rPr>
              <w:t>GOAL 1: Greenhouse Gas Reduction and Comprehensive Greenhouse Gas Inventory</w:t>
            </w:r>
            <w:bookmarkEnd w:id="4"/>
            <w:bookmarkEnd w:id="5"/>
            <w:bookmarkEnd w:id="6"/>
            <w:bookmarkEnd w:id="7"/>
          </w:p>
        </w:tc>
      </w:tr>
      <w:tr w:rsidR="00A25BDA" w:rsidRPr="00812F35" w:rsidTr="00F91DAB">
        <w:trPr>
          <w:trHeight w:val="1457"/>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1.1</w:t>
            </w:r>
          </w:p>
        </w:tc>
        <w:tc>
          <w:tcPr>
            <w:tcW w:w="2880" w:type="dxa"/>
            <w:tcBorders>
              <w:top w:val="single" w:sz="4" w:space="0" w:color="auto"/>
              <w:left w:val="single" w:sz="4" w:space="0" w:color="auto"/>
              <w:bottom w:val="dotted" w:sz="4" w:space="0" w:color="auto"/>
              <w:right w:val="single" w:sz="4" w:space="0" w:color="auto"/>
            </w:tcBorders>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28% Scope 1 &amp; 2 GHG reduction by FY 2020 from a FY 2008 baseline (2014 target: 19%)</w:t>
            </w:r>
          </w:p>
        </w:tc>
        <w:tc>
          <w:tcPr>
            <w:tcW w:w="2160" w:type="dxa"/>
            <w:tcBorders>
              <w:top w:val="single" w:sz="4" w:space="0" w:color="auto"/>
              <w:left w:val="single" w:sz="4" w:space="0" w:color="auto"/>
              <w:bottom w:val="dotted" w:sz="4" w:space="0" w:color="auto"/>
              <w:right w:val="single" w:sz="4" w:space="0" w:color="auto"/>
            </w:tcBorders>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49.3% reduction in FY2014 due to gradual accelerator startup</w:t>
            </w:r>
          </w:p>
        </w:tc>
        <w:tc>
          <w:tcPr>
            <w:tcW w:w="2160" w:type="dxa"/>
            <w:tcBorders>
              <w:top w:val="single" w:sz="4" w:space="0" w:color="auto"/>
              <w:left w:val="single" w:sz="4" w:space="0" w:color="auto"/>
              <w:bottom w:val="dotted" w:sz="4" w:space="0" w:color="auto"/>
              <w:right w:val="single" w:sz="4" w:space="0" w:color="auto"/>
            </w:tcBorders>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Use RECs</w:t>
            </w:r>
            <w:r w:rsidR="00F91DAB">
              <w:rPr>
                <w:rStyle w:val="FootnoteReference"/>
                <w:rFonts w:asciiTheme="minorHAnsi" w:hAnsiTheme="minorHAnsi"/>
              </w:rPr>
              <w:footnoteReference w:id="1"/>
            </w:r>
            <w:r w:rsidRPr="00D857C1">
              <w:rPr>
                <w:rFonts w:asciiTheme="minorHAnsi" w:hAnsiTheme="minorHAnsi"/>
              </w:rPr>
              <w:t xml:space="preserve"> to meet this goal after as HEMSF</w:t>
            </w:r>
            <w:r w:rsidR="00F91DAB">
              <w:rPr>
                <w:rStyle w:val="FootnoteReference"/>
                <w:rFonts w:asciiTheme="minorHAnsi" w:hAnsiTheme="minorHAnsi"/>
              </w:rPr>
              <w:footnoteReference w:id="2"/>
            </w:r>
            <w:r w:rsidRPr="00D857C1">
              <w:rPr>
                <w:rFonts w:asciiTheme="minorHAnsi" w:hAnsiTheme="minorHAnsi"/>
              </w:rPr>
              <w:t xml:space="preserve"> loads increase in 2015</w:t>
            </w:r>
          </w:p>
        </w:tc>
        <w:tc>
          <w:tcPr>
            <w:tcW w:w="1350" w:type="dxa"/>
            <w:tcBorders>
              <w:top w:val="single" w:sz="4" w:space="0" w:color="auto"/>
              <w:left w:val="single" w:sz="4" w:space="0" w:color="auto"/>
              <w:bottom w:val="dotted" w:sz="4" w:space="0" w:color="auto"/>
            </w:tcBorders>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AA7210">
        <w:trPr>
          <w:trHeight w:val="512"/>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1.2</w:t>
            </w:r>
          </w:p>
        </w:tc>
        <w:tc>
          <w:tcPr>
            <w:tcW w:w="288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13% Scope 3 GHG reduction by FY 2020 from a FY 2008 baseline (2014 target: 5%)</w:t>
            </w:r>
          </w:p>
        </w:tc>
        <w:tc>
          <w:tcPr>
            <w:tcW w:w="216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Met goal for T&amp;D losses using RECs</w:t>
            </w:r>
          </w:p>
        </w:tc>
        <w:tc>
          <w:tcPr>
            <w:tcW w:w="216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 xml:space="preserve">Must continue to use RECs to meet T&amp;D </w:t>
            </w:r>
            <w:r w:rsidR="00F91DAB">
              <w:rPr>
                <w:rStyle w:val="FootnoteReference"/>
                <w:rFonts w:asciiTheme="minorHAnsi" w:hAnsiTheme="minorHAnsi"/>
              </w:rPr>
              <w:footnoteReference w:id="3"/>
            </w:r>
            <w:r w:rsidRPr="00D857C1">
              <w:rPr>
                <w:rFonts w:asciiTheme="minorHAnsi" w:hAnsiTheme="minorHAnsi"/>
              </w:rPr>
              <w:t>portion of this goal</w:t>
            </w:r>
          </w:p>
        </w:tc>
        <w:tc>
          <w:tcPr>
            <w:tcW w:w="135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M</w:t>
            </w:r>
            <w:r w:rsidR="00D72271">
              <w:rPr>
                <w:rFonts w:asciiTheme="minorHAnsi" w:hAnsiTheme="minorHAnsi"/>
              </w:rPr>
              <w:t>edium</w:t>
            </w:r>
            <w:r w:rsidRPr="00D857C1">
              <w:rPr>
                <w:rFonts w:asciiTheme="minorHAnsi" w:hAnsiTheme="minorHAnsi"/>
              </w:rPr>
              <w:t xml:space="preserve"> (for non-T&amp;D portions of this goal)</w:t>
            </w:r>
          </w:p>
        </w:tc>
      </w:tr>
      <w:tr w:rsidR="00040355" w:rsidRPr="00812F35" w:rsidTr="0061451C">
        <w:trPr>
          <w:trHeight w:val="737"/>
        </w:trPr>
        <w:tc>
          <w:tcPr>
            <w:tcW w:w="9360" w:type="dxa"/>
            <w:gridSpan w:val="5"/>
            <w:shd w:val="clear" w:color="auto" w:fill="C6D9F1" w:themeFill="text2" w:themeFillTint="33"/>
            <w:vAlign w:val="center"/>
          </w:tcPr>
          <w:p w:rsidR="00040355" w:rsidRPr="00BB6F8C" w:rsidRDefault="00040355" w:rsidP="00040355">
            <w:pPr>
              <w:ind w:left="0"/>
              <w:jc w:val="center"/>
              <w:rPr>
                <w:rFonts w:ascii="Calibri" w:hAnsi="Calibri"/>
                <w:b/>
                <w:spacing w:val="0"/>
                <w:szCs w:val="24"/>
              </w:rPr>
            </w:pPr>
            <w:bookmarkStart w:id="8" w:name="_Toc243033998"/>
            <w:bookmarkStart w:id="9" w:name="_Toc243035503"/>
            <w:r w:rsidRPr="00BB6F8C">
              <w:rPr>
                <w:rFonts w:ascii="Calibri" w:hAnsi="Calibri"/>
                <w:b/>
                <w:spacing w:val="0"/>
                <w:szCs w:val="24"/>
              </w:rPr>
              <w:lastRenderedPageBreak/>
              <w:t>GOAL 2: Buildings, ESPC Initiative Schedule, and Regional &amp; Local Planning</w:t>
            </w:r>
            <w:bookmarkEnd w:id="8"/>
            <w:bookmarkEnd w:id="9"/>
          </w:p>
        </w:tc>
      </w:tr>
      <w:tr w:rsidR="00A25BDA" w:rsidRPr="00812F35" w:rsidTr="00741470">
        <w:trPr>
          <w:trHeight w:val="1160"/>
        </w:trPr>
        <w:tc>
          <w:tcPr>
            <w:tcW w:w="81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2.1</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30% energy intensity (Btu per gross square foot) reduction by FY 2015 from a FY 2003 baseline (2014 target: 27%)</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24.5% reduction due to exceptionally cold weather</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Investigate new measures to reduce energy consumption</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M</w:t>
            </w:r>
            <w:r w:rsidR="00D72271">
              <w:rPr>
                <w:rFonts w:asciiTheme="minorHAnsi" w:hAnsiTheme="minorHAnsi"/>
              </w:rPr>
              <w:t>edium</w:t>
            </w:r>
          </w:p>
        </w:tc>
      </w:tr>
      <w:tr w:rsidR="00A25BDA" w:rsidRPr="00812F35" w:rsidTr="00741470">
        <w:trPr>
          <w:trHeight w:val="710"/>
        </w:trPr>
        <w:tc>
          <w:tcPr>
            <w:tcW w:w="81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2.2</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EISA Section 432 energy and water evaluations</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Met goal for this 4 year cycle</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in next 4 year cycle</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1700"/>
        </w:trPr>
        <w:tc>
          <w:tcPr>
            <w:tcW w:w="81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2.3</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 xml:space="preserve">Individual buildings metering for 90% of electricity (by October 1, 2012); for 90% of steam, natural gas, and chilled water (by October 1, 2015) (2014 target: 90% and 75%, respectively)  </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Electrical metered 88% and other categories are below the goal</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Will continue to implement metering in new facilities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M (except for natural gas)</w:t>
            </w:r>
          </w:p>
        </w:tc>
      </w:tr>
      <w:tr w:rsidR="00A25BDA" w:rsidRPr="00812F35" w:rsidTr="00741470">
        <w:trPr>
          <w:trHeight w:val="1160"/>
        </w:trPr>
        <w:tc>
          <w:tcPr>
            <w:tcW w:w="81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2.4</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Cool roofs, unless uneconomical, for roof replacements unless project already has CD-2 approval.  New roofs must have thermal resistance of at least R-30.</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Added 11,490 Sq. Ft. of cool roofs in FY2014.</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Fermilab will continue to assess the cost-effectiveness of cool roofs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953"/>
        </w:trPr>
        <w:tc>
          <w:tcPr>
            <w:tcW w:w="81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2.5</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15% of existing buildings greater than 5,000 gross square feet (GSF) are compliant with the Guiding Principles (GPs) of HPSB by FY 2015 (2014 target: 13%)</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In FY2014, Fermilab added one existing building compliant with 100% of GP</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Fermilab plans to have 3 buildings 100% compliant with GP by the end of FY2015</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H</w:t>
            </w:r>
            <w:r w:rsidR="00D72271">
              <w:rPr>
                <w:rFonts w:asciiTheme="minorHAnsi" w:hAnsiTheme="minorHAnsi"/>
              </w:rPr>
              <w:t xml:space="preserve">igh </w:t>
            </w:r>
            <w:r w:rsidRPr="00D857C1">
              <w:rPr>
                <w:rFonts w:asciiTheme="minorHAnsi" w:hAnsiTheme="minorHAnsi"/>
              </w:rPr>
              <w:t xml:space="preserve"> (Financial Risks)</w:t>
            </w:r>
          </w:p>
        </w:tc>
      </w:tr>
      <w:tr w:rsidR="00A25BDA" w:rsidRPr="00812F35" w:rsidTr="00741470">
        <w:trPr>
          <w:trHeight w:val="917"/>
        </w:trPr>
        <w:tc>
          <w:tcPr>
            <w:tcW w:w="810" w:type="dxa"/>
          </w:tcPr>
          <w:p w:rsidR="00A25BDA" w:rsidRPr="00D857C1" w:rsidRDefault="00A25BDA" w:rsidP="00D857C1">
            <w:pPr>
              <w:ind w:left="0"/>
              <w:rPr>
                <w:rFonts w:asciiTheme="minorHAnsi" w:hAnsiTheme="minorHAnsi"/>
                <w:spacing w:val="0"/>
                <w:szCs w:val="24"/>
              </w:rPr>
            </w:pPr>
            <w:r w:rsidRPr="00D857C1">
              <w:rPr>
                <w:rFonts w:asciiTheme="minorHAnsi" w:hAnsiTheme="minorHAnsi"/>
              </w:rPr>
              <w:t>2.6</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 xml:space="preserve">All new construction, major renovations, and alterations of buildings greater than 5,000 GSF must comply with the GPs.  </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The OTE Building was designed and constructed as LEED-NC Gold</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All new construction is subjected to GP review during design</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M</w:t>
            </w:r>
            <w:r w:rsidR="00D72271">
              <w:rPr>
                <w:rFonts w:asciiTheme="minorHAnsi" w:hAnsiTheme="minorHAnsi"/>
              </w:rPr>
              <w:t>edium</w:t>
            </w:r>
          </w:p>
        </w:tc>
      </w:tr>
      <w:tr w:rsidR="00A25BDA" w:rsidRPr="00812F35" w:rsidTr="00741470">
        <w:trPr>
          <w:trHeight w:val="917"/>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2.7</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Efforts to increase regional and local planning coordination and involvement</w:t>
            </w:r>
          </w:p>
        </w:tc>
        <w:tc>
          <w:tcPr>
            <w:tcW w:w="2160" w:type="dxa"/>
            <w:vAlign w:val="center"/>
          </w:tcPr>
          <w:p w:rsidR="00A25BDA" w:rsidRPr="00D857C1" w:rsidRDefault="008276A3" w:rsidP="00D72271">
            <w:pPr>
              <w:ind w:left="0"/>
              <w:rPr>
                <w:rFonts w:asciiTheme="minorHAnsi" w:hAnsiTheme="minorHAnsi"/>
                <w:spacing w:val="0"/>
                <w:szCs w:val="24"/>
              </w:rPr>
            </w:pPr>
            <w:r>
              <w:rPr>
                <w:rFonts w:asciiTheme="minorHAnsi" w:hAnsiTheme="minorHAnsi"/>
                <w:spacing w:val="0"/>
                <w:szCs w:val="24"/>
              </w:rPr>
              <w:t>Established new public transportation shuttle to commuter train line</w:t>
            </w:r>
          </w:p>
        </w:tc>
        <w:tc>
          <w:tcPr>
            <w:tcW w:w="2160" w:type="dxa"/>
            <w:vAlign w:val="center"/>
          </w:tcPr>
          <w:p w:rsidR="00A25BDA" w:rsidRPr="00D857C1" w:rsidRDefault="008276A3" w:rsidP="00D857C1">
            <w:pPr>
              <w:ind w:left="0"/>
              <w:rPr>
                <w:rFonts w:asciiTheme="minorHAnsi" w:hAnsiTheme="minorHAnsi"/>
                <w:spacing w:val="0"/>
                <w:szCs w:val="24"/>
              </w:rPr>
            </w:pPr>
            <w:r>
              <w:rPr>
                <w:rFonts w:asciiTheme="minorHAnsi" w:hAnsiTheme="minorHAnsi"/>
                <w:spacing w:val="0"/>
                <w:szCs w:val="24"/>
              </w:rPr>
              <w:t>Maintain positive relationships with neighboring communities</w:t>
            </w:r>
          </w:p>
        </w:tc>
        <w:tc>
          <w:tcPr>
            <w:tcW w:w="1350" w:type="dxa"/>
            <w:vAlign w:val="center"/>
          </w:tcPr>
          <w:p w:rsidR="00A25BDA" w:rsidRPr="00D857C1" w:rsidRDefault="00D72271" w:rsidP="00D857C1">
            <w:pPr>
              <w:ind w:left="0"/>
              <w:rPr>
                <w:rFonts w:asciiTheme="minorHAnsi" w:hAnsiTheme="minorHAnsi"/>
                <w:spacing w:val="0"/>
                <w:szCs w:val="24"/>
              </w:rPr>
            </w:pPr>
            <w:r>
              <w:rPr>
                <w:rFonts w:asciiTheme="minorHAnsi" w:hAnsiTheme="minorHAnsi"/>
                <w:spacing w:val="0"/>
                <w:szCs w:val="24"/>
              </w:rPr>
              <w:t>Low</w:t>
            </w:r>
          </w:p>
        </w:tc>
      </w:tr>
      <w:tr w:rsidR="00A25BDA" w:rsidRPr="00812F35" w:rsidTr="00741470">
        <w:trPr>
          <w:trHeight w:val="737"/>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bookmarkStart w:id="10" w:name="_Toc243033999"/>
            <w:bookmarkStart w:id="11" w:name="_Toc243035504"/>
            <w:r w:rsidRPr="00BB6F8C">
              <w:rPr>
                <w:rFonts w:ascii="Calibri" w:hAnsi="Calibri"/>
                <w:b/>
                <w:spacing w:val="0"/>
                <w:szCs w:val="24"/>
              </w:rPr>
              <w:t>GOAL 3: Fleet Management</w:t>
            </w:r>
            <w:bookmarkEnd w:id="10"/>
            <w:bookmarkEnd w:id="11"/>
          </w:p>
        </w:tc>
      </w:tr>
      <w:tr w:rsidR="00A25BDA" w:rsidRPr="00812F35" w:rsidTr="00741470">
        <w:trPr>
          <w:trHeight w:val="710"/>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3.1</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10% annual increase in fleet alternative fuel consumption by FY 2015 relative to a FY 2005 baseline (2014 target: 136% cumulative since 2005)</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Greater than 90% increase in alternative fuels since 2005 – greater than 10% per year</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to convert to AFV vehicles wherever feasible and maintain goal of 100%</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710"/>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3.2</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2% annual reduction in fleet petroleum consumption by FY 2020 relative to a FY 2005 baseline (2014 target: 18% cumulative since 2005)</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current practices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890"/>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3.3</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100% of light duty vehicle purchases must consist of alternative fuel vehicles (AFV) by FY 2015 and thereafter (75% FY 2000 – 2015)</w:t>
            </w:r>
            <w:r w:rsidRPr="00D857C1">
              <w:rPr>
                <w:rStyle w:val="FootnoteReference"/>
                <w:rFonts w:asciiTheme="minorHAnsi" w:hAnsiTheme="minorHAnsi"/>
              </w:rPr>
              <w:t xml:space="preserve"> </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the policy of purchasing AFV vehicles.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647"/>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bookmarkStart w:id="12" w:name="_Toc243034000"/>
            <w:bookmarkStart w:id="13" w:name="_Toc243035505"/>
            <w:r w:rsidRPr="00BB6F8C">
              <w:rPr>
                <w:rFonts w:ascii="Calibri" w:hAnsi="Calibri"/>
                <w:b/>
                <w:spacing w:val="0"/>
                <w:szCs w:val="24"/>
              </w:rPr>
              <w:lastRenderedPageBreak/>
              <w:t>GOAL 4: Water Use Efficiency and Management</w:t>
            </w:r>
            <w:bookmarkEnd w:id="12"/>
            <w:bookmarkEnd w:id="13"/>
          </w:p>
        </w:tc>
      </w:tr>
      <w:tr w:rsidR="00A25BDA" w:rsidRPr="00812F35" w:rsidTr="00741470">
        <w:trPr>
          <w:trHeight w:val="557"/>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4.2</w:t>
            </w:r>
          </w:p>
        </w:tc>
        <w:tc>
          <w:tcPr>
            <w:tcW w:w="2880" w:type="dxa"/>
            <w:vAlign w:val="center"/>
          </w:tcPr>
          <w:p w:rsidR="00A25BDA" w:rsidRPr="00D857C1" w:rsidRDefault="00A25BDA" w:rsidP="00F91DAB">
            <w:pPr>
              <w:ind w:left="0"/>
              <w:rPr>
                <w:rFonts w:asciiTheme="minorHAnsi" w:hAnsiTheme="minorHAnsi"/>
                <w:spacing w:val="0"/>
                <w:szCs w:val="24"/>
              </w:rPr>
            </w:pPr>
            <w:r w:rsidRPr="00D857C1">
              <w:rPr>
                <w:rFonts w:asciiTheme="minorHAnsi" w:hAnsiTheme="minorHAnsi"/>
              </w:rPr>
              <w:t>20% water consumption (Gal) reduction of industrial, landscaping, and agricultural (ILA)</w:t>
            </w:r>
            <w:r w:rsidR="00F91DAB">
              <w:rPr>
                <w:rFonts w:asciiTheme="minorHAnsi" w:hAnsiTheme="minorHAnsi"/>
              </w:rPr>
              <w:t xml:space="preserve"> </w:t>
            </w:r>
            <w:r w:rsidRPr="00D857C1">
              <w:rPr>
                <w:rFonts w:asciiTheme="minorHAnsi" w:hAnsiTheme="minorHAnsi"/>
              </w:rPr>
              <w:t>water by FY 2020 from a FY 2010 baseline (2014 target: 8%)</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Used 2.4% more than baseline year</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Investigate additional useable storm water storage</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H</w:t>
            </w:r>
            <w:r w:rsidR="00D72271">
              <w:rPr>
                <w:rFonts w:asciiTheme="minorHAnsi" w:hAnsiTheme="minorHAnsi"/>
              </w:rPr>
              <w:t>igh</w:t>
            </w:r>
            <w:r w:rsidRPr="00D857C1">
              <w:rPr>
                <w:rFonts w:asciiTheme="minorHAnsi" w:hAnsiTheme="minorHAnsi"/>
              </w:rPr>
              <w:t xml:space="preserve"> (Technical)</w:t>
            </w:r>
          </w:p>
        </w:tc>
      </w:tr>
      <w:tr w:rsidR="00A25BDA" w:rsidRPr="00812F35" w:rsidTr="00741470">
        <w:trPr>
          <w:trHeight w:val="962"/>
        </w:trPr>
        <w:tc>
          <w:tcPr>
            <w:tcW w:w="81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4.2</w:t>
            </w:r>
          </w:p>
        </w:tc>
        <w:tc>
          <w:tcPr>
            <w:tcW w:w="288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20% water consumption (Gal) reduction of industrial, landscaping, and agricultural (ILA) water by FY 2020 from a FY 2010 baseline (2013 target:6%)</w:t>
            </w:r>
          </w:p>
        </w:tc>
        <w:tc>
          <w:tcPr>
            <w:tcW w:w="216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Used 6.1% less than the baseline year</w:t>
            </w:r>
          </w:p>
        </w:tc>
        <w:tc>
          <w:tcPr>
            <w:tcW w:w="216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Use ESPC to investigate measures to retain more storm water</w:t>
            </w:r>
          </w:p>
        </w:tc>
        <w:tc>
          <w:tcPr>
            <w:tcW w:w="135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H</w:t>
            </w:r>
            <w:r>
              <w:rPr>
                <w:rFonts w:ascii="Calibri" w:hAnsi="Calibri"/>
                <w:spacing w:val="0"/>
                <w:szCs w:val="24"/>
              </w:rPr>
              <w:t>igh</w:t>
            </w:r>
            <w:r w:rsidRPr="00812F35">
              <w:rPr>
                <w:rFonts w:ascii="Calibri" w:hAnsi="Calibri"/>
                <w:spacing w:val="0"/>
                <w:szCs w:val="24"/>
              </w:rPr>
              <w:t xml:space="preserve"> </w:t>
            </w:r>
          </w:p>
        </w:tc>
      </w:tr>
      <w:tr w:rsidR="00A25BDA" w:rsidRPr="00812F35" w:rsidTr="00741470">
        <w:trPr>
          <w:trHeight w:val="566"/>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bookmarkStart w:id="14" w:name="_Toc243034001"/>
            <w:bookmarkStart w:id="15" w:name="_Toc243035506"/>
            <w:r w:rsidRPr="00BB6F8C">
              <w:rPr>
                <w:rFonts w:ascii="Calibri" w:hAnsi="Calibri"/>
                <w:b/>
                <w:spacing w:val="0"/>
                <w:szCs w:val="24"/>
              </w:rPr>
              <w:t>GOAL 5: Pollution Prevention and Waste Reduction</w:t>
            </w:r>
            <w:bookmarkEnd w:id="14"/>
            <w:bookmarkEnd w:id="15"/>
          </w:p>
        </w:tc>
      </w:tr>
      <w:tr w:rsidR="00A25BDA" w:rsidRPr="00812F35" w:rsidTr="00741470">
        <w:trPr>
          <w:trHeight w:val="737"/>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5.1</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Divert at least 50% of non-hazardous solid waste, excluding construction and demolition debris, by FY 2015</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current practices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737"/>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5.2</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Divert at least 50% of construction and demolition materials and debris by FY 2015</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current practices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BB6F8C" w:rsidTr="00741470">
        <w:trPr>
          <w:trHeight w:val="503"/>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bookmarkStart w:id="16" w:name="_Toc243034002"/>
            <w:bookmarkStart w:id="17" w:name="_Toc243035507"/>
            <w:r w:rsidRPr="00BB6F8C">
              <w:rPr>
                <w:rFonts w:ascii="Calibri" w:hAnsi="Calibri"/>
                <w:b/>
                <w:spacing w:val="0"/>
                <w:szCs w:val="24"/>
              </w:rPr>
              <w:t>GOAL 6: Sustainable Acquisition</w:t>
            </w:r>
            <w:bookmarkEnd w:id="16"/>
            <w:bookmarkEnd w:id="17"/>
          </w:p>
        </w:tc>
      </w:tr>
      <w:tr w:rsidR="00A25BDA" w:rsidRPr="00812F35" w:rsidTr="00741470">
        <w:trPr>
          <w:trHeight w:val="755"/>
        </w:trPr>
        <w:tc>
          <w:tcPr>
            <w:tcW w:w="810" w:type="dxa"/>
            <w:vAlign w:val="center"/>
          </w:tcPr>
          <w:p w:rsidR="00A25BDA" w:rsidRPr="00D857C1" w:rsidRDefault="00A25BDA" w:rsidP="00A25BDA">
            <w:pPr>
              <w:ind w:left="0"/>
              <w:jc w:val="both"/>
              <w:rPr>
                <w:rFonts w:asciiTheme="minorHAnsi" w:hAnsiTheme="minorHAnsi"/>
                <w:spacing w:val="0"/>
                <w:szCs w:val="24"/>
              </w:rPr>
            </w:pPr>
            <w:r w:rsidRPr="00D857C1">
              <w:rPr>
                <w:rFonts w:asciiTheme="minorHAnsi" w:hAnsiTheme="minorHAnsi"/>
              </w:rPr>
              <w:t>6.1</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Procurements meet requirements by including necessary provisions and clauses in 95% of applicable contracts</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current practices</w:t>
            </w:r>
          </w:p>
        </w:tc>
        <w:tc>
          <w:tcPr>
            <w:tcW w:w="1350" w:type="dxa"/>
            <w:vAlign w:val="center"/>
          </w:tcPr>
          <w:p w:rsidR="00A25BDA" w:rsidRPr="00D857C1" w:rsidRDefault="00A25BDA" w:rsidP="00A25BDA">
            <w:pPr>
              <w:ind w:left="0"/>
              <w:jc w:val="both"/>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BB6F8C" w:rsidTr="00741470">
        <w:trPr>
          <w:trHeight w:val="647"/>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bookmarkStart w:id="18" w:name="_Toc243034003"/>
            <w:bookmarkStart w:id="19" w:name="_Toc243035508"/>
            <w:r w:rsidRPr="00BB6F8C">
              <w:rPr>
                <w:rFonts w:ascii="Calibri" w:hAnsi="Calibri"/>
                <w:b/>
                <w:spacing w:val="0"/>
                <w:szCs w:val="24"/>
              </w:rPr>
              <w:t>GOAL 7: Electronic Stewardship and Data Centers</w:t>
            </w:r>
            <w:bookmarkEnd w:id="18"/>
            <w:bookmarkEnd w:id="19"/>
          </w:p>
        </w:tc>
      </w:tr>
      <w:tr w:rsidR="00A25BDA" w:rsidRPr="00812F35" w:rsidTr="00741470">
        <w:trPr>
          <w:trHeight w:val="773"/>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7.1</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All core data centers are metered to measure a monthly Power Usage Effectiveness (PUE) of 100% by FY 2015 (2014 target: 90%)</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current practices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683"/>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7.2</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Core data centers maximum annual weighted average PUE of 1.4 by FY 2015 (2014 target: 1.5)</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Mean PUE for FY2014 was 1.58</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Seeking funding for further upgrades to achieve the goal</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962"/>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7.3</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Power management – 100% of eligible PCs, laptops, and monitors with power management actively implemented and in use by FY 2012</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with current policies, including replacing older equipment with newer</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962"/>
        </w:trPr>
        <w:tc>
          <w:tcPr>
            <w:tcW w:w="81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7.4</w:t>
            </w:r>
          </w:p>
        </w:tc>
        <w:tc>
          <w:tcPr>
            <w:tcW w:w="288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Electronic Stewardship – 95% of eligible electronics ac</w:t>
            </w:r>
            <w:r w:rsidR="00D72271">
              <w:rPr>
                <w:rFonts w:asciiTheme="minorHAnsi" w:hAnsiTheme="minorHAnsi"/>
              </w:rPr>
              <w:t>quisitions meet EPEAT standards</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This goal is met</w:t>
            </w:r>
          </w:p>
        </w:tc>
        <w:tc>
          <w:tcPr>
            <w:tcW w:w="216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Continue current practices</w:t>
            </w:r>
          </w:p>
        </w:tc>
        <w:tc>
          <w:tcPr>
            <w:tcW w:w="1350" w:type="dxa"/>
            <w:vAlign w:val="center"/>
          </w:tcPr>
          <w:p w:rsidR="00A25BDA" w:rsidRPr="00D857C1" w:rsidRDefault="00A25BDA" w:rsidP="00D857C1">
            <w:pPr>
              <w:ind w:left="0"/>
              <w:rPr>
                <w:rFonts w:asciiTheme="minorHAnsi" w:hAnsiTheme="minorHAnsi"/>
                <w:spacing w:val="0"/>
                <w:szCs w:val="24"/>
              </w:rPr>
            </w:pPr>
            <w:r w:rsidRPr="00D857C1">
              <w:rPr>
                <w:rFonts w:asciiTheme="minorHAnsi" w:hAnsiTheme="minorHAnsi"/>
              </w:rPr>
              <w:t>L</w:t>
            </w:r>
            <w:r w:rsidR="00D72271">
              <w:rPr>
                <w:rFonts w:asciiTheme="minorHAnsi" w:hAnsiTheme="minorHAnsi"/>
              </w:rPr>
              <w:t>ow</w:t>
            </w:r>
          </w:p>
        </w:tc>
      </w:tr>
      <w:tr w:rsidR="00A25BDA" w:rsidRPr="00812F35" w:rsidTr="00741470">
        <w:trPr>
          <w:trHeight w:val="557"/>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bookmarkStart w:id="20" w:name="_Toc243034004"/>
            <w:bookmarkStart w:id="21" w:name="_Toc243035509"/>
            <w:r w:rsidRPr="00BB6F8C">
              <w:rPr>
                <w:rFonts w:ascii="Calibri" w:hAnsi="Calibri"/>
                <w:b/>
                <w:spacing w:val="0"/>
                <w:szCs w:val="24"/>
              </w:rPr>
              <w:t>Goal 8: Renewable Energy</w:t>
            </w:r>
            <w:bookmarkEnd w:id="20"/>
            <w:bookmarkEnd w:id="21"/>
          </w:p>
        </w:tc>
      </w:tr>
      <w:tr w:rsidR="00A25BDA" w:rsidRPr="00812F35" w:rsidTr="00741470">
        <w:trPr>
          <w:trHeight w:val="503"/>
        </w:trPr>
        <w:tc>
          <w:tcPr>
            <w:tcW w:w="81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8.1</w:t>
            </w:r>
          </w:p>
        </w:tc>
        <w:tc>
          <w:tcPr>
            <w:tcW w:w="288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20% of annual electricity consumption from re</w:t>
            </w:r>
            <w:r>
              <w:rPr>
                <w:rFonts w:ascii="Calibri" w:hAnsi="Calibri"/>
                <w:spacing w:val="0"/>
                <w:szCs w:val="24"/>
              </w:rPr>
              <w:t>newable sources by FY 2020 (2014</w:t>
            </w:r>
            <w:r w:rsidRPr="00812F35">
              <w:rPr>
                <w:rFonts w:ascii="Calibri" w:hAnsi="Calibri"/>
                <w:spacing w:val="0"/>
                <w:szCs w:val="24"/>
              </w:rPr>
              <w:t xml:space="preserve"> target</w:t>
            </w:r>
            <w:proofErr w:type="gramStart"/>
            <w:r w:rsidRPr="00812F35">
              <w:rPr>
                <w:rFonts w:ascii="Calibri" w:hAnsi="Calibri"/>
                <w:spacing w:val="0"/>
                <w:szCs w:val="24"/>
              </w:rPr>
              <w:t>:7.5</w:t>
            </w:r>
            <w:proofErr w:type="gramEnd"/>
            <w:r w:rsidRPr="00812F35">
              <w:rPr>
                <w:rFonts w:ascii="Calibri" w:hAnsi="Calibri"/>
                <w:spacing w:val="0"/>
                <w:szCs w:val="24"/>
              </w:rPr>
              <w:t>%)</w:t>
            </w:r>
          </w:p>
        </w:tc>
        <w:tc>
          <w:tcPr>
            <w:tcW w:w="2160" w:type="dxa"/>
            <w:vAlign w:val="center"/>
          </w:tcPr>
          <w:p w:rsidR="00A25BDA" w:rsidRPr="00812F35" w:rsidRDefault="00A25BDA" w:rsidP="00D857C1">
            <w:pPr>
              <w:ind w:left="0"/>
              <w:rPr>
                <w:rFonts w:ascii="Calibri" w:hAnsi="Calibri"/>
                <w:spacing w:val="0"/>
                <w:szCs w:val="24"/>
              </w:rPr>
            </w:pPr>
          </w:p>
          <w:p w:rsidR="00A25BDA" w:rsidRPr="00812F35" w:rsidRDefault="00A25BDA" w:rsidP="00D857C1">
            <w:pPr>
              <w:ind w:left="0"/>
              <w:rPr>
                <w:rFonts w:ascii="Calibri" w:hAnsi="Calibri"/>
                <w:spacing w:val="0"/>
                <w:szCs w:val="24"/>
              </w:rPr>
            </w:pPr>
            <w:r w:rsidRPr="00812F35">
              <w:rPr>
                <w:rFonts w:ascii="Calibri" w:hAnsi="Calibri"/>
                <w:spacing w:val="0"/>
                <w:szCs w:val="24"/>
              </w:rPr>
              <w:t>Exceeded goal</w:t>
            </w:r>
          </w:p>
        </w:tc>
        <w:tc>
          <w:tcPr>
            <w:tcW w:w="2160" w:type="dxa"/>
            <w:vAlign w:val="center"/>
          </w:tcPr>
          <w:p w:rsidR="00A25BDA" w:rsidRPr="00812F35" w:rsidRDefault="00A25BDA" w:rsidP="00D857C1">
            <w:pPr>
              <w:ind w:left="0"/>
              <w:rPr>
                <w:rFonts w:ascii="Calibri" w:hAnsi="Calibri"/>
                <w:spacing w:val="0"/>
                <w:szCs w:val="24"/>
              </w:rPr>
            </w:pPr>
            <w:r w:rsidRPr="00812F35">
              <w:rPr>
                <w:rFonts w:ascii="Calibri" w:hAnsi="Calibri"/>
                <w:spacing w:val="0"/>
                <w:szCs w:val="24"/>
              </w:rPr>
              <w:t>Must use RECs to meet this goal while investigating cost effective RE</w:t>
            </w:r>
          </w:p>
        </w:tc>
        <w:tc>
          <w:tcPr>
            <w:tcW w:w="1350" w:type="dxa"/>
            <w:vAlign w:val="center"/>
          </w:tcPr>
          <w:p w:rsidR="00A25BDA" w:rsidRPr="00812F35" w:rsidRDefault="00A25BDA" w:rsidP="00D857C1">
            <w:pPr>
              <w:ind w:left="0"/>
              <w:rPr>
                <w:rFonts w:ascii="Calibri" w:hAnsi="Calibri"/>
                <w:spacing w:val="0"/>
                <w:szCs w:val="24"/>
              </w:rPr>
            </w:pPr>
          </w:p>
          <w:p w:rsidR="00A25BDA" w:rsidRPr="00812F35" w:rsidRDefault="00A25BDA" w:rsidP="00D857C1">
            <w:pPr>
              <w:ind w:left="0"/>
              <w:rPr>
                <w:rFonts w:ascii="Calibri" w:hAnsi="Calibri"/>
                <w:spacing w:val="0"/>
                <w:szCs w:val="24"/>
              </w:rPr>
            </w:pPr>
            <w:r w:rsidRPr="00812F35">
              <w:rPr>
                <w:rFonts w:ascii="Calibri" w:hAnsi="Calibri"/>
                <w:spacing w:val="0"/>
                <w:szCs w:val="24"/>
              </w:rPr>
              <w:t>L</w:t>
            </w:r>
            <w:r>
              <w:rPr>
                <w:rFonts w:ascii="Calibri" w:hAnsi="Calibri"/>
                <w:spacing w:val="0"/>
                <w:szCs w:val="24"/>
              </w:rPr>
              <w:t>ow</w:t>
            </w:r>
          </w:p>
        </w:tc>
      </w:tr>
      <w:tr w:rsidR="00A25BDA" w:rsidRPr="00BB6F8C" w:rsidTr="00D857C1">
        <w:trPr>
          <w:trHeight w:val="539"/>
        </w:trPr>
        <w:tc>
          <w:tcPr>
            <w:tcW w:w="9360" w:type="dxa"/>
            <w:gridSpan w:val="5"/>
            <w:shd w:val="clear" w:color="auto" w:fill="C6D9F1" w:themeFill="text2" w:themeFillTint="33"/>
            <w:vAlign w:val="center"/>
          </w:tcPr>
          <w:p w:rsidR="00A25BDA" w:rsidRPr="00BB6F8C" w:rsidRDefault="00A25BDA" w:rsidP="00A25BDA">
            <w:pPr>
              <w:ind w:left="0"/>
              <w:jc w:val="center"/>
              <w:rPr>
                <w:rFonts w:ascii="Calibri" w:hAnsi="Calibri"/>
                <w:b/>
                <w:spacing w:val="0"/>
                <w:szCs w:val="24"/>
              </w:rPr>
            </w:pPr>
            <w:r w:rsidRPr="00BB6F8C">
              <w:rPr>
                <w:rFonts w:ascii="Calibri" w:hAnsi="Calibri"/>
                <w:b/>
                <w:spacing w:val="0"/>
                <w:szCs w:val="24"/>
              </w:rPr>
              <w:lastRenderedPageBreak/>
              <w:t>Goal 9: Climate Change Adaptation</w:t>
            </w:r>
          </w:p>
        </w:tc>
      </w:tr>
      <w:tr w:rsidR="00D857C1" w:rsidRPr="00812F35" w:rsidTr="003A67D5">
        <w:trPr>
          <w:trHeight w:val="1088"/>
        </w:trPr>
        <w:tc>
          <w:tcPr>
            <w:tcW w:w="810" w:type="dxa"/>
            <w:vAlign w:val="center"/>
          </w:tcPr>
          <w:p w:rsidR="00D857C1" w:rsidRPr="00D857C1" w:rsidRDefault="00D857C1" w:rsidP="00D857C1">
            <w:pPr>
              <w:ind w:left="0"/>
              <w:rPr>
                <w:rFonts w:asciiTheme="minorHAnsi" w:hAnsiTheme="minorHAnsi"/>
                <w:spacing w:val="0"/>
                <w:szCs w:val="24"/>
              </w:rPr>
            </w:pPr>
            <w:r w:rsidRPr="00D857C1">
              <w:rPr>
                <w:rFonts w:asciiTheme="minorHAnsi" w:hAnsiTheme="minorHAnsi"/>
              </w:rPr>
              <w:t>9.1</w:t>
            </w:r>
          </w:p>
        </w:tc>
        <w:tc>
          <w:tcPr>
            <w:tcW w:w="2880" w:type="dxa"/>
            <w:vAlign w:val="center"/>
          </w:tcPr>
          <w:p w:rsidR="00D857C1" w:rsidRPr="00D857C1" w:rsidRDefault="00D857C1" w:rsidP="00D857C1">
            <w:pPr>
              <w:ind w:left="0"/>
              <w:rPr>
                <w:rFonts w:asciiTheme="minorHAnsi" w:hAnsiTheme="minorHAnsi"/>
                <w:spacing w:val="0"/>
                <w:szCs w:val="24"/>
              </w:rPr>
            </w:pPr>
            <w:r w:rsidRPr="00D857C1">
              <w:rPr>
                <w:rFonts w:asciiTheme="minorHAnsi" w:hAnsiTheme="minorHAnsi"/>
              </w:rPr>
              <w:t>Address DOE Climate Change Adapt</w:t>
            </w:r>
            <w:r w:rsidR="003A67D5">
              <w:rPr>
                <w:rFonts w:asciiTheme="minorHAnsi" w:hAnsiTheme="minorHAnsi"/>
              </w:rPr>
              <w:t xml:space="preserve">ation Plan goals </w:t>
            </w:r>
          </w:p>
        </w:tc>
        <w:tc>
          <w:tcPr>
            <w:tcW w:w="5670" w:type="dxa"/>
            <w:gridSpan w:val="3"/>
            <w:vAlign w:val="center"/>
          </w:tcPr>
          <w:p w:rsidR="00D857C1" w:rsidRPr="00D857C1" w:rsidRDefault="00D857C1" w:rsidP="00D857C1">
            <w:pPr>
              <w:ind w:left="0"/>
              <w:rPr>
                <w:rFonts w:asciiTheme="minorHAnsi" w:hAnsiTheme="minorHAnsi"/>
                <w:spacing w:val="0"/>
                <w:szCs w:val="24"/>
              </w:rPr>
            </w:pPr>
            <w:r w:rsidRPr="00D857C1">
              <w:rPr>
                <w:rFonts w:asciiTheme="minorHAnsi" w:hAnsiTheme="minorHAnsi"/>
              </w:rPr>
              <w:t>Climate Change Adaptation planning is included as Goal 9.1</w:t>
            </w:r>
          </w:p>
        </w:tc>
      </w:tr>
      <w:tr w:rsidR="00D857C1" w:rsidRPr="00812F35" w:rsidTr="00AA7210">
        <w:trPr>
          <w:trHeight w:val="503"/>
        </w:trPr>
        <w:tc>
          <w:tcPr>
            <w:tcW w:w="9360" w:type="dxa"/>
            <w:gridSpan w:val="5"/>
            <w:shd w:val="clear" w:color="auto" w:fill="C6D9F1" w:themeFill="text2" w:themeFillTint="33"/>
            <w:vAlign w:val="center"/>
          </w:tcPr>
          <w:p w:rsidR="00D857C1" w:rsidRPr="00A25BDA" w:rsidRDefault="00D857C1" w:rsidP="00D857C1">
            <w:pPr>
              <w:ind w:left="0"/>
              <w:jc w:val="center"/>
              <w:rPr>
                <w:rFonts w:asciiTheme="minorHAnsi" w:hAnsiTheme="minorHAnsi"/>
                <w:spacing w:val="0"/>
                <w:szCs w:val="24"/>
              </w:rPr>
            </w:pPr>
            <w:r>
              <w:rPr>
                <w:rFonts w:ascii="Calibri" w:hAnsi="Calibri"/>
                <w:b/>
                <w:spacing w:val="0"/>
                <w:szCs w:val="24"/>
              </w:rPr>
              <w:t xml:space="preserve">Goal 10 </w:t>
            </w:r>
            <w:r w:rsidRPr="00BB6F8C">
              <w:rPr>
                <w:rFonts w:ascii="Calibri" w:hAnsi="Calibri"/>
                <w:b/>
                <w:spacing w:val="0"/>
                <w:szCs w:val="24"/>
              </w:rPr>
              <w:t xml:space="preserve">: </w:t>
            </w:r>
            <w:r>
              <w:rPr>
                <w:rFonts w:ascii="Calibri" w:hAnsi="Calibri"/>
                <w:b/>
                <w:spacing w:val="0"/>
                <w:szCs w:val="24"/>
              </w:rPr>
              <w:t>Energy Performance Contracts</w:t>
            </w:r>
          </w:p>
        </w:tc>
      </w:tr>
      <w:tr w:rsidR="00D857C1" w:rsidRPr="00812F35" w:rsidTr="00741470">
        <w:trPr>
          <w:trHeight w:val="503"/>
        </w:trPr>
        <w:tc>
          <w:tcPr>
            <w:tcW w:w="810" w:type="dxa"/>
            <w:vAlign w:val="center"/>
          </w:tcPr>
          <w:p w:rsidR="00D857C1" w:rsidRPr="00812F35" w:rsidRDefault="00D857C1" w:rsidP="00D857C1">
            <w:pPr>
              <w:ind w:left="0"/>
              <w:rPr>
                <w:rFonts w:ascii="Calibri" w:hAnsi="Calibri"/>
                <w:spacing w:val="0"/>
                <w:szCs w:val="24"/>
              </w:rPr>
            </w:pPr>
            <w:r w:rsidRPr="00684604">
              <w:t>10.1</w:t>
            </w:r>
          </w:p>
        </w:tc>
        <w:tc>
          <w:tcPr>
            <w:tcW w:w="2880" w:type="dxa"/>
            <w:vAlign w:val="center"/>
          </w:tcPr>
          <w:p w:rsidR="00D857C1" w:rsidRPr="00812F35" w:rsidRDefault="00D857C1" w:rsidP="00D857C1">
            <w:pPr>
              <w:ind w:left="0"/>
              <w:rPr>
                <w:rFonts w:ascii="Calibri" w:hAnsi="Calibri"/>
                <w:spacing w:val="0"/>
                <w:szCs w:val="24"/>
              </w:rPr>
            </w:pPr>
            <w:r w:rsidRPr="00684604">
              <w:t>Utilization of Energy Performance Contracts</w:t>
            </w:r>
          </w:p>
        </w:tc>
        <w:tc>
          <w:tcPr>
            <w:tcW w:w="5670" w:type="dxa"/>
            <w:gridSpan w:val="3"/>
            <w:vAlign w:val="center"/>
          </w:tcPr>
          <w:p w:rsidR="00D857C1" w:rsidRPr="00A25BDA" w:rsidRDefault="00D857C1" w:rsidP="00D857C1">
            <w:pPr>
              <w:ind w:left="0"/>
              <w:rPr>
                <w:rFonts w:asciiTheme="minorHAnsi" w:hAnsiTheme="minorHAnsi"/>
                <w:spacing w:val="0"/>
                <w:szCs w:val="24"/>
              </w:rPr>
            </w:pPr>
            <w:r w:rsidRPr="00684604">
              <w:t>Unable to secure a new contract this year</w:t>
            </w:r>
          </w:p>
        </w:tc>
      </w:tr>
    </w:tbl>
    <w:p w:rsidR="00221602" w:rsidRDefault="00221602" w:rsidP="006F195B">
      <w:pPr>
        <w:spacing w:after="200"/>
        <w:ind w:left="0"/>
        <w:jc w:val="both"/>
        <w:rPr>
          <w:rFonts w:eastAsia="Calibri" w:cs="Arial"/>
          <w:spacing w:val="0"/>
        </w:rPr>
      </w:pPr>
    </w:p>
    <w:p w:rsidR="00E40625" w:rsidRPr="004377C3" w:rsidRDefault="00D92830" w:rsidP="006F195B">
      <w:pPr>
        <w:pStyle w:val="Heading1"/>
        <w:ind w:left="0"/>
        <w:jc w:val="both"/>
        <w:rPr>
          <w:color w:val="92D050"/>
        </w:rPr>
      </w:pPr>
      <w:bookmarkStart w:id="22" w:name="_Toc426529641"/>
      <w:r w:rsidRPr="0029394F">
        <w:rPr>
          <w:color w:val="auto"/>
        </w:rPr>
        <w:t>5</w:t>
      </w:r>
      <w:r w:rsidR="00B669E1" w:rsidRPr="0029394F">
        <w:rPr>
          <w:color w:val="auto"/>
        </w:rPr>
        <w:t>.0</w:t>
      </w:r>
      <w:r w:rsidR="00E40625" w:rsidRPr="0029394F">
        <w:rPr>
          <w:color w:val="auto"/>
        </w:rPr>
        <w:t xml:space="preserve"> Environmental Management System (EMS</w:t>
      </w:r>
      <w:r w:rsidR="00E40625" w:rsidRPr="004377C3">
        <w:rPr>
          <w:color w:val="92D050"/>
        </w:rPr>
        <w:t>)</w:t>
      </w:r>
      <w:bookmarkEnd w:id="22"/>
    </w:p>
    <w:p w:rsidR="00400602" w:rsidRPr="00EA0E83" w:rsidRDefault="00400602" w:rsidP="00400602">
      <w:pPr>
        <w:spacing w:after="240" w:line="240" w:lineRule="atLeast"/>
        <w:ind w:left="0"/>
        <w:jc w:val="both"/>
      </w:pPr>
      <w:r w:rsidRPr="00EA0E83">
        <w:t xml:space="preserve">Fermilab recognizes the importance of maintaining an Environmental Management System (EMS).  The EMS is the organizational framework that enables Fermilab to minimize environmental impacts.  The system functions via an ongoing cycle that focuses on planning, implementing, evaluating and improving environmental performance.  This process is used as means to continuously focus on the environmental aspects of laboratory operations to ensure compliance with regulations and to demonstrate that the laboratory is functioning in an environmentally responsible manner.  In addition, the elements </w:t>
      </w:r>
      <w:r w:rsidR="003A67D5">
        <w:t>of the EMS have been aligned</w:t>
      </w:r>
      <w:r w:rsidRPr="00EA0E83">
        <w:t xml:space="preserve"> with the principles of Fermilab’s  ESH&amp;Q Management System to form a combined management system that address facility operational liabilities that have the potential to impact individuals and/or the environment. </w:t>
      </w:r>
    </w:p>
    <w:p w:rsidR="00400602" w:rsidRPr="00EA0E83" w:rsidRDefault="00400602" w:rsidP="00400602">
      <w:pPr>
        <w:spacing w:after="240" w:line="240" w:lineRule="atLeast"/>
        <w:ind w:left="0"/>
        <w:jc w:val="both"/>
      </w:pPr>
      <w:r w:rsidRPr="00EA0E83">
        <w:t>Fermilab’s EMS was formally established in 2005 in accordance with DOE and Executive Order</w:t>
      </w:r>
      <w:r w:rsidR="00DF7F40">
        <w:t xml:space="preserve"> requirements.  The EMS has</w:t>
      </w:r>
      <w:r w:rsidRPr="00EA0E83">
        <w:t xml:space="preserve"> been certified to the ISO 14001 standard since August 2007.   ISO requires re-registration to the standard every three years.  Fermilab successfully completed a comprehensive third party audit of the entire facility and became re-registered to the standard in July 2013.   </w:t>
      </w:r>
    </w:p>
    <w:p w:rsidR="00400602" w:rsidRPr="00EA0E83" w:rsidRDefault="00400602" w:rsidP="00400602">
      <w:pPr>
        <w:spacing w:after="240" w:line="240" w:lineRule="atLeast"/>
        <w:ind w:left="0"/>
        <w:jc w:val="both"/>
      </w:pPr>
      <w:r w:rsidRPr="00EA0E83">
        <w:t>To maintain certification, the laboratory undertakes s</w:t>
      </w:r>
      <w:r w:rsidR="00DF7F40">
        <w:t>emi-annual independent audits that</w:t>
      </w:r>
      <w:r w:rsidRPr="00EA0E83">
        <w:t xml:space="preserve"> demonstrate continuous conformance with the standard.  These audits focus on </w:t>
      </w:r>
      <w:r w:rsidR="00DF7F40">
        <w:t xml:space="preserve">rotating </w:t>
      </w:r>
      <w:r w:rsidRPr="00EA0E83">
        <w:t xml:space="preserve">segments of Fermilab operations to ensure that EMS elements are being properly addressed across the facility and have occurred every year since becoming registered.  </w:t>
      </w:r>
    </w:p>
    <w:p w:rsidR="00400602" w:rsidRPr="00AB68EC" w:rsidRDefault="00400602" w:rsidP="00400602">
      <w:pPr>
        <w:spacing w:after="240" w:line="240" w:lineRule="atLeast"/>
        <w:ind w:left="0"/>
        <w:jc w:val="both"/>
      </w:pPr>
      <w:r w:rsidRPr="00EA0E83">
        <w:t>As part of the EMS, Fermilab routinely evaluates its operations</w:t>
      </w:r>
      <w:r w:rsidR="00DF7F40">
        <w:t xml:space="preserve"> </w:t>
      </w:r>
      <w:r w:rsidR="00164B9D">
        <w:t>internally</w:t>
      </w:r>
      <w:r w:rsidRPr="00EA0E83">
        <w:t xml:space="preserve"> and seeks to improve environmental performance.  The </w:t>
      </w:r>
      <w:r w:rsidR="004C4ED7">
        <w:t>laboratory</w:t>
      </w:r>
      <w:r w:rsidRPr="00EA0E83">
        <w:t>’s significant environmental aspects have been iden</w:t>
      </w:r>
      <w:r>
        <w:t>tified and were reviewed in 2014</w:t>
      </w:r>
      <w:r w:rsidRPr="00EA0E83">
        <w:t xml:space="preserve">.  In areas were change is desired or required, goals are established with measureable targets that seek to improve a particular aspect of operations.  </w:t>
      </w:r>
      <w:r>
        <w:t>In particular,</w:t>
      </w:r>
      <w:r w:rsidRPr="00EA0E83">
        <w:t xml:space="preserve"> </w:t>
      </w:r>
      <w:r>
        <w:t>t</w:t>
      </w:r>
      <w:r w:rsidRPr="00EA0E83">
        <w:t>he goals outlined in our Site Sustainably Plan document areas of significant emphasis where the laboratory is pursuing change.</w:t>
      </w:r>
    </w:p>
    <w:p w:rsidR="00E40625" w:rsidRPr="0029394F" w:rsidRDefault="00D92830" w:rsidP="0029394F">
      <w:pPr>
        <w:pStyle w:val="Heading1"/>
        <w:pBdr>
          <w:left w:val="single" w:sz="6" w:space="1" w:color="FFFFFF"/>
        </w:pBdr>
        <w:ind w:left="0"/>
        <w:jc w:val="both"/>
        <w:rPr>
          <w:color w:val="auto"/>
        </w:rPr>
      </w:pPr>
      <w:bookmarkStart w:id="23" w:name="_Toc426529642"/>
      <w:r w:rsidRPr="0029394F">
        <w:rPr>
          <w:color w:val="auto"/>
        </w:rPr>
        <w:t>6</w:t>
      </w:r>
      <w:r w:rsidR="00B669E1" w:rsidRPr="0029394F">
        <w:rPr>
          <w:color w:val="auto"/>
        </w:rPr>
        <w:t>.0</w:t>
      </w:r>
      <w:r w:rsidR="00E40625" w:rsidRPr="0029394F">
        <w:rPr>
          <w:color w:val="auto"/>
        </w:rPr>
        <w:t xml:space="preserve"> Environmental Monitoring and Surveillance</w:t>
      </w:r>
      <w:bookmarkEnd w:id="23"/>
    </w:p>
    <w:p w:rsidR="001C4274" w:rsidRPr="001C4274" w:rsidRDefault="001C4274" w:rsidP="006F195B">
      <w:pPr>
        <w:spacing w:after="240" w:line="240" w:lineRule="atLeast"/>
        <w:ind w:left="0"/>
        <w:jc w:val="both"/>
        <w:rPr>
          <w:rFonts w:cs="Arial"/>
        </w:rPr>
      </w:pPr>
      <w:r w:rsidRPr="001C4274">
        <w:rPr>
          <w:rFonts w:cs="Arial"/>
        </w:rPr>
        <w:t xml:space="preserve">The goal of the Fermilab Environmental Monitoring Program is to assist </w:t>
      </w:r>
      <w:r w:rsidR="004C4ED7">
        <w:rPr>
          <w:rFonts w:cs="Arial"/>
        </w:rPr>
        <w:t>laboratory</w:t>
      </w:r>
      <w:r w:rsidRPr="001C4274">
        <w:rPr>
          <w:rFonts w:cs="Arial"/>
        </w:rPr>
        <w:t xml:space="preserve"> management in decision-making by providing data relevant to impacts that Fermilab operations have on the surrounding environment.  This program includes effluent monitoring which is used to confirm compliance with permits, generally at a particular point.  Environmental surveillance is conducted at various locations to intercept the pathway of potential pollutants to receptors such as plants, animals or members of the public.  Fermilab collects environmental data for reporting purposes or whenever it is necessary or useful in conducting the business of the </w:t>
      </w:r>
      <w:r w:rsidR="004C4ED7">
        <w:rPr>
          <w:rFonts w:cs="Arial"/>
        </w:rPr>
        <w:t>laboratory</w:t>
      </w:r>
      <w:r w:rsidRPr="001C4274">
        <w:rPr>
          <w:rFonts w:cs="Arial"/>
        </w:rPr>
        <w:t>.  Line organizations have the responsibility to recognize and understand the environmental aspects of their operations and to conduct their work in an environmentally sound manner.</w:t>
      </w:r>
    </w:p>
    <w:p w:rsidR="001C4274" w:rsidRPr="001C4274" w:rsidRDefault="001C4274" w:rsidP="006F195B">
      <w:pPr>
        <w:spacing w:after="240" w:line="240" w:lineRule="atLeast"/>
        <w:ind w:left="0"/>
        <w:jc w:val="both"/>
        <w:rPr>
          <w:rFonts w:cs="Arial"/>
        </w:rPr>
      </w:pPr>
      <w:r w:rsidRPr="001C4274">
        <w:rPr>
          <w:rFonts w:cs="Arial"/>
        </w:rPr>
        <w:t xml:space="preserve">The pathways </w:t>
      </w:r>
      <w:r w:rsidR="00311C68">
        <w:rPr>
          <w:rFonts w:cs="Arial"/>
        </w:rPr>
        <w:t xml:space="preserve">for the most likely </w:t>
      </w:r>
      <w:r w:rsidRPr="001C4274">
        <w:rPr>
          <w:rFonts w:cs="Arial"/>
        </w:rPr>
        <w:t xml:space="preserve">movement of chemical and radioactive materials from Fermilab operations to the public are the atmosphere, surface water, groundwater, and via the roadways (transportation of materials to </w:t>
      </w:r>
      <w:r w:rsidRPr="001C4274">
        <w:rPr>
          <w:rFonts w:cs="Arial"/>
        </w:rPr>
        <w:lastRenderedPageBreak/>
        <w:t>and from the site).  Environmental surveillance consists of collecting</w:t>
      </w:r>
      <w:r w:rsidRPr="001C4274">
        <w:rPr>
          <w:rFonts w:cs="Arial"/>
          <w:color w:val="FF00FF"/>
        </w:rPr>
        <w:t xml:space="preserve"> </w:t>
      </w:r>
      <w:r w:rsidRPr="001C4274">
        <w:rPr>
          <w:rFonts w:cs="Arial"/>
        </w:rPr>
        <w:t>and analyzing samples of various media and by measuring penetrating radiation (e.g. muons) within and at the site boundaries.</w:t>
      </w:r>
    </w:p>
    <w:p w:rsidR="001C4274" w:rsidRPr="001C4274" w:rsidRDefault="001C4274" w:rsidP="006F195B">
      <w:pPr>
        <w:spacing w:after="240" w:line="240" w:lineRule="atLeast"/>
        <w:ind w:left="0"/>
        <w:jc w:val="both"/>
        <w:rPr>
          <w:rFonts w:cs="Arial"/>
        </w:rPr>
      </w:pPr>
      <w:r w:rsidRPr="001C4274">
        <w:rPr>
          <w:rFonts w:cs="Arial"/>
        </w:rPr>
        <w:t>Ground and surface waters are sampled at locations near operating areas, potential contamination sources and along potential transport pathways.  In addition to air and water surveillance, samples of soil are collected and analyzed for radioactivity to ascertain whether there is build-up of radioactive materials in the environment due to long-term operations.</w:t>
      </w:r>
    </w:p>
    <w:p w:rsidR="00B67224" w:rsidRDefault="001C4274" w:rsidP="006F195B">
      <w:pPr>
        <w:ind w:left="0"/>
        <w:jc w:val="both"/>
        <w:rPr>
          <w:rFonts w:cs="Arial"/>
        </w:rPr>
      </w:pPr>
      <w:r w:rsidRPr="001C4274">
        <w:rPr>
          <w:rFonts w:cs="Arial"/>
        </w:rPr>
        <w:t xml:space="preserve">Surface water, air, groundwater, soil and sediment samples are analyzed for radionuclide concentrations.  Surface waters are also monitored for potential chemical constituents.  While levels of penetrating radiation are in some places measurable near operational areas on the site, the levels decrease rapidly with distance from the sources.  External penetrating radiation and airborne emissions are commonly below instrument detection levels at the site boundary and must be estimated to provide information about the maximum potential radiation doses to offsite populations.  The results of the environmental surveillance program are interpreted and compared with environmental standards where applicable.  The Fermilab Environmental Monitoring Plan, which is maintained by the </w:t>
      </w:r>
      <w:r w:rsidR="00E07CBB">
        <w:rPr>
          <w:rFonts w:cs="Arial"/>
        </w:rPr>
        <w:t>ESH&amp;Q</w:t>
      </w:r>
      <w:r w:rsidRPr="001C4274">
        <w:rPr>
          <w:rFonts w:cs="Arial"/>
        </w:rPr>
        <w:t xml:space="preserve"> Section, provides more details.</w:t>
      </w:r>
    </w:p>
    <w:p w:rsidR="00F34126" w:rsidRDefault="00F34126" w:rsidP="006F195B">
      <w:pPr>
        <w:ind w:left="0"/>
        <w:jc w:val="both"/>
      </w:pPr>
    </w:p>
    <w:p w:rsidR="00E40625" w:rsidRPr="0029394F" w:rsidRDefault="000368D1" w:rsidP="006F195B">
      <w:pPr>
        <w:pStyle w:val="Heading2"/>
        <w:jc w:val="both"/>
      </w:pPr>
      <w:bookmarkStart w:id="24" w:name="_Toc426529643"/>
      <w:r w:rsidRPr="0029394F">
        <w:t>6</w:t>
      </w:r>
      <w:r w:rsidR="00E40625" w:rsidRPr="0029394F">
        <w:t>.1 Air Quality</w:t>
      </w:r>
      <w:bookmarkEnd w:id="24"/>
    </w:p>
    <w:p w:rsidR="001F72FA" w:rsidRPr="001F72FA" w:rsidRDefault="001E2E56" w:rsidP="001F72FA">
      <w:pPr>
        <w:spacing w:after="240" w:line="240" w:lineRule="atLeast"/>
        <w:ind w:left="0"/>
        <w:jc w:val="both"/>
      </w:pPr>
      <w:r w:rsidRPr="001E2E56">
        <w:t xml:space="preserve">Fermilab is not a significant source of chemical air pollution and is registered with the IEPA’s Registration of Smaller Sources (ROSS) program.  This is a relatively new program </w:t>
      </w:r>
      <w:r w:rsidR="00626184">
        <w:t xml:space="preserve">administered by </w:t>
      </w:r>
      <w:r w:rsidRPr="001E2E56">
        <w:t>IEPA and is available to facilities that emit only minor amounts of air pollution.</w:t>
      </w:r>
    </w:p>
    <w:p w:rsidR="001F72FA" w:rsidRPr="00C74C60" w:rsidRDefault="001F72FA" w:rsidP="001F72FA">
      <w:pPr>
        <w:keepNext/>
        <w:keepLines/>
        <w:spacing w:after="240" w:line="240" w:lineRule="atLeast"/>
        <w:jc w:val="both"/>
        <w:outlineLvl w:val="2"/>
        <w:rPr>
          <w:rFonts w:ascii="Arial Black" w:hAnsi="Arial Black"/>
          <w:spacing w:val="-10"/>
          <w:kern w:val="28"/>
        </w:rPr>
      </w:pPr>
      <w:bookmarkStart w:id="25" w:name="_Toc426529644"/>
      <w:r w:rsidRPr="00C74C60">
        <w:rPr>
          <w:rFonts w:ascii="Arial Black" w:hAnsi="Arial Black"/>
          <w:spacing w:val="-10"/>
          <w:kern w:val="28"/>
        </w:rPr>
        <w:t>6.1.1 Radioactive Air Emissions</w:t>
      </w:r>
      <w:bookmarkEnd w:id="25"/>
    </w:p>
    <w:p w:rsidR="00626184" w:rsidRPr="001F72FA" w:rsidRDefault="00626184" w:rsidP="00626184">
      <w:pPr>
        <w:spacing w:after="240" w:line="240" w:lineRule="atLeast"/>
        <w:jc w:val="both"/>
      </w:pPr>
      <w:r w:rsidRPr="001F72FA">
        <w:t xml:space="preserve">Airborne radionuclides are normally released to the atmosphere from operating target stations.  Measures to keep these releases as low as reasonably achievable (ALARA) are incorporated into the operating processes and procedures at these facilities and in design efforts for new projects.  Monitoring is conducted at targeting areas where air emissions are considered a significant contributor to the overall transport of radioactive materials offsite.  In addition, a small quantity of airborne radionuclides is contributed by the operation of the Magnet </w:t>
      </w:r>
      <w:proofErr w:type="spellStart"/>
      <w:r w:rsidRPr="001F72FA">
        <w:t>Deb</w:t>
      </w:r>
      <w:r>
        <w:t>onding</w:t>
      </w:r>
      <w:proofErr w:type="spellEnd"/>
      <w:r>
        <w:t xml:space="preserve"> Oven when operating.  </w:t>
      </w:r>
      <w:r w:rsidRPr="00704E56">
        <w:t xml:space="preserve">Fermilab has declared in its air permit application to the IEPA </w:t>
      </w:r>
      <w:r w:rsidRPr="001F72FA">
        <w:t xml:space="preserve">that total activity released from the </w:t>
      </w:r>
      <w:r>
        <w:t>l</w:t>
      </w:r>
      <w:r w:rsidRPr="001F72FA">
        <w:t>ab would average no greater than 2000 Curies in a year with a maximum of 9000 Curies in a year; current and planned operations are far below these levels.</w:t>
      </w:r>
    </w:p>
    <w:p w:rsidR="00626184" w:rsidRPr="001F72FA" w:rsidRDefault="00626184" w:rsidP="00626184">
      <w:pPr>
        <w:spacing w:after="240" w:line="240" w:lineRule="atLeast"/>
        <w:jc w:val="both"/>
      </w:pPr>
      <w:r w:rsidRPr="001F72FA">
        <w:t xml:space="preserve">The radiation doses potentially received by the offsite public due to Fermilab operations are calculated from data gathered through environmental surveillance of the onsite sources.  Selected vent stacks are monitored directly with stack monitors and indirectly by taking soil samples in the vicinity of the stacks.  The dose for the air pathway is calculated using a Gaussian plume computer simulation model called Clean Air </w:t>
      </w:r>
      <w:r>
        <w:t xml:space="preserve">Act </w:t>
      </w:r>
      <w:r w:rsidRPr="001F72FA">
        <w:t xml:space="preserve">Assessment Package-1988 </w:t>
      </w:r>
      <w:r>
        <w:t>(CAP</w:t>
      </w:r>
      <w:r w:rsidRPr="001F72FA">
        <w:t>88PC</w:t>
      </w:r>
      <w:r>
        <w:t xml:space="preserve"> Version 4.0</w:t>
      </w:r>
      <w:r w:rsidRPr="001F72FA">
        <w:t>).  This model was created by the USEPA to predict the movement of airborne radionuclides and its use is dictated by regulations governing hazardous air pollutants at 40 CFR 61.  Maximum calculated concentrations off-site are predicted to be below the level that could be detected by direct monitoring.</w:t>
      </w:r>
    </w:p>
    <w:p w:rsidR="00626184" w:rsidRPr="001F72FA" w:rsidRDefault="00626184" w:rsidP="00626184">
      <w:pPr>
        <w:spacing w:after="240" w:line="240" w:lineRule="atLeast"/>
        <w:jc w:val="both"/>
        <w:rPr>
          <w:rFonts w:cs="Arial"/>
        </w:rPr>
      </w:pPr>
      <w:r w:rsidRPr="001F72FA">
        <w:rPr>
          <w:rFonts w:cs="Arial"/>
        </w:rPr>
        <w:t xml:space="preserve">In </w:t>
      </w:r>
      <w:r>
        <w:rPr>
          <w:rFonts w:cs="Arial"/>
        </w:rPr>
        <w:t>2014</w:t>
      </w:r>
      <w:r w:rsidRPr="001F72FA">
        <w:rPr>
          <w:rFonts w:cs="Arial"/>
        </w:rPr>
        <w:t xml:space="preserve"> the accelerators and the experiments operated </w:t>
      </w:r>
      <w:r>
        <w:rPr>
          <w:rFonts w:cs="Arial"/>
        </w:rPr>
        <w:t>throughout</w:t>
      </w:r>
      <w:r w:rsidRPr="001F72FA">
        <w:rPr>
          <w:rFonts w:cs="Arial"/>
        </w:rPr>
        <w:t xml:space="preserve"> the calendar year. Operation of the </w:t>
      </w:r>
      <w:proofErr w:type="spellStart"/>
      <w:r w:rsidRPr="001F72FA">
        <w:rPr>
          <w:rFonts w:cs="Arial"/>
        </w:rPr>
        <w:t>debonding</w:t>
      </w:r>
      <w:proofErr w:type="spellEnd"/>
      <w:r w:rsidRPr="001F72FA">
        <w:rPr>
          <w:rFonts w:cs="Arial"/>
        </w:rPr>
        <w:t xml:space="preserve"> oven, when radioactive components are being burned, is a potential</w:t>
      </w:r>
      <w:r>
        <w:rPr>
          <w:rFonts w:cs="Arial"/>
        </w:rPr>
        <w:t xml:space="preserve"> source of tritium.</w:t>
      </w:r>
      <w:r w:rsidRPr="001F72FA">
        <w:rPr>
          <w:rFonts w:cs="Arial"/>
        </w:rPr>
        <w:t xml:space="preserve"> In </w:t>
      </w:r>
      <w:r>
        <w:rPr>
          <w:rFonts w:cs="Arial"/>
        </w:rPr>
        <w:t>2014</w:t>
      </w:r>
      <w:r w:rsidRPr="001F72FA">
        <w:rPr>
          <w:rFonts w:cs="Arial"/>
        </w:rPr>
        <w:t xml:space="preserve"> the </w:t>
      </w:r>
      <w:proofErr w:type="spellStart"/>
      <w:r w:rsidRPr="001F72FA">
        <w:rPr>
          <w:rFonts w:cs="Arial"/>
        </w:rPr>
        <w:t>debonding</w:t>
      </w:r>
      <w:proofErr w:type="spellEnd"/>
      <w:r w:rsidRPr="001F72FA">
        <w:rPr>
          <w:rFonts w:cs="Arial"/>
        </w:rPr>
        <w:t xml:space="preserve"> oven burned </w:t>
      </w:r>
      <w:r>
        <w:rPr>
          <w:rFonts w:cs="Arial"/>
        </w:rPr>
        <w:t>thirty two</w:t>
      </w:r>
      <w:r w:rsidRPr="001F72FA">
        <w:rPr>
          <w:rFonts w:cs="Arial"/>
        </w:rPr>
        <w:t xml:space="preserve"> radioactive cones, </w:t>
      </w:r>
      <w:r>
        <w:rPr>
          <w:rFonts w:cs="Arial"/>
        </w:rPr>
        <w:t xml:space="preserve">which were </w:t>
      </w:r>
      <w:r w:rsidRPr="001F72FA">
        <w:rPr>
          <w:rFonts w:cs="Arial"/>
        </w:rPr>
        <w:t>removed from the Booster Radio-Frequency (RF) Cavities</w:t>
      </w:r>
      <w:r>
        <w:rPr>
          <w:rFonts w:cs="Arial"/>
        </w:rPr>
        <w:t xml:space="preserve"> for refurbishing</w:t>
      </w:r>
      <w:r w:rsidRPr="001F72FA">
        <w:rPr>
          <w:rFonts w:cs="Arial"/>
        </w:rPr>
        <w:t>. The Muon-Ring (formerly the Anti</w:t>
      </w:r>
      <w:r w:rsidRPr="001F72FA">
        <w:rPr>
          <w:rFonts w:cs="Arial"/>
        </w:rPr>
        <w:noBreakHyphen/>
        <w:t xml:space="preserve">Proton Area) stack, </w:t>
      </w:r>
      <w:r>
        <w:rPr>
          <w:rFonts w:cs="Arial"/>
        </w:rPr>
        <w:t>did not use any proton beam</w:t>
      </w:r>
      <w:r w:rsidRPr="001F72FA">
        <w:rPr>
          <w:rFonts w:cs="Arial"/>
        </w:rPr>
        <w:t xml:space="preserve">, Main Injector, </w:t>
      </w:r>
      <w:proofErr w:type="spellStart"/>
      <w:r>
        <w:rPr>
          <w:rFonts w:cs="Arial"/>
        </w:rPr>
        <w:t>SeaQuest</w:t>
      </w:r>
      <w:proofErr w:type="spellEnd"/>
      <w:r>
        <w:rPr>
          <w:rFonts w:cs="Arial"/>
        </w:rPr>
        <w:t xml:space="preserve"> experiment (E-906),</w:t>
      </w:r>
      <w:r w:rsidRPr="001F72FA">
        <w:rPr>
          <w:rFonts w:cs="Arial"/>
        </w:rPr>
        <w:t xml:space="preserve"> the </w:t>
      </w:r>
      <w:r>
        <w:rPr>
          <w:rFonts w:cs="Arial"/>
        </w:rPr>
        <w:t>BNB (Booster Neutrino Beamline)</w:t>
      </w:r>
      <w:r w:rsidRPr="001F72FA">
        <w:rPr>
          <w:rFonts w:cs="Arial"/>
        </w:rPr>
        <w:t xml:space="preserve"> and NuMI stacks are estimated to have released a total of </w:t>
      </w:r>
      <w:r>
        <w:rPr>
          <w:rFonts w:cs="Arial"/>
        </w:rPr>
        <w:t>74</w:t>
      </w:r>
      <w:r w:rsidRPr="001F72FA">
        <w:rPr>
          <w:rFonts w:cs="Arial"/>
        </w:rPr>
        <w:t>.</w:t>
      </w:r>
      <w:r>
        <w:rPr>
          <w:rFonts w:cs="Arial"/>
        </w:rPr>
        <w:t>9</w:t>
      </w:r>
      <w:r w:rsidRPr="001F72FA">
        <w:rPr>
          <w:rFonts w:cs="Arial"/>
        </w:rPr>
        <w:t xml:space="preserve"> Curies in </w:t>
      </w:r>
      <w:r>
        <w:rPr>
          <w:rFonts w:cs="Arial"/>
        </w:rPr>
        <w:t>2014.</w:t>
      </w:r>
      <w:r w:rsidRPr="001F72FA">
        <w:rPr>
          <w:rFonts w:cs="Arial"/>
        </w:rPr>
        <w:t xml:space="preserve"> These radioactive air emissions were approximately </w:t>
      </w:r>
      <w:r>
        <w:rPr>
          <w:rFonts w:cs="Arial"/>
        </w:rPr>
        <w:t>3.7</w:t>
      </w:r>
      <w:r w:rsidRPr="001F72FA">
        <w:rPr>
          <w:rFonts w:cs="Arial"/>
        </w:rPr>
        <w:t xml:space="preserve">% of the annual average (2000 Curies) expected from operations as acknowledged in the air pollution permit application on file with the </w:t>
      </w:r>
      <w:r>
        <w:rPr>
          <w:rFonts w:cs="Arial"/>
        </w:rPr>
        <w:t>IEPA.</w:t>
      </w:r>
      <w:r w:rsidRPr="001F72FA">
        <w:rPr>
          <w:rFonts w:cs="Arial"/>
        </w:rPr>
        <w:t xml:space="preserve"> Doses to the public from emissions in </w:t>
      </w:r>
      <w:r>
        <w:rPr>
          <w:rFonts w:cs="Arial"/>
        </w:rPr>
        <w:t>2014</w:t>
      </w:r>
      <w:r w:rsidRPr="001F72FA">
        <w:rPr>
          <w:rFonts w:cs="Arial"/>
        </w:rPr>
        <w:t xml:space="preserve"> continued to be well below the Environmental Protection Agency (EPA) standard of 10 </w:t>
      </w:r>
      <w:proofErr w:type="spellStart"/>
      <w:r w:rsidRPr="001F72FA">
        <w:rPr>
          <w:rFonts w:cs="Arial"/>
        </w:rPr>
        <w:t>mrem</w:t>
      </w:r>
      <w:proofErr w:type="spellEnd"/>
      <w:r w:rsidRPr="001F72FA">
        <w:rPr>
          <w:rFonts w:cs="Arial"/>
        </w:rPr>
        <w:t>/year and also much less than the EPA’s continuous monitor</w:t>
      </w:r>
      <w:r>
        <w:rPr>
          <w:rFonts w:cs="Arial"/>
        </w:rPr>
        <w:t xml:space="preserve">ing threshold of 0.1 </w:t>
      </w:r>
      <w:proofErr w:type="spellStart"/>
      <w:r>
        <w:rPr>
          <w:rFonts w:cs="Arial"/>
        </w:rPr>
        <w:t>mrem</w:t>
      </w:r>
      <w:proofErr w:type="spellEnd"/>
      <w:r>
        <w:rPr>
          <w:rFonts w:cs="Arial"/>
        </w:rPr>
        <w:t>/year.</w:t>
      </w:r>
      <w:r w:rsidRPr="001F72FA">
        <w:rPr>
          <w:rFonts w:cs="Arial"/>
        </w:rPr>
        <w:t xml:space="preserve"> Using the CAP</w:t>
      </w:r>
      <w:r w:rsidRPr="001F72FA">
        <w:rPr>
          <w:rFonts w:cs="Arial"/>
        </w:rPr>
        <w:noBreakHyphen/>
        <w:t>88PC</w:t>
      </w:r>
      <w:r>
        <w:rPr>
          <w:rFonts w:cs="Arial"/>
        </w:rPr>
        <w:t xml:space="preserve"> Version 4.0,</w:t>
      </w:r>
      <w:r w:rsidRPr="001F72FA">
        <w:rPr>
          <w:rFonts w:cs="Arial"/>
        </w:rPr>
        <w:t xml:space="preserve"> Gaussian dispersion model, the highest dose equivalent to any member of the public was estimated to be 0.0</w:t>
      </w:r>
      <w:r>
        <w:rPr>
          <w:rFonts w:cs="Arial"/>
        </w:rPr>
        <w:t>187</w:t>
      </w:r>
      <w:r w:rsidRPr="001F72FA">
        <w:rPr>
          <w:rFonts w:cs="Arial"/>
        </w:rPr>
        <w:t xml:space="preserve"> </w:t>
      </w:r>
      <w:proofErr w:type="spellStart"/>
      <w:r w:rsidRPr="001F72FA">
        <w:rPr>
          <w:rFonts w:cs="Arial"/>
        </w:rPr>
        <w:t>mrem</w:t>
      </w:r>
      <w:proofErr w:type="spellEnd"/>
      <w:r w:rsidRPr="001F72FA">
        <w:rPr>
          <w:rFonts w:cs="Arial"/>
        </w:rPr>
        <w:t>.</w:t>
      </w:r>
    </w:p>
    <w:p w:rsidR="00626184" w:rsidRPr="001F72FA" w:rsidRDefault="00626184" w:rsidP="00626184">
      <w:pPr>
        <w:spacing w:after="240" w:line="240" w:lineRule="atLeast"/>
        <w:jc w:val="both"/>
        <w:rPr>
          <w:rFonts w:cs="Arial"/>
        </w:rPr>
      </w:pPr>
      <w:r w:rsidRPr="001F72FA">
        <w:rPr>
          <w:rFonts w:cs="Arial"/>
        </w:rPr>
        <w:lastRenderedPageBreak/>
        <w:t xml:space="preserve">Fermilab’s </w:t>
      </w:r>
      <w:r>
        <w:rPr>
          <w:rFonts w:cs="Arial"/>
        </w:rPr>
        <w:t>2014</w:t>
      </w:r>
      <w:r w:rsidRPr="001F72FA">
        <w:rPr>
          <w:rFonts w:cs="Arial"/>
        </w:rPr>
        <w:t xml:space="preserve"> Radionuclide Air Emissions Annual Report </w:t>
      </w:r>
      <w:r>
        <w:rPr>
          <w:rFonts w:cs="Arial"/>
        </w:rPr>
        <w:t xml:space="preserve">will be </w:t>
      </w:r>
      <w:r w:rsidRPr="001F72FA">
        <w:rPr>
          <w:rFonts w:cs="Arial"/>
        </w:rPr>
        <w:t>submit</w:t>
      </w:r>
      <w:r>
        <w:rPr>
          <w:rFonts w:cs="Arial"/>
        </w:rPr>
        <w:t>ted to the DOE Fermi Site Office (FSO) in May 2015.</w:t>
      </w:r>
      <w:r w:rsidRPr="001F72FA">
        <w:rPr>
          <w:rFonts w:cs="Arial"/>
        </w:rPr>
        <w:t xml:space="preserve"> The report is distributed by the DOE FSO to the USEPA and IEPA.</w:t>
      </w:r>
    </w:p>
    <w:p w:rsidR="001F72FA" w:rsidRPr="001F72FA" w:rsidRDefault="001F72FA" w:rsidP="001D20F7">
      <w:pPr>
        <w:spacing w:after="240" w:line="240" w:lineRule="atLeast"/>
        <w:jc w:val="both"/>
        <w:rPr>
          <w:rFonts w:cs="Arial"/>
        </w:rPr>
      </w:pPr>
    </w:p>
    <w:p w:rsidR="001F72FA" w:rsidRPr="0084174D" w:rsidRDefault="001F72FA" w:rsidP="001F72FA">
      <w:pPr>
        <w:keepNext/>
        <w:keepLines/>
        <w:spacing w:after="240" w:line="240" w:lineRule="atLeast"/>
        <w:jc w:val="both"/>
        <w:outlineLvl w:val="2"/>
        <w:rPr>
          <w:rFonts w:ascii="Arial Black" w:hAnsi="Arial Black"/>
          <w:spacing w:val="-10"/>
          <w:kern w:val="28"/>
        </w:rPr>
      </w:pPr>
      <w:bookmarkStart w:id="26" w:name="_Toc426529645"/>
      <w:r w:rsidRPr="0084174D">
        <w:rPr>
          <w:rFonts w:ascii="Arial Black" w:hAnsi="Arial Black"/>
          <w:spacing w:val="-10"/>
          <w:kern w:val="28"/>
        </w:rPr>
        <w:t>6.1.2 Non-Radioactive Air Emissions</w:t>
      </w:r>
      <w:bookmarkEnd w:id="26"/>
    </w:p>
    <w:p w:rsidR="001E2E56" w:rsidRPr="001E2E56" w:rsidRDefault="001E2E56" w:rsidP="001E2E56">
      <w:pPr>
        <w:spacing w:after="240" w:line="240" w:lineRule="atLeast"/>
        <w:jc w:val="both"/>
      </w:pPr>
      <w:r w:rsidRPr="001E2E56">
        <w:t>In 201</w:t>
      </w:r>
      <w:r w:rsidR="00626184">
        <w:t>4</w:t>
      </w:r>
      <w:r w:rsidRPr="001E2E56">
        <w:t xml:space="preserve"> Fermilab continued to operate under the ROSS program.  Registration for ROSS is required for facilities such as Fermilab that emit air pollution in very minor amounts.  Even though Fermilab no longer operates under a Lifetime Operating Permit it continues to monitor the sources named in this permit.   Managing the sources according to the former permit allows Fermilab to demonstrate compliance with the conditions under the ROSS program.  This also allows for continuity in the event that Fermilab returns to being a permitted source.  The sources Fermilab continues to monitor include the following:</w:t>
      </w:r>
    </w:p>
    <w:p w:rsidR="001E2E56" w:rsidRPr="001E2E56" w:rsidRDefault="001E2E56" w:rsidP="001E2E56">
      <w:pPr>
        <w:numPr>
          <w:ilvl w:val="0"/>
          <w:numId w:val="7"/>
        </w:numPr>
        <w:spacing w:after="240" w:line="240" w:lineRule="atLeast"/>
        <w:contextualSpacing/>
        <w:jc w:val="both"/>
      </w:pPr>
      <w:r w:rsidRPr="001E2E56">
        <w:t xml:space="preserve">Magnet </w:t>
      </w:r>
      <w:proofErr w:type="spellStart"/>
      <w:r w:rsidRPr="001E2E56">
        <w:t>debonding</w:t>
      </w:r>
      <w:proofErr w:type="spellEnd"/>
      <w:r w:rsidRPr="001E2E56">
        <w:t xml:space="preserve"> oven;</w:t>
      </w:r>
    </w:p>
    <w:p w:rsidR="001E2E56" w:rsidRPr="001E2E56" w:rsidRDefault="001E2E56" w:rsidP="001E2E56">
      <w:pPr>
        <w:spacing w:after="240" w:line="240" w:lineRule="atLeast"/>
        <w:ind w:left="1800"/>
        <w:contextualSpacing/>
        <w:jc w:val="both"/>
      </w:pPr>
    </w:p>
    <w:p w:rsidR="001E2E56" w:rsidRPr="001E2E56" w:rsidRDefault="001E2E56" w:rsidP="001E2E56">
      <w:pPr>
        <w:numPr>
          <w:ilvl w:val="0"/>
          <w:numId w:val="7"/>
        </w:numPr>
        <w:spacing w:after="240" w:line="276" w:lineRule="auto"/>
        <w:jc w:val="both"/>
      </w:pPr>
      <w:r w:rsidRPr="001E2E56">
        <w:t xml:space="preserve">One 15 </w:t>
      </w:r>
      <w:proofErr w:type="spellStart"/>
      <w:r w:rsidRPr="001E2E56">
        <w:t>mmBTU</w:t>
      </w:r>
      <w:proofErr w:type="spellEnd"/>
      <w:r w:rsidRPr="001E2E56">
        <w:t xml:space="preserve"> and one 11.55 </w:t>
      </w:r>
      <w:proofErr w:type="spellStart"/>
      <w:r w:rsidRPr="001E2E56">
        <w:t>mmBTU</w:t>
      </w:r>
      <w:proofErr w:type="spellEnd"/>
      <w:r w:rsidRPr="001E2E56">
        <w:t xml:space="preserve">  natural gas-fired boilers at the Central Utility Building (CUB);</w:t>
      </w:r>
    </w:p>
    <w:p w:rsidR="001E2E56" w:rsidRPr="001E2E56" w:rsidRDefault="001E2E56" w:rsidP="001E2E56">
      <w:pPr>
        <w:numPr>
          <w:ilvl w:val="0"/>
          <w:numId w:val="7"/>
        </w:numPr>
        <w:spacing w:after="240" w:line="276" w:lineRule="auto"/>
        <w:jc w:val="both"/>
      </w:pPr>
      <w:r w:rsidRPr="001E2E56">
        <w:t xml:space="preserve">One 12,000-gallon gasoline storage tank with a stage </w:t>
      </w:r>
      <w:r w:rsidR="00626184">
        <w:t>1 vapor balance system</w:t>
      </w:r>
    </w:p>
    <w:p w:rsidR="001E2E56" w:rsidRPr="001E2E56" w:rsidRDefault="001E2E56" w:rsidP="001E2E56">
      <w:pPr>
        <w:numPr>
          <w:ilvl w:val="0"/>
          <w:numId w:val="7"/>
        </w:numPr>
        <w:spacing w:after="240" w:line="276" w:lineRule="auto"/>
        <w:jc w:val="both"/>
      </w:pPr>
      <w:r w:rsidRPr="001E2E56">
        <w:t>Various radionuclide emission stacks;</w:t>
      </w:r>
    </w:p>
    <w:p w:rsidR="001E2E56" w:rsidRPr="001E2E56" w:rsidRDefault="001E2E56" w:rsidP="001E2E56">
      <w:pPr>
        <w:numPr>
          <w:ilvl w:val="0"/>
          <w:numId w:val="7"/>
        </w:numPr>
        <w:spacing w:after="240" w:line="276" w:lineRule="auto"/>
        <w:jc w:val="both"/>
      </w:pPr>
      <w:r w:rsidRPr="001E2E56">
        <w:t xml:space="preserve">2,200 horsepower standby diesel generator; </w:t>
      </w:r>
    </w:p>
    <w:p w:rsidR="001E2E56" w:rsidRPr="001E2E56" w:rsidRDefault="001E2E56" w:rsidP="001E2E56">
      <w:pPr>
        <w:numPr>
          <w:ilvl w:val="0"/>
          <w:numId w:val="7"/>
        </w:numPr>
        <w:tabs>
          <w:tab w:val="left" w:pos="180"/>
          <w:tab w:val="left" w:pos="1080"/>
        </w:tabs>
        <w:spacing w:after="240"/>
        <w:jc w:val="both"/>
      </w:pPr>
      <w:r w:rsidRPr="001E2E56">
        <w:t>Cavity Processing Lab (CPL).</w:t>
      </w:r>
    </w:p>
    <w:p w:rsidR="001F72FA" w:rsidRPr="00FA3F6E" w:rsidRDefault="00626184" w:rsidP="007111D6">
      <w:pPr>
        <w:pStyle w:val="BodyText"/>
        <w:tabs>
          <w:tab w:val="left" w:pos="180"/>
          <w:tab w:val="left" w:pos="1080"/>
        </w:tabs>
        <w:spacing w:line="240" w:lineRule="auto"/>
      </w:pPr>
      <w:r>
        <w:t xml:space="preserve">The Illinois Pollution Control Board adopted rule amendments to the Stage 2 vapor recovery equipment program in December, 2013 (35 IAC 218.586).  The amendments required existing gasoline dispensing facilities (such as Fermilab’s Fuel Service Center) to decommission such equipment by December 31, 2016.  Fermilab’s stage 2 vapor balance system for the gasoline storage tank dispensing system was decommissioned in August, 2014.  Notifications were sent to the Illinois EPA Bureau of Air as required.  </w:t>
      </w:r>
    </w:p>
    <w:p w:rsidR="006E5FBA" w:rsidRPr="0029394F" w:rsidRDefault="000368D1" w:rsidP="006F195B">
      <w:pPr>
        <w:pStyle w:val="Heading2"/>
        <w:jc w:val="both"/>
        <w:rPr>
          <w:bCs/>
        </w:rPr>
      </w:pPr>
      <w:bookmarkStart w:id="27" w:name="_Toc426529646"/>
      <w:r w:rsidRPr="0029394F">
        <w:t>6</w:t>
      </w:r>
      <w:r w:rsidR="00E40625" w:rsidRPr="0029394F">
        <w:t>.2 Penetrating Radiation</w:t>
      </w:r>
      <w:bookmarkEnd w:id="27"/>
    </w:p>
    <w:p w:rsidR="00626184" w:rsidRPr="006E5FBA" w:rsidRDefault="00626184" w:rsidP="00626184">
      <w:pPr>
        <w:spacing w:after="240" w:line="240" w:lineRule="atLeast"/>
        <w:ind w:left="0"/>
        <w:jc w:val="both"/>
        <w:rPr>
          <w:bCs/>
        </w:rPr>
      </w:pPr>
      <w:r w:rsidRPr="006E5FBA">
        <w:rPr>
          <w:bCs/>
        </w:rPr>
        <w:t>Operation of the Fermilab accelerator and associated beamlines produce</w:t>
      </w:r>
      <w:r>
        <w:rPr>
          <w:bCs/>
        </w:rPr>
        <w:t>s</w:t>
      </w:r>
      <w:r w:rsidRPr="006E5FBA">
        <w:rPr>
          <w:bCs/>
        </w:rPr>
        <w:t xml:space="preserve"> ionizing radiat</w:t>
      </w:r>
      <w:r>
        <w:rPr>
          <w:bCs/>
        </w:rPr>
        <w:t>ion such as neutrons and muons.</w:t>
      </w:r>
      <w:r w:rsidRPr="006E5FBA">
        <w:rPr>
          <w:bCs/>
        </w:rPr>
        <w:t xml:space="preserve"> Beamlines and experiments are designed so that most of the radiation is absorbed before reaching the gr</w:t>
      </w:r>
      <w:r>
        <w:rPr>
          <w:bCs/>
        </w:rPr>
        <w:t>ound surface and outdoor areas.</w:t>
      </w:r>
      <w:r w:rsidRPr="006E5FBA">
        <w:rPr>
          <w:bCs/>
        </w:rPr>
        <w:t xml:space="preserve"> The neutrons </w:t>
      </w:r>
      <w:r>
        <w:rPr>
          <w:bCs/>
        </w:rPr>
        <w:t>are absorbed by shielding.</w:t>
      </w:r>
      <w:r w:rsidRPr="006E5FBA">
        <w:rPr>
          <w:bCs/>
        </w:rPr>
        <w:t xml:space="preserve"> The remaining radiation that emerges above the surface presents a very smal</w:t>
      </w:r>
      <w:r>
        <w:rPr>
          <w:bCs/>
        </w:rPr>
        <w:t>l potential for radiation dose.</w:t>
      </w:r>
      <w:r w:rsidRPr="006E5FBA">
        <w:rPr>
          <w:bCs/>
        </w:rPr>
        <w:t xml:space="preserve"> Small muon fields have been measured in conjunction with the operation of the Fixe</w:t>
      </w:r>
      <w:r>
        <w:rPr>
          <w:bCs/>
        </w:rPr>
        <w:t>d Target beamlines in the past.</w:t>
      </w:r>
      <w:r w:rsidRPr="006E5FBA">
        <w:rPr>
          <w:bCs/>
        </w:rPr>
        <w:t xml:space="preserve"> Only </w:t>
      </w:r>
      <w:r>
        <w:rPr>
          <w:bCs/>
        </w:rPr>
        <w:t>the Meson Test (</w:t>
      </w:r>
      <w:proofErr w:type="spellStart"/>
      <w:r>
        <w:rPr>
          <w:bCs/>
        </w:rPr>
        <w:t>MTest</w:t>
      </w:r>
      <w:proofErr w:type="spellEnd"/>
      <w:r>
        <w:rPr>
          <w:bCs/>
        </w:rPr>
        <w:t>), Meson Center (</w:t>
      </w:r>
      <w:proofErr w:type="spellStart"/>
      <w:r>
        <w:rPr>
          <w:bCs/>
        </w:rPr>
        <w:t>MCenter</w:t>
      </w:r>
      <w:proofErr w:type="spellEnd"/>
      <w:r>
        <w:rPr>
          <w:bCs/>
        </w:rPr>
        <w:t xml:space="preserve">) </w:t>
      </w:r>
      <w:r w:rsidRPr="006E5FBA">
        <w:rPr>
          <w:bCs/>
        </w:rPr>
        <w:t>and Neutrino Muon beamline</w:t>
      </w:r>
      <w:r>
        <w:rPr>
          <w:bCs/>
        </w:rPr>
        <w:t>s</w:t>
      </w:r>
      <w:r w:rsidRPr="006E5FBA">
        <w:rPr>
          <w:bCs/>
        </w:rPr>
        <w:t xml:space="preserve"> (E906) operated in </w:t>
      </w:r>
      <w:r>
        <w:rPr>
          <w:bCs/>
        </w:rPr>
        <w:t>2014</w:t>
      </w:r>
      <w:r w:rsidRPr="006E5FBA">
        <w:rPr>
          <w:bCs/>
        </w:rPr>
        <w:t xml:space="preserve">. The maximum muon dose offsite due to the operation of </w:t>
      </w:r>
      <w:proofErr w:type="spellStart"/>
      <w:r w:rsidRPr="006E5FBA">
        <w:rPr>
          <w:bCs/>
        </w:rPr>
        <w:t>MTest</w:t>
      </w:r>
      <w:proofErr w:type="spellEnd"/>
      <w:r>
        <w:rPr>
          <w:bCs/>
        </w:rPr>
        <w:t xml:space="preserve">, </w:t>
      </w:r>
      <w:proofErr w:type="spellStart"/>
      <w:r>
        <w:rPr>
          <w:bCs/>
        </w:rPr>
        <w:t>MCenter</w:t>
      </w:r>
      <w:proofErr w:type="spellEnd"/>
      <w:r w:rsidRPr="006E5FBA">
        <w:rPr>
          <w:bCs/>
        </w:rPr>
        <w:t xml:space="preserve"> and E-906 was 0.0</w:t>
      </w:r>
      <w:r>
        <w:rPr>
          <w:bCs/>
        </w:rPr>
        <w:t>99</w:t>
      </w:r>
      <w:r w:rsidRPr="006E5FBA">
        <w:rPr>
          <w:bCs/>
          <w:color w:val="FF0000"/>
        </w:rPr>
        <w:t xml:space="preserve"> </w:t>
      </w:r>
      <w:proofErr w:type="spellStart"/>
      <w:r w:rsidRPr="006E5FBA">
        <w:rPr>
          <w:bCs/>
        </w:rPr>
        <w:t>mrems</w:t>
      </w:r>
      <w:proofErr w:type="spellEnd"/>
      <w:r w:rsidRPr="006E5FBA">
        <w:rPr>
          <w:bCs/>
        </w:rPr>
        <w:t xml:space="preserve">. Both the </w:t>
      </w:r>
      <w:r>
        <w:rPr>
          <w:bCs/>
        </w:rPr>
        <w:t>BNB</w:t>
      </w:r>
      <w:r w:rsidRPr="006E5FBA">
        <w:rPr>
          <w:bCs/>
        </w:rPr>
        <w:t xml:space="preserve"> and NuMI experiments have the potential to produce measurable muon flux; however, the 8 GeV energy protons used in </w:t>
      </w:r>
      <w:r>
        <w:rPr>
          <w:bCs/>
        </w:rPr>
        <w:t>BNB</w:t>
      </w:r>
      <w:r w:rsidRPr="006E5FBA">
        <w:rPr>
          <w:bCs/>
        </w:rPr>
        <w:t xml:space="preserve"> are too low in energy to produce muons that can escape the bulk shield</w:t>
      </w:r>
      <w:r>
        <w:rPr>
          <w:bCs/>
        </w:rPr>
        <w:t>ing surrounding the experiment.</w:t>
      </w:r>
      <w:r w:rsidRPr="006E5FBA">
        <w:rPr>
          <w:bCs/>
        </w:rPr>
        <w:t xml:space="preserve"> The NuMI beamline bends the beam down so that the muons produced are absorbed deep underground as part of the beamline design.</w:t>
      </w:r>
    </w:p>
    <w:p w:rsidR="00626184" w:rsidRPr="00D92830" w:rsidRDefault="00626184" w:rsidP="00626184">
      <w:pPr>
        <w:spacing w:after="240" w:line="240" w:lineRule="atLeast"/>
        <w:ind w:left="0"/>
        <w:jc w:val="both"/>
        <w:rPr>
          <w:bCs/>
        </w:rPr>
      </w:pPr>
      <w:r w:rsidRPr="006E5FBA">
        <w:rPr>
          <w:bCs/>
        </w:rPr>
        <w:t xml:space="preserve">Another potential source of exposure to ionizing radiation is the centralized radioactive materials storage area referred to as the Railhead. This source of penetrating radiation was monitored continuously in </w:t>
      </w:r>
      <w:r>
        <w:rPr>
          <w:bCs/>
        </w:rPr>
        <w:t>2014</w:t>
      </w:r>
      <w:r w:rsidRPr="006E5FBA">
        <w:rPr>
          <w:bCs/>
        </w:rPr>
        <w:t xml:space="preserve"> by a large ionization chamber located in the Railhead colloquially called a ‘Hippo.’ The Hippo measurements are supplemented</w:t>
      </w:r>
      <w:r>
        <w:rPr>
          <w:bCs/>
        </w:rPr>
        <w:t xml:space="preserve"> by a number of environmental dosimeters placed around the storage area and</w:t>
      </w:r>
      <w:r w:rsidRPr="006E5FBA">
        <w:rPr>
          <w:bCs/>
        </w:rPr>
        <w:t xml:space="preserve"> by periodic onsite surveys. Based on measurements made, it is estimated that radioactive materials stored at the Railhead contributed no directly measureable equivalent</w:t>
      </w:r>
      <w:r>
        <w:rPr>
          <w:bCs/>
        </w:rPr>
        <w:t xml:space="preserve"> dose</w:t>
      </w:r>
      <w:r w:rsidRPr="006E5FBA">
        <w:rPr>
          <w:bCs/>
        </w:rPr>
        <w:t xml:space="preserve"> at the site boundary in </w:t>
      </w:r>
      <w:r>
        <w:rPr>
          <w:bCs/>
        </w:rPr>
        <w:t>2014</w:t>
      </w:r>
      <w:r w:rsidRPr="006E5FBA">
        <w:rPr>
          <w:bCs/>
        </w:rPr>
        <w:t xml:space="preserve">. The maximum penetrating radiation equivalent dose in </w:t>
      </w:r>
      <w:r>
        <w:rPr>
          <w:bCs/>
        </w:rPr>
        <w:t>2014</w:t>
      </w:r>
      <w:r w:rsidRPr="006E5FBA">
        <w:rPr>
          <w:bCs/>
        </w:rPr>
        <w:t xml:space="preserve"> to an individual at the nearest offsite house was thus estimated to be less than 0.0</w:t>
      </w:r>
      <w:r>
        <w:rPr>
          <w:bCs/>
        </w:rPr>
        <w:t>99</w:t>
      </w:r>
      <w:r w:rsidRPr="006E5FBA">
        <w:rPr>
          <w:bCs/>
        </w:rPr>
        <w:t xml:space="preserve"> </w:t>
      </w:r>
      <w:proofErr w:type="spellStart"/>
      <w:r w:rsidRPr="006E5FBA">
        <w:rPr>
          <w:bCs/>
        </w:rPr>
        <w:t>mrems</w:t>
      </w:r>
      <w:proofErr w:type="spellEnd"/>
      <w:r>
        <w:rPr>
          <w:bCs/>
        </w:rPr>
        <w:t>,</w:t>
      </w:r>
      <w:r w:rsidRPr="006E5FBA">
        <w:rPr>
          <w:bCs/>
        </w:rPr>
        <w:t xml:space="preserve"> and not directly measureable.</w:t>
      </w:r>
    </w:p>
    <w:p w:rsidR="00D92830" w:rsidRPr="00D92830" w:rsidRDefault="00D92830" w:rsidP="001D20F7">
      <w:pPr>
        <w:spacing w:after="240" w:line="240" w:lineRule="atLeast"/>
        <w:ind w:left="0"/>
        <w:jc w:val="both"/>
        <w:rPr>
          <w:bCs/>
        </w:rPr>
      </w:pPr>
    </w:p>
    <w:p w:rsidR="00E40625" w:rsidRPr="0029394F" w:rsidRDefault="000368D1" w:rsidP="006F195B">
      <w:pPr>
        <w:pStyle w:val="Heading2"/>
        <w:jc w:val="both"/>
      </w:pPr>
      <w:bookmarkStart w:id="28" w:name="_Toc426529647"/>
      <w:r w:rsidRPr="0029394F">
        <w:t>6</w:t>
      </w:r>
      <w:r w:rsidR="00E40625" w:rsidRPr="0029394F">
        <w:t xml:space="preserve">.3 </w:t>
      </w:r>
      <w:r w:rsidR="00D619A0" w:rsidRPr="0029394F">
        <w:t xml:space="preserve">Surface </w:t>
      </w:r>
      <w:r w:rsidR="00E40625" w:rsidRPr="0029394F">
        <w:t>Water Quality</w:t>
      </w:r>
      <w:r w:rsidR="00BF0F9C" w:rsidRPr="0029394F">
        <w:t xml:space="preserve"> (except TWG summary)</w:t>
      </w:r>
      <w:bookmarkEnd w:id="28"/>
    </w:p>
    <w:p w:rsidR="009B3195" w:rsidRPr="00880604" w:rsidRDefault="009B3195" w:rsidP="009B3195">
      <w:pPr>
        <w:spacing w:after="240" w:line="240" w:lineRule="atLeast"/>
        <w:ind w:left="0"/>
        <w:jc w:val="both"/>
        <w:rPr>
          <w:rFonts w:cs="Arial"/>
        </w:rPr>
      </w:pPr>
      <w:r w:rsidRPr="00880604">
        <w:rPr>
          <w:rFonts w:cs="Arial"/>
        </w:rPr>
        <w:t xml:space="preserve">Fermilab releases minor amounts of contaminants to surface water bodies.  </w:t>
      </w:r>
      <w:r>
        <w:rPr>
          <w:rFonts w:cs="Arial"/>
        </w:rPr>
        <w:t xml:space="preserve"> As part of the </w:t>
      </w:r>
      <w:r w:rsidRPr="00880604">
        <w:rPr>
          <w:rFonts w:cs="Arial"/>
        </w:rPr>
        <w:t>manage</w:t>
      </w:r>
      <w:r>
        <w:rPr>
          <w:rFonts w:cs="Arial"/>
        </w:rPr>
        <w:t>ment of</w:t>
      </w:r>
      <w:r w:rsidRPr="00880604">
        <w:rPr>
          <w:rFonts w:cs="Arial"/>
        </w:rPr>
        <w:t xml:space="preserve"> these discharges the laboratory holds National Pollutant Discharge Elimination System (NPDES) permits that govern releases to surface water from stormwater runoff, cooling water, effluents from various onsite construction projects, and pesticide applications.  In addition to monitoring for the physical and chemical parameters required by NPDES permits, samples of surface water are taken monthly from selected water bodies and analyzed for radionuclides.  These surface waters are sampled for radionuclides based upon their potential for contamination. Fermilab Environment, Safety, and Health Manual Chapter</w:t>
      </w:r>
      <w:r>
        <w:rPr>
          <w:rFonts w:cs="Arial"/>
        </w:rPr>
        <w:t xml:space="preserve"> 8026 Surface Water Protection describes regulatory aspects and responsibilities of the surface water program.</w:t>
      </w:r>
    </w:p>
    <w:p w:rsidR="007111D6" w:rsidRPr="00565D07" w:rsidRDefault="009B3195" w:rsidP="006F195B">
      <w:pPr>
        <w:spacing w:after="240" w:line="240" w:lineRule="atLeast"/>
        <w:ind w:left="0"/>
        <w:jc w:val="both"/>
        <w:rPr>
          <w:rFonts w:cs="Arial"/>
        </w:rPr>
      </w:pPr>
      <w:r w:rsidRPr="00880604">
        <w:rPr>
          <w:rFonts w:cs="Arial"/>
        </w:rPr>
        <w:t>Aqueous process wastewaters are directed to sanitary sewers and ultimately discharged to publicly owned treatment works (POTWs) in Batavia and Warrenville</w:t>
      </w:r>
      <w:r>
        <w:rPr>
          <w:rFonts w:cs="Arial"/>
        </w:rPr>
        <w:t>/Naperville</w:t>
      </w:r>
      <w:r w:rsidRPr="00880604">
        <w:rPr>
          <w:rFonts w:cs="Arial"/>
        </w:rPr>
        <w:t xml:space="preserve">.  Wastewater discharges are controlled by criteria described in </w:t>
      </w:r>
      <w:r>
        <w:rPr>
          <w:rFonts w:cs="Arial"/>
        </w:rPr>
        <w:t>FESHM</w:t>
      </w:r>
      <w:r w:rsidRPr="00880604">
        <w:rPr>
          <w:rFonts w:cs="Arial"/>
        </w:rPr>
        <w:t xml:space="preserve"> 8025</w:t>
      </w:r>
      <w:r>
        <w:rPr>
          <w:rFonts w:cs="Arial"/>
        </w:rPr>
        <w:t xml:space="preserve"> Wastewater Discharge to Sanitary Sewers.</w:t>
      </w:r>
    </w:p>
    <w:p w:rsidR="00E40625" w:rsidRPr="00823C37" w:rsidRDefault="000368D1" w:rsidP="006F195B">
      <w:pPr>
        <w:pStyle w:val="Heading3"/>
        <w:jc w:val="both"/>
      </w:pPr>
      <w:bookmarkStart w:id="29" w:name="_Toc426529648"/>
      <w:r w:rsidRPr="00823C37">
        <w:t>6</w:t>
      </w:r>
      <w:r w:rsidR="00E40625" w:rsidRPr="00823C37">
        <w:t xml:space="preserve">.3.1 </w:t>
      </w:r>
      <w:r w:rsidR="003C0F5A" w:rsidRPr="00823C37">
        <w:t>Cooling Water System</w:t>
      </w:r>
      <w:bookmarkEnd w:id="29"/>
    </w:p>
    <w:p w:rsidR="00880604" w:rsidRPr="00880604" w:rsidRDefault="00880604" w:rsidP="006F195B">
      <w:pPr>
        <w:spacing w:after="240" w:line="240" w:lineRule="atLeast"/>
        <w:jc w:val="both"/>
      </w:pPr>
      <w:r w:rsidRPr="00880604">
        <w:t xml:space="preserve">Fermilab requires large amounts of non-contact cooling water that is circulated through various surface water bodies to </w:t>
      </w:r>
      <w:r w:rsidR="00823C37">
        <w:t>dissipate</w:t>
      </w:r>
      <w:r w:rsidRPr="00880604">
        <w:t xml:space="preserve"> heat.  Fermilab’s site</w:t>
      </w:r>
      <w:r w:rsidR="002E0A48">
        <w:t>-</w:t>
      </w:r>
      <w:r w:rsidRPr="00880604">
        <w:t xml:space="preserve">specific NPDES permit authorizes the treatment of the Industrial Cooling Water system (ICW) and the discharge of commingled cooling water and storm water runoff to surface waters through outfalls to Kress, Indian and Ferry Creeks.  The outfalls are points that designate the location at which cooling water becomes Waters of the State.    </w:t>
      </w:r>
      <w:r w:rsidR="002E0A48">
        <w:t xml:space="preserve">A </w:t>
      </w:r>
      <w:r w:rsidRPr="00880604">
        <w:t>Storm Water Pollution Prevention Plan required by this NPDES permit covers storm water discharges into cooling waters from designated solid waste management units (SWMUs), industrial activity areas, and services support areas.  (Also see Section 7.12 National Pollutant Discharge Elimination System.)</w:t>
      </w:r>
    </w:p>
    <w:p w:rsidR="001F72FA" w:rsidRDefault="00880604" w:rsidP="007111D6">
      <w:pPr>
        <w:jc w:val="both"/>
        <w:rPr>
          <w:iCs/>
        </w:rPr>
      </w:pPr>
      <w:r w:rsidRPr="00880604">
        <w:rPr>
          <w:rFonts w:hint="eastAsia"/>
          <w:iCs/>
        </w:rPr>
        <w:t>In 201</w:t>
      </w:r>
      <w:r w:rsidR="009B3195">
        <w:rPr>
          <w:iCs/>
        </w:rPr>
        <w:t>4</w:t>
      </w:r>
      <w:r w:rsidRPr="00880604">
        <w:rPr>
          <w:rFonts w:hint="eastAsia"/>
          <w:iCs/>
        </w:rPr>
        <w:t xml:space="preserve"> Fermilab contracted a state-licensed applicator to treat </w:t>
      </w:r>
      <w:r w:rsidR="00D56FF1">
        <w:rPr>
          <w:iCs/>
        </w:rPr>
        <w:t xml:space="preserve">a limited number of </w:t>
      </w:r>
      <w:r w:rsidRPr="00880604">
        <w:rPr>
          <w:rFonts w:hint="eastAsia"/>
          <w:iCs/>
        </w:rPr>
        <w:t>ponds for algae and pond weeds</w:t>
      </w:r>
      <w:r w:rsidR="005D54CC" w:rsidRPr="005D54CC">
        <w:rPr>
          <w:iCs/>
        </w:rPr>
        <w:t xml:space="preserve"> </w:t>
      </w:r>
      <w:r w:rsidR="005D54CC">
        <w:rPr>
          <w:iCs/>
        </w:rPr>
        <w:t>by applying herbicide</w:t>
      </w:r>
      <w:r w:rsidRPr="00880604">
        <w:rPr>
          <w:rFonts w:hint="eastAsia"/>
          <w:iCs/>
        </w:rPr>
        <w:t xml:space="preserve">.  </w:t>
      </w:r>
      <w:r w:rsidR="005D54CC">
        <w:rPr>
          <w:iCs/>
        </w:rPr>
        <w:t>An</w:t>
      </w:r>
      <w:r w:rsidRPr="00880604">
        <w:rPr>
          <w:rFonts w:hint="eastAsia"/>
          <w:iCs/>
        </w:rPr>
        <w:t xml:space="preserve"> ongoing zebra mussel infestation of the </w:t>
      </w:r>
      <w:r w:rsidR="002E0A48">
        <w:rPr>
          <w:iCs/>
        </w:rPr>
        <w:t>ICW s</w:t>
      </w:r>
      <w:r w:rsidRPr="00880604">
        <w:rPr>
          <w:rFonts w:hint="eastAsia"/>
          <w:iCs/>
        </w:rPr>
        <w:t xml:space="preserve">ystem pipes and pumping infrastructure was managed by using a </w:t>
      </w:r>
      <w:r w:rsidRPr="00880604">
        <w:rPr>
          <w:iCs/>
        </w:rPr>
        <w:t xml:space="preserve">continuous feed of </w:t>
      </w:r>
      <w:proofErr w:type="spellStart"/>
      <w:r w:rsidRPr="00880604">
        <w:rPr>
          <w:iCs/>
        </w:rPr>
        <w:t>NaClO</w:t>
      </w:r>
      <w:proofErr w:type="spellEnd"/>
      <w:r w:rsidRPr="00880604">
        <w:rPr>
          <w:iCs/>
        </w:rPr>
        <w:t xml:space="preserve"> (sodium hypochlorite) solution at the Casey’s Pond intake to the ICW system.</w:t>
      </w:r>
    </w:p>
    <w:p w:rsidR="007111D6" w:rsidRDefault="007111D6" w:rsidP="007111D6">
      <w:pPr>
        <w:jc w:val="both"/>
      </w:pPr>
    </w:p>
    <w:p w:rsidR="008F758F" w:rsidRDefault="000368D1" w:rsidP="008F758F">
      <w:pPr>
        <w:pStyle w:val="Heading3"/>
        <w:jc w:val="both"/>
      </w:pPr>
      <w:bookmarkStart w:id="30" w:name="_Toc426529649"/>
      <w:r w:rsidRPr="00823C37">
        <w:t>6</w:t>
      </w:r>
      <w:r w:rsidR="00E40625" w:rsidRPr="00823C37">
        <w:t>.3.2 Non-Radioactive Releases to Surface Water</w:t>
      </w:r>
      <w:bookmarkEnd w:id="30"/>
    </w:p>
    <w:p w:rsidR="008F758F" w:rsidRDefault="008F758F" w:rsidP="006F195B">
      <w:pPr>
        <w:spacing w:after="240"/>
        <w:jc w:val="both"/>
      </w:pPr>
      <w:r w:rsidRPr="0091335E">
        <w:t>Monitoring for non-radiological chemical constituents in surface water was limited to NPDES permit parameters (temperature, flow, pH, and chlorine) this year.  Discharge Monitoring Reports for six different outfalls were submitted monthly to the IEPA.</w:t>
      </w:r>
    </w:p>
    <w:p w:rsidR="008F758F" w:rsidRDefault="008F758F" w:rsidP="006F195B">
      <w:pPr>
        <w:spacing w:after="240"/>
        <w:jc w:val="both"/>
      </w:pPr>
      <w:r w:rsidRPr="0091335E">
        <w:t>In 201</w:t>
      </w:r>
      <w:r>
        <w:t>4</w:t>
      </w:r>
      <w:r w:rsidRPr="0091335E">
        <w:t xml:space="preserve"> there were </w:t>
      </w:r>
      <w:r>
        <w:t>two</w:t>
      </w:r>
      <w:r w:rsidRPr="0091335E">
        <w:t xml:space="preserve"> exceedances</w:t>
      </w:r>
      <w:r>
        <w:t xml:space="preserve"> of the NPDES permit for</w:t>
      </w:r>
      <w:r w:rsidRPr="0091335E">
        <w:t xml:space="preserve"> </w:t>
      </w:r>
      <w:r>
        <w:t xml:space="preserve">chlorine </w:t>
      </w:r>
      <w:r w:rsidRPr="0091335E">
        <w:t>discharge</w:t>
      </w:r>
      <w:r>
        <w:t>s to Kress Creek</w:t>
      </w:r>
      <w:r w:rsidRPr="0091335E">
        <w:t>.</w:t>
      </w:r>
      <w:r>
        <w:t xml:space="preserve"> Following the first exceedance in January 2014, a total chlorine analyzer was installed in conjunction with an existing free chlorine analyzer at Casey’s pond pump house to provide additional data for chlorine injection into the ICW system. The second exceedance was due to incorrect amounts of chlorine being injected because the analyzers’ reagents had been inadvertently switched.  To further reduce the possibility of exceeding our discharge limits a plan is being developed for a dechlorination system in proximity to the Kress Creek outfall.</w:t>
      </w:r>
    </w:p>
    <w:p w:rsidR="00E40625" w:rsidRPr="00DD1A6A" w:rsidRDefault="000368D1" w:rsidP="006F195B">
      <w:pPr>
        <w:pStyle w:val="Heading3"/>
        <w:jc w:val="both"/>
      </w:pPr>
      <w:bookmarkStart w:id="31" w:name="_Toc426529650"/>
      <w:r w:rsidRPr="00DD1A6A">
        <w:t>6</w:t>
      </w:r>
      <w:r w:rsidR="00E40625" w:rsidRPr="00DD1A6A">
        <w:t>.3</w:t>
      </w:r>
      <w:r w:rsidR="003C0F5A" w:rsidRPr="00DD1A6A">
        <w:t>.3 Radioactive Releases to Surface Water</w:t>
      </w:r>
      <w:bookmarkEnd w:id="31"/>
    </w:p>
    <w:p w:rsidR="00880604" w:rsidRDefault="00880604" w:rsidP="006F195B">
      <w:pPr>
        <w:spacing w:after="240"/>
        <w:jc w:val="both"/>
      </w:pPr>
      <w:r w:rsidRPr="00880604">
        <w:t xml:space="preserve">Numerous sumps collect and drain water from building footings and from under beamline tunnels in the </w:t>
      </w:r>
      <w:proofErr w:type="spellStart"/>
      <w:r w:rsidRPr="00880604">
        <w:t>Tevatron</w:t>
      </w:r>
      <w:proofErr w:type="spellEnd"/>
      <w:r w:rsidRPr="00880604">
        <w:t xml:space="preserve">, Main Injector, and the Experimental Areas.  Water collected by these sumps often contains detectable concentrations of radionuclides (primarily tritium, </w:t>
      </w:r>
      <w:r w:rsidRPr="00880604">
        <w:rPr>
          <w:rFonts w:ascii="Helvetica" w:hAnsi="Helvetica"/>
          <w:vertAlign w:val="superscript"/>
        </w:rPr>
        <w:t>3</w:t>
      </w:r>
      <w:r w:rsidRPr="00880604">
        <w:t>H) that have been leached by rainwater from radioactive soil near beam targets and absorbers or released accidentally to sumps due to losses from beamline cooling water systems.  These sumps discharge to ditches and ponds onsite.</w:t>
      </w:r>
    </w:p>
    <w:p w:rsidR="006A20A3" w:rsidRPr="00880604" w:rsidRDefault="006A20A3" w:rsidP="006F195B">
      <w:pPr>
        <w:spacing w:after="240"/>
        <w:jc w:val="both"/>
      </w:pPr>
    </w:p>
    <w:p w:rsidR="00880604" w:rsidRPr="00880604" w:rsidRDefault="00A35491" w:rsidP="006F195B">
      <w:pPr>
        <w:spacing w:after="240"/>
        <w:jc w:val="both"/>
      </w:pPr>
      <w:r>
        <w:lastRenderedPageBreak/>
        <w:t xml:space="preserve">In addition, </w:t>
      </w:r>
      <w:r w:rsidR="00880604" w:rsidRPr="00880604">
        <w:t>water is also collected from the NuMI tunnel system. NuMI</w:t>
      </w:r>
      <w:r>
        <w:t xml:space="preserve"> tunnel</w:t>
      </w:r>
      <w:r w:rsidR="00880604" w:rsidRPr="00880604">
        <w:t xml:space="preserve"> water contains measurable concentrations of tritium and the primary source of the tritium comes from </w:t>
      </w:r>
      <w:r w:rsidR="00DD1A6A">
        <w:t xml:space="preserve">water contact with </w:t>
      </w:r>
      <w:r w:rsidR="00880604" w:rsidRPr="00880604">
        <w:t xml:space="preserve">components within the tunnel.  The water that is collected consists primarily of groundwater that has infiltrated into the tunnel.  This high-quality water is pumped from the tunnel and directed into the ICW system where it is used primarily for make-up water for the </w:t>
      </w:r>
      <w:r>
        <w:t>Central Utilities Building (</w:t>
      </w:r>
      <w:r w:rsidR="00880604" w:rsidRPr="00880604">
        <w:t>CUB</w:t>
      </w:r>
      <w:r>
        <w:t>)</w:t>
      </w:r>
      <w:r w:rsidR="00880604" w:rsidRPr="00880604">
        <w:t xml:space="preserve"> cooling towers. </w:t>
      </w:r>
      <w:r>
        <w:t xml:space="preserve"> </w:t>
      </w:r>
      <w:r w:rsidR="00880604" w:rsidRPr="00880604">
        <w:t xml:space="preserve">Excess NuMI water and effluent from the towers is directed to the ICW pond system. </w:t>
      </w:r>
    </w:p>
    <w:p w:rsidR="00B633A3" w:rsidRPr="00502E65" w:rsidRDefault="00880604" w:rsidP="006F195B">
      <w:pPr>
        <w:spacing w:after="240" w:line="240" w:lineRule="atLeast"/>
        <w:jc w:val="both"/>
      </w:pPr>
      <w:r w:rsidRPr="00880604">
        <w:t xml:space="preserve">Fermilab continued to discharge measureable concentrations of tritium </w:t>
      </w:r>
      <w:r w:rsidR="00D35687">
        <w:t>to</w:t>
      </w:r>
      <w:r w:rsidRPr="00880604">
        <w:t xml:space="preserve"> surface waters off site. </w:t>
      </w:r>
      <w:r w:rsidR="008D26FB" w:rsidRPr="00880604">
        <w:t xml:space="preserve">The concentrations measured were well below </w:t>
      </w:r>
      <w:r w:rsidR="008D26FB">
        <w:t xml:space="preserve">the </w:t>
      </w:r>
      <w:r w:rsidR="008D26FB" w:rsidRPr="00880604">
        <w:t>DOE Order 458.1 Derived Concentration Standard of</w:t>
      </w:r>
      <w:r w:rsidR="00406173">
        <w:t xml:space="preserve"> </w:t>
      </w:r>
      <w:r w:rsidR="008D26FB" w:rsidRPr="00880604">
        <w:t xml:space="preserve">1,900 pCi/ml.  </w:t>
      </w:r>
      <w:r w:rsidRPr="00880604">
        <w:t>Releases depend on pond levels and the operational mode of the accelerator complex.  Fermilab’s site</w:t>
      </w:r>
      <w:r w:rsidR="00DD1A6A">
        <w:t>-</w:t>
      </w:r>
      <w:r w:rsidRPr="00880604">
        <w:t>specific NPDES permit includes monitoring requirements for tritium at all six outfalls</w:t>
      </w:r>
      <w:r w:rsidRPr="008E3346">
        <w:t>.</w:t>
      </w:r>
      <w:r w:rsidR="008D26FB" w:rsidRPr="008E3346">
        <w:t xml:space="preserve"> </w:t>
      </w:r>
      <w:r w:rsidRPr="008E3346">
        <w:t xml:space="preserve"> </w:t>
      </w:r>
      <w:r w:rsidR="00AA7210" w:rsidRPr="008E3346">
        <w:t>In 2014 for the first time, measurable tritium (above 1 pCi/ml) was discharged to Kress Creek at the outfall</w:t>
      </w:r>
      <w:r w:rsidR="00AA7210">
        <w:rPr>
          <w:color w:val="00B050"/>
        </w:rPr>
        <w:t xml:space="preserve">. </w:t>
      </w:r>
      <w:r w:rsidR="00AA7210" w:rsidRPr="00AA7210">
        <w:t xml:space="preserve"> </w:t>
      </w:r>
      <w:r w:rsidRPr="00880604">
        <w:t>Monthly data from measurements taken at site boundary locations are made</w:t>
      </w:r>
      <w:r w:rsidR="00A35491">
        <w:t xml:space="preserve"> publicly</w:t>
      </w:r>
      <w:r w:rsidRPr="00880604">
        <w:t xml:space="preserve"> available through </w:t>
      </w:r>
      <w:r w:rsidR="00DD1A6A">
        <w:t>the</w:t>
      </w:r>
      <w:r w:rsidRPr="00880604">
        <w:t xml:space="preserve"> </w:t>
      </w:r>
      <w:r w:rsidRPr="00A35491">
        <w:rPr>
          <w:i/>
        </w:rPr>
        <w:t xml:space="preserve">Tritium </w:t>
      </w:r>
      <w:r w:rsidR="00DD1A6A" w:rsidRPr="00A35491">
        <w:rPr>
          <w:i/>
        </w:rPr>
        <w:t>at Fermilab</w:t>
      </w:r>
      <w:r w:rsidR="00DD1A6A">
        <w:t xml:space="preserve"> w</w:t>
      </w:r>
      <w:r w:rsidRPr="00880604">
        <w:t xml:space="preserve">ebsite.   Monitoring for radioactivity in surface </w:t>
      </w:r>
      <w:r w:rsidRPr="00880604">
        <w:rPr>
          <w:rFonts w:cs="Arial"/>
        </w:rPr>
        <w:t>water</w:t>
      </w:r>
      <w:r w:rsidRPr="00880604">
        <w:t xml:space="preserve"> continues to be a primary component of Fermilab’s routine environmental surveillance program.</w:t>
      </w:r>
    </w:p>
    <w:p w:rsidR="00E40625" w:rsidRPr="00CE4B21" w:rsidRDefault="000368D1" w:rsidP="006F195B">
      <w:pPr>
        <w:pStyle w:val="Heading3"/>
        <w:jc w:val="both"/>
        <w:rPr>
          <w:color w:val="FF0000"/>
        </w:rPr>
      </w:pPr>
      <w:bookmarkStart w:id="32" w:name="_Toc426529651"/>
      <w:r w:rsidRPr="005071BA">
        <w:t>6</w:t>
      </w:r>
      <w:r w:rsidR="003C0F5A" w:rsidRPr="005071BA">
        <w:t xml:space="preserve">.3.4 </w:t>
      </w:r>
      <w:r w:rsidR="00E40625" w:rsidRPr="005071BA">
        <w:t>Releases to Sanitary Sewers</w:t>
      </w:r>
      <w:bookmarkEnd w:id="32"/>
    </w:p>
    <w:p w:rsidR="00DD1A6A" w:rsidRPr="00DD1A6A" w:rsidRDefault="00880604" w:rsidP="00DD1A6A">
      <w:pPr>
        <w:tabs>
          <w:tab w:val="left" w:pos="1080"/>
        </w:tabs>
        <w:adjustRightInd w:val="0"/>
        <w:spacing w:after="240"/>
        <w:contextualSpacing/>
        <w:jc w:val="both"/>
        <w:rPr>
          <w:rFonts w:cs="Arial"/>
          <w:color w:val="000000"/>
        </w:rPr>
      </w:pPr>
      <w:r w:rsidRPr="00880604">
        <w:rPr>
          <w:rFonts w:cs="Arial"/>
          <w:color w:val="000000"/>
        </w:rPr>
        <w:t>Fermilab</w:t>
      </w:r>
      <w:r w:rsidR="00DD1A6A">
        <w:rPr>
          <w:rFonts w:cs="Arial"/>
          <w:color w:val="000000"/>
        </w:rPr>
        <w:t xml:space="preserve"> </w:t>
      </w:r>
      <w:r w:rsidR="00DD1A6A" w:rsidRPr="00DD1A6A">
        <w:rPr>
          <w:rFonts w:cs="Arial"/>
          <w:color w:val="000000"/>
        </w:rPr>
        <w:t xml:space="preserve">maintains an onsite piping system for the conveyance of sanitary effluent.  </w:t>
      </w:r>
      <w:r w:rsidR="001D5B79">
        <w:rPr>
          <w:rFonts w:cs="Arial"/>
          <w:color w:val="000000"/>
        </w:rPr>
        <w:t>This</w:t>
      </w:r>
      <w:r w:rsidR="00DD1A6A" w:rsidRPr="00DD1A6A">
        <w:rPr>
          <w:rFonts w:cs="Arial"/>
          <w:color w:val="000000"/>
        </w:rPr>
        <w:t xml:space="preserve"> effluent is directed to the cities of Batavia and Warrenville/Naperville for treatment.  In addition Fermilab operates three systems that require pretreatment prior to release to the sewers.  These operations require wastewater pretreatment permits issued by IEPA.  The permits are as follows.</w:t>
      </w:r>
    </w:p>
    <w:p w:rsidR="00DD1A6A" w:rsidRPr="00DD1A6A" w:rsidRDefault="00DD1A6A" w:rsidP="00DD1A6A">
      <w:pPr>
        <w:tabs>
          <w:tab w:val="left" w:pos="1080"/>
        </w:tabs>
        <w:adjustRightInd w:val="0"/>
        <w:spacing w:after="240"/>
        <w:contextualSpacing/>
        <w:jc w:val="both"/>
        <w:rPr>
          <w:rFonts w:cs="Arial"/>
        </w:rPr>
      </w:pPr>
    </w:p>
    <w:p w:rsidR="00DD1A6A" w:rsidRPr="00DD1A6A" w:rsidRDefault="00DD1A6A" w:rsidP="00DD1A6A">
      <w:pPr>
        <w:numPr>
          <w:ilvl w:val="3"/>
          <w:numId w:val="12"/>
        </w:numPr>
        <w:adjustRightInd w:val="0"/>
        <w:spacing w:after="240" w:line="276" w:lineRule="auto"/>
        <w:ind w:left="1800"/>
        <w:contextualSpacing/>
        <w:jc w:val="both"/>
        <w:rPr>
          <w:rFonts w:cs="Arial"/>
        </w:rPr>
      </w:pPr>
      <w:r w:rsidRPr="00DD1A6A">
        <w:rPr>
          <w:rFonts w:cs="Arial"/>
        </w:rPr>
        <w:t>Individual industrial wastewater pre-treatment permit that allows Fermilab to discharge wastewater effluent from deionized water regeneration operations occurring at the CUB to the City of Batavia sanitary sewer treatment works.</w:t>
      </w:r>
    </w:p>
    <w:p w:rsidR="00DD1A6A" w:rsidRPr="00DD1A6A" w:rsidRDefault="00DD1A6A" w:rsidP="00DD1A6A">
      <w:pPr>
        <w:adjustRightInd w:val="0"/>
        <w:spacing w:after="240" w:line="276" w:lineRule="auto"/>
        <w:ind w:left="1800"/>
        <w:contextualSpacing/>
        <w:jc w:val="both"/>
        <w:rPr>
          <w:rFonts w:cs="Arial"/>
        </w:rPr>
      </w:pPr>
    </w:p>
    <w:p w:rsidR="00DD1A6A" w:rsidRPr="00673260" w:rsidRDefault="00DD1A6A" w:rsidP="002975F8">
      <w:pPr>
        <w:numPr>
          <w:ilvl w:val="3"/>
          <w:numId w:val="12"/>
        </w:numPr>
        <w:spacing w:after="200" w:line="276" w:lineRule="auto"/>
        <w:ind w:left="1800"/>
        <w:jc w:val="both"/>
        <w:rPr>
          <w:rFonts w:cs="Arial"/>
          <w:spacing w:val="0"/>
        </w:rPr>
      </w:pPr>
      <w:r w:rsidRPr="00673260">
        <w:rPr>
          <w:rFonts w:cs="Arial"/>
          <w:spacing w:val="0"/>
        </w:rPr>
        <w:t xml:space="preserve">Individual industrial wastewater pretreatment permit that allows for metal finishing wastewater from the Technical Division’s Cavity Processing </w:t>
      </w:r>
      <w:r w:rsidR="004C4ED7">
        <w:rPr>
          <w:rFonts w:cs="Arial"/>
          <w:spacing w:val="0"/>
        </w:rPr>
        <w:t>laboratory</w:t>
      </w:r>
      <w:r w:rsidR="00A35491" w:rsidRPr="00673260">
        <w:rPr>
          <w:rFonts w:cs="Arial"/>
          <w:spacing w:val="0"/>
        </w:rPr>
        <w:t xml:space="preserve"> (CPL) at</w:t>
      </w:r>
      <w:r w:rsidRPr="00673260">
        <w:rPr>
          <w:rFonts w:cs="Arial"/>
          <w:spacing w:val="0"/>
        </w:rPr>
        <w:t xml:space="preserve"> I</w:t>
      </w:r>
      <w:r w:rsidR="00A35491" w:rsidRPr="00673260">
        <w:rPr>
          <w:rFonts w:cs="Arial"/>
          <w:spacing w:val="0"/>
        </w:rPr>
        <w:t xml:space="preserve">ndustrial Building </w:t>
      </w:r>
      <w:r w:rsidRPr="00673260">
        <w:rPr>
          <w:rFonts w:cs="Arial"/>
          <w:spacing w:val="0"/>
        </w:rPr>
        <w:t>4</w:t>
      </w:r>
      <w:r w:rsidR="00A35491" w:rsidRPr="00673260">
        <w:rPr>
          <w:rFonts w:cs="Arial"/>
          <w:spacing w:val="0"/>
        </w:rPr>
        <w:t xml:space="preserve"> (IB4)</w:t>
      </w:r>
      <w:r w:rsidRPr="00673260">
        <w:rPr>
          <w:rFonts w:cs="Arial"/>
          <w:spacing w:val="0"/>
        </w:rPr>
        <w:t xml:space="preserve"> to be discharged to the City of Batavia sanitary sewer treatment works.</w:t>
      </w:r>
    </w:p>
    <w:p w:rsidR="00DD1A6A" w:rsidRPr="007111D6" w:rsidRDefault="00DD1A6A" w:rsidP="00060A8C">
      <w:pPr>
        <w:numPr>
          <w:ilvl w:val="3"/>
          <w:numId w:val="12"/>
        </w:numPr>
        <w:adjustRightInd w:val="0"/>
        <w:spacing w:after="240" w:line="276" w:lineRule="auto"/>
        <w:ind w:left="1800"/>
        <w:contextualSpacing/>
        <w:jc w:val="both"/>
        <w:rPr>
          <w:rFonts w:cs="Arial"/>
          <w:color w:val="000000"/>
        </w:rPr>
      </w:pPr>
      <w:r w:rsidRPr="007111D6">
        <w:rPr>
          <w:rFonts w:cs="Arial"/>
          <w:spacing w:val="0"/>
        </w:rPr>
        <w:t xml:space="preserve">Individual industrial wastewater pretreatment permit that allows for metal finishing wastewater from the Technical Division’s village operations to be discharged to the City of Naperville Reclamation Plant.   Discharges covered under this permit have not occurred since the permit was issued in 2011. </w:t>
      </w:r>
      <w:r w:rsidR="00A35491" w:rsidRPr="007111D6">
        <w:rPr>
          <w:rFonts w:cs="Arial"/>
          <w:spacing w:val="0"/>
        </w:rPr>
        <w:t xml:space="preserve"> Fermilab will allow this permit to expire in 2015 as it is no longer needed. These operations have moved to IB3 and will be covered in the CPL permit described above.</w:t>
      </w:r>
    </w:p>
    <w:p w:rsidR="007111D6" w:rsidRPr="007111D6" w:rsidRDefault="007111D6" w:rsidP="007111D6">
      <w:pPr>
        <w:adjustRightInd w:val="0"/>
        <w:spacing w:after="240" w:line="276" w:lineRule="auto"/>
        <w:ind w:left="1800"/>
        <w:contextualSpacing/>
        <w:jc w:val="both"/>
        <w:rPr>
          <w:rFonts w:cs="Arial"/>
          <w:color w:val="000000"/>
        </w:rPr>
      </w:pPr>
    </w:p>
    <w:p w:rsidR="00DD1A6A" w:rsidRPr="00DD1A6A" w:rsidRDefault="00DD1A6A" w:rsidP="00DD1A6A">
      <w:pPr>
        <w:spacing w:after="240"/>
        <w:jc w:val="both"/>
        <w:rPr>
          <w:rFonts w:cs="Arial"/>
          <w:color w:val="000000"/>
        </w:rPr>
      </w:pPr>
      <w:r w:rsidRPr="00DD1A6A">
        <w:rPr>
          <w:rFonts w:cs="Arial"/>
          <w:color w:val="000000"/>
        </w:rPr>
        <w:t xml:space="preserve">Monitoring stations, located at the site boundary, sample sewer discharges to the municipalities of Batavia and Warrenville.  The discharge at these locations is a mixture of all effluents contributing to that sanitary sewer system.  Analytical results for metals are compared to municipal discharge limits to track compliance.  </w:t>
      </w:r>
      <w:r w:rsidR="00EF6BB5">
        <w:rPr>
          <w:rFonts w:cs="Arial"/>
          <w:color w:val="000000"/>
        </w:rPr>
        <w:t>Fermilab occasionally</w:t>
      </w:r>
      <w:r w:rsidRPr="00DD1A6A">
        <w:rPr>
          <w:rFonts w:cs="Arial"/>
          <w:color w:val="000000"/>
        </w:rPr>
        <w:t xml:space="preserve"> exceed</w:t>
      </w:r>
      <w:r w:rsidR="00EF6BB5">
        <w:rPr>
          <w:rFonts w:cs="Arial"/>
          <w:color w:val="000000"/>
        </w:rPr>
        <w:t>s</w:t>
      </w:r>
      <w:r w:rsidRPr="00DD1A6A">
        <w:rPr>
          <w:rFonts w:cs="Arial"/>
          <w:color w:val="000000"/>
        </w:rPr>
        <w:t xml:space="preserve"> the limits for iron released to Warrenville.</w:t>
      </w:r>
      <w:r w:rsidR="00EF6BB5">
        <w:rPr>
          <w:rFonts w:cs="Arial"/>
          <w:color w:val="000000"/>
        </w:rPr>
        <w:t xml:space="preserve"> This did</w:t>
      </w:r>
      <w:r w:rsidRPr="00DD1A6A">
        <w:rPr>
          <w:rFonts w:cs="Arial"/>
          <w:color w:val="000000"/>
        </w:rPr>
        <w:t xml:space="preserve"> </w:t>
      </w:r>
      <w:r w:rsidR="00EF6BB5">
        <w:rPr>
          <w:rFonts w:cs="Arial"/>
          <w:color w:val="000000"/>
        </w:rPr>
        <w:t>not occur in 2014.</w:t>
      </w:r>
      <w:r w:rsidRPr="00DD1A6A">
        <w:rPr>
          <w:rFonts w:cs="Arial"/>
          <w:color w:val="000000"/>
        </w:rPr>
        <w:t xml:space="preserve">  Aging pipes are suspected to be the source of the exceedances. These exceedances have been discussed with the municipalities.  </w:t>
      </w:r>
    </w:p>
    <w:p w:rsidR="00A95666" w:rsidRDefault="00DD1A6A" w:rsidP="00DD1A6A">
      <w:pPr>
        <w:spacing w:after="240"/>
        <w:jc w:val="both"/>
        <w:rPr>
          <w:rFonts w:cs="Arial"/>
          <w:iCs/>
        </w:rPr>
      </w:pPr>
      <w:r w:rsidRPr="00DD1A6A">
        <w:rPr>
          <w:rFonts w:cs="Arial"/>
          <w:iCs/>
        </w:rPr>
        <w:t>Low levels of tritium have been detected in effluent discharged to the Batavia treatment works since August 2005. All discharges in 201</w:t>
      </w:r>
      <w:r w:rsidR="00EF6BB5">
        <w:rPr>
          <w:rFonts w:cs="Arial"/>
          <w:iCs/>
        </w:rPr>
        <w:t>4</w:t>
      </w:r>
      <w:r w:rsidRPr="00DD1A6A">
        <w:rPr>
          <w:rFonts w:cs="Arial"/>
          <w:iCs/>
        </w:rPr>
        <w:t xml:space="preserve"> were well below DOE Order 458.1 Derived Concentration Standards (total tritium 5 curies, concentration less than 9,500 pCi/ml) and are summarized below.  No other isotopes were detected.</w:t>
      </w:r>
    </w:p>
    <w:p w:rsidR="006A20A3" w:rsidRDefault="006A20A3" w:rsidP="00DD1A6A">
      <w:pPr>
        <w:spacing w:after="240"/>
        <w:jc w:val="both"/>
        <w:rPr>
          <w:rFonts w:cs="Arial"/>
          <w:iCs/>
        </w:rPr>
      </w:pPr>
    </w:p>
    <w:p w:rsidR="006A20A3" w:rsidRDefault="006A20A3" w:rsidP="00DD1A6A">
      <w:pPr>
        <w:spacing w:after="240"/>
        <w:jc w:val="both"/>
        <w:rPr>
          <w:rFonts w:cs="Arial"/>
          <w:iCs/>
        </w:rPr>
      </w:pPr>
    </w:p>
    <w:p w:rsidR="006A20A3" w:rsidRDefault="006A20A3" w:rsidP="00DD1A6A">
      <w:pPr>
        <w:spacing w:after="240"/>
        <w:jc w:val="both"/>
        <w:rPr>
          <w:rFonts w:cs="Arial"/>
          <w:iCs/>
        </w:rPr>
      </w:pPr>
    </w:p>
    <w:p w:rsidR="006A20A3" w:rsidRDefault="006A20A3" w:rsidP="00DD1A6A">
      <w:pPr>
        <w:spacing w:after="240"/>
        <w:jc w:val="both"/>
        <w:rPr>
          <w:rFonts w:cs="Arial"/>
          <w:iCs/>
        </w:rPr>
      </w:pPr>
    </w:p>
    <w:p w:rsidR="006A20A3" w:rsidRPr="00DD1A6A" w:rsidRDefault="006A20A3" w:rsidP="00DD1A6A">
      <w:pPr>
        <w:spacing w:after="240"/>
        <w:jc w:val="both"/>
        <w:rPr>
          <w:rFonts w:cs="Arial"/>
          <w:iCs/>
        </w:rPr>
      </w:pPr>
    </w:p>
    <w:tbl>
      <w:tblPr>
        <w:tblW w:w="0" w:type="auto"/>
        <w:tblInd w:w="1980" w:type="dxa"/>
        <w:tblBorders>
          <w:top w:val="single" w:sz="8" w:space="0" w:color="4F81BD"/>
          <w:bottom w:val="single" w:sz="8" w:space="0" w:color="4F81BD"/>
        </w:tblBorders>
        <w:tblLook w:val="04A0" w:firstRow="1" w:lastRow="0" w:firstColumn="1" w:lastColumn="0" w:noHBand="0" w:noVBand="1"/>
      </w:tblPr>
      <w:tblGrid>
        <w:gridCol w:w="3004"/>
        <w:gridCol w:w="3004"/>
      </w:tblGrid>
      <w:tr w:rsidR="00DD1A6A" w:rsidRPr="00DD1A6A" w:rsidTr="008A21EC">
        <w:trPr>
          <w:trHeight w:val="475"/>
        </w:trPr>
        <w:tc>
          <w:tcPr>
            <w:tcW w:w="3004" w:type="dxa"/>
            <w:tcBorders>
              <w:top w:val="single" w:sz="8" w:space="0" w:color="4F81BD"/>
              <w:left w:val="nil"/>
              <w:bottom w:val="single" w:sz="8" w:space="0" w:color="4F81BD"/>
              <w:right w:val="nil"/>
            </w:tcBorders>
            <w:shd w:val="clear" w:color="auto" w:fill="auto"/>
            <w:vAlign w:val="center"/>
          </w:tcPr>
          <w:p w:rsidR="00DD1A6A" w:rsidRPr="008A21EC" w:rsidRDefault="00DD1A6A" w:rsidP="00DD1A6A">
            <w:pPr>
              <w:ind w:left="0"/>
              <w:jc w:val="both"/>
              <w:rPr>
                <w:rFonts w:ascii="Calibri" w:eastAsia="Calibri" w:hAnsi="Calibri"/>
                <w:b/>
                <w:bCs/>
                <w:color w:val="365F91"/>
                <w:spacing w:val="0"/>
                <w:sz w:val="28"/>
                <w:szCs w:val="22"/>
              </w:rPr>
            </w:pPr>
            <w:r w:rsidRPr="008A21EC">
              <w:rPr>
                <w:rFonts w:ascii="Calibri" w:eastAsia="Calibri" w:hAnsi="Calibri"/>
                <w:b/>
                <w:bCs/>
                <w:color w:val="365F91"/>
                <w:spacing w:val="0"/>
                <w:sz w:val="28"/>
                <w:szCs w:val="22"/>
              </w:rPr>
              <w:t>Total Tritium</w:t>
            </w:r>
          </w:p>
        </w:tc>
        <w:tc>
          <w:tcPr>
            <w:tcW w:w="3004" w:type="dxa"/>
            <w:tcBorders>
              <w:top w:val="single" w:sz="8" w:space="0" w:color="4F81BD"/>
              <w:left w:val="nil"/>
              <w:bottom w:val="single" w:sz="8" w:space="0" w:color="4F81BD"/>
              <w:right w:val="nil"/>
            </w:tcBorders>
            <w:shd w:val="clear" w:color="auto" w:fill="auto"/>
            <w:vAlign w:val="center"/>
          </w:tcPr>
          <w:p w:rsidR="00DD1A6A" w:rsidRPr="008A21EC" w:rsidRDefault="00DD1A6A" w:rsidP="00DD1A6A">
            <w:pPr>
              <w:ind w:left="0"/>
              <w:jc w:val="both"/>
              <w:rPr>
                <w:rFonts w:ascii="Calibri" w:eastAsia="Calibri" w:hAnsi="Calibri"/>
                <w:b/>
                <w:bCs/>
                <w:color w:val="365F91"/>
                <w:spacing w:val="0"/>
                <w:sz w:val="28"/>
                <w:szCs w:val="22"/>
              </w:rPr>
            </w:pPr>
            <w:r w:rsidRPr="008A21EC">
              <w:rPr>
                <w:rFonts w:ascii="Calibri" w:eastAsia="Calibri" w:hAnsi="Calibri"/>
                <w:b/>
                <w:bCs/>
                <w:color w:val="365F91"/>
                <w:spacing w:val="0"/>
                <w:sz w:val="28"/>
                <w:szCs w:val="22"/>
              </w:rPr>
              <w:t>0.089 Curies</w:t>
            </w:r>
          </w:p>
        </w:tc>
      </w:tr>
      <w:tr w:rsidR="00DD1A6A" w:rsidRPr="00DD1A6A" w:rsidTr="006A20A3">
        <w:trPr>
          <w:trHeight w:val="304"/>
        </w:trPr>
        <w:tc>
          <w:tcPr>
            <w:tcW w:w="3004" w:type="dxa"/>
            <w:shd w:val="clear" w:color="auto" w:fill="auto"/>
          </w:tcPr>
          <w:p w:rsidR="00DD1A6A" w:rsidRPr="00DD1A6A" w:rsidRDefault="00DD1A6A" w:rsidP="00DD1A6A">
            <w:pPr>
              <w:ind w:left="0"/>
              <w:jc w:val="both"/>
              <w:rPr>
                <w:rFonts w:ascii="Calibri" w:eastAsia="Calibri" w:hAnsi="Calibri"/>
                <w:b/>
                <w:bCs/>
                <w:color w:val="365F91"/>
                <w:spacing w:val="0"/>
                <w:sz w:val="22"/>
                <w:szCs w:val="22"/>
              </w:rPr>
            </w:pPr>
            <w:r w:rsidRPr="00DD1A6A">
              <w:rPr>
                <w:rFonts w:ascii="Calibri" w:eastAsia="Calibri" w:hAnsi="Calibri"/>
                <w:b/>
                <w:bCs/>
                <w:color w:val="365F91"/>
                <w:spacing w:val="0"/>
                <w:sz w:val="22"/>
                <w:szCs w:val="22"/>
              </w:rPr>
              <w:t>Average Concentration</w:t>
            </w:r>
          </w:p>
        </w:tc>
        <w:tc>
          <w:tcPr>
            <w:tcW w:w="3004" w:type="dxa"/>
            <w:shd w:val="clear" w:color="auto" w:fill="auto"/>
          </w:tcPr>
          <w:p w:rsidR="00DD1A6A" w:rsidRPr="00DD1A6A" w:rsidRDefault="00DD1A6A" w:rsidP="00EF6BB5">
            <w:pPr>
              <w:ind w:left="0"/>
              <w:jc w:val="both"/>
              <w:rPr>
                <w:rFonts w:ascii="Calibri" w:eastAsia="Calibri" w:hAnsi="Calibri"/>
                <w:color w:val="365F91"/>
                <w:spacing w:val="0"/>
                <w:sz w:val="22"/>
                <w:szCs w:val="22"/>
              </w:rPr>
            </w:pPr>
            <w:r w:rsidRPr="00DD1A6A">
              <w:rPr>
                <w:rFonts w:ascii="Calibri" w:eastAsia="Calibri" w:hAnsi="Calibri"/>
                <w:color w:val="365F91"/>
                <w:spacing w:val="0"/>
                <w:sz w:val="22"/>
                <w:szCs w:val="22"/>
              </w:rPr>
              <w:t>0.</w:t>
            </w:r>
            <w:r w:rsidR="00EF6BB5">
              <w:rPr>
                <w:rFonts w:ascii="Calibri" w:eastAsia="Calibri" w:hAnsi="Calibri"/>
                <w:color w:val="365F91"/>
                <w:spacing w:val="0"/>
                <w:sz w:val="22"/>
                <w:szCs w:val="22"/>
              </w:rPr>
              <w:t>245</w:t>
            </w:r>
            <w:r w:rsidRPr="00DD1A6A">
              <w:rPr>
                <w:rFonts w:ascii="Calibri" w:eastAsia="Calibri" w:hAnsi="Calibri"/>
                <w:color w:val="365F91"/>
                <w:spacing w:val="0"/>
                <w:sz w:val="22"/>
                <w:szCs w:val="22"/>
              </w:rPr>
              <w:t xml:space="preserve"> pCi/ml</w:t>
            </w:r>
          </w:p>
        </w:tc>
      </w:tr>
      <w:tr w:rsidR="00DD1A6A" w:rsidRPr="00DD1A6A" w:rsidTr="006A20A3">
        <w:trPr>
          <w:trHeight w:val="304"/>
        </w:trPr>
        <w:tc>
          <w:tcPr>
            <w:tcW w:w="3004" w:type="dxa"/>
            <w:shd w:val="clear" w:color="auto" w:fill="auto"/>
          </w:tcPr>
          <w:p w:rsidR="00DD1A6A" w:rsidRPr="00DD1A6A" w:rsidRDefault="00DD1A6A" w:rsidP="00DD1A6A">
            <w:pPr>
              <w:ind w:left="0"/>
              <w:jc w:val="both"/>
              <w:rPr>
                <w:rFonts w:ascii="Calibri" w:eastAsia="Calibri" w:hAnsi="Calibri"/>
                <w:b/>
                <w:bCs/>
                <w:color w:val="365F91"/>
                <w:spacing w:val="0"/>
                <w:sz w:val="22"/>
                <w:szCs w:val="22"/>
              </w:rPr>
            </w:pPr>
            <w:r w:rsidRPr="00DD1A6A">
              <w:rPr>
                <w:rFonts w:ascii="Calibri" w:eastAsia="Calibri" w:hAnsi="Calibri"/>
                <w:b/>
                <w:bCs/>
                <w:color w:val="365F91"/>
                <w:spacing w:val="0"/>
                <w:sz w:val="22"/>
                <w:szCs w:val="22"/>
              </w:rPr>
              <w:t>Highest Concentration</w:t>
            </w:r>
          </w:p>
        </w:tc>
        <w:tc>
          <w:tcPr>
            <w:tcW w:w="3004" w:type="dxa"/>
            <w:shd w:val="clear" w:color="auto" w:fill="auto"/>
          </w:tcPr>
          <w:p w:rsidR="00DD1A6A" w:rsidRPr="00DD1A6A" w:rsidRDefault="00EF6BB5" w:rsidP="00DD1A6A">
            <w:pPr>
              <w:ind w:left="0"/>
              <w:jc w:val="both"/>
              <w:rPr>
                <w:rFonts w:ascii="Calibri" w:eastAsia="Calibri" w:hAnsi="Calibri"/>
                <w:color w:val="365F91"/>
                <w:spacing w:val="0"/>
                <w:sz w:val="22"/>
                <w:szCs w:val="22"/>
              </w:rPr>
            </w:pPr>
            <w:r>
              <w:rPr>
                <w:rFonts w:ascii="Calibri" w:eastAsia="Calibri" w:hAnsi="Calibri"/>
                <w:color w:val="365F91"/>
                <w:spacing w:val="0"/>
                <w:sz w:val="22"/>
                <w:szCs w:val="22"/>
              </w:rPr>
              <w:t>3</w:t>
            </w:r>
            <w:r w:rsidR="00DD1A6A" w:rsidRPr="00DD1A6A">
              <w:rPr>
                <w:rFonts w:ascii="Calibri" w:eastAsia="Calibri" w:hAnsi="Calibri"/>
                <w:color w:val="365F91"/>
                <w:spacing w:val="0"/>
                <w:sz w:val="22"/>
                <w:szCs w:val="22"/>
              </w:rPr>
              <w:t>.3 pCi/ml</w:t>
            </w:r>
          </w:p>
        </w:tc>
      </w:tr>
      <w:tr w:rsidR="00DD1A6A" w:rsidRPr="00DD1A6A" w:rsidTr="006A20A3">
        <w:trPr>
          <w:trHeight w:val="330"/>
        </w:trPr>
        <w:tc>
          <w:tcPr>
            <w:tcW w:w="3004" w:type="dxa"/>
            <w:shd w:val="clear" w:color="auto" w:fill="auto"/>
          </w:tcPr>
          <w:p w:rsidR="00DD1A6A" w:rsidRPr="00DD1A6A" w:rsidRDefault="00DD1A6A" w:rsidP="00DD1A6A">
            <w:pPr>
              <w:ind w:left="0"/>
              <w:jc w:val="both"/>
              <w:rPr>
                <w:rFonts w:ascii="Calibri" w:eastAsia="Calibri" w:hAnsi="Calibri"/>
                <w:b/>
                <w:bCs/>
                <w:color w:val="365F91"/>
                <w:spacing w:val="0"/>
                <w:sz w:val="22"/>
                <w:szCs w:val="22"/>
              </w:rPr>
            </w:pPr>
            <w:r w:rsidRPr="00DD1A6A">
              <w:rPr>
                <w:rFonts w:ascii="Calibri" w:eastAsia="Calibri" w:hAnsi="Calibri"/>
                <w:b/>
                <w:bCs/>
                <w:color w:val="365F91"/>
                <w:spacing w:val="0"/>
                <w:sz w:val="22"/>
                <w:szCs w:val="22"/>
              </w:rPr>
              <w:t>Total Sanitary Volume</w:t>
            </w:r>
          </w:p>
        </w:tc>
        <w:tc>
          <w:tcPr>
            <w:tcW w:w="3004" w:type="dxa"/>
            <w:shd w:val="clear" w:color="auto" w:fill="auto"/>
          </w:tcPr>
          <w:p w:rsidR="00DD1A6A" w:rsidRPr="00DD1A6A" w:rsidRDefault="00EF6BB5" w:rsidP="00DD1A6A">
            <w:pPr>
              <w:ind w:left="0"/>
              <w:jc w:val="both"/>
              <w:rPr>
                <w:rFonts w:ascii="Calibri" w:eastAsia="Calibri" w:hAnsi="Calibri"/>
                <w:color w:val="365F91"/>
                <w:spacing w:val="0"/>
                <w:sz w:val="22"/>
                <w:szCs w:val="22"/>
              </w:rPr>
            </w:pPr>
            <w:r>
              <w:rPr>
                <w:rFonts w:ascii="Calibri" w:eastAsia="Calibri" w:hAnsi="Calibri"/>
                <w:color w:val="365F91"/>
                <w:spacing w:val="0"/>
                <w:sz w:val="22"/>
                <w:szCs w:val="22"/>
              </w:rPr>
              <w:t>34,106</w:t>
            </w:r>
            <w:r w:rsidR="00DD1A6A" w:rsidRPr="00DD1A6A">
              <w:rPr>
                <w:rFonts w:ascii="Calibri" w:eastAsia="Calibri" w:hAnsi="Calibri"/>
                <w:color w:val="365F91"/>
                <w:spacing w:val="0"/>
                <w:sz w:val="22"/>
                <w:szCs w:val="22"/>
              </w:rPr>
              <w:t xml:space="preserve"> </w:t>
            </w:r>
            <w:proofErr w:type="spellStart"/>
            <w:r w:rsidR="00DD1A6A" w:rsidRPr="00DD1A6A">
              <w:rPr>
                <w:rFonts w:ascii="Calibri" w:eastAsia="Calibri" w:hAnsi="Calibri"/>
                <w:color w:val="365F91"/>
                <w:spacing w:val="0"/>
                <w:sz w:val="22"/>
                <w:szCs w:val="22"/>
              </w:rPr>
              <w:t>kGal</w:t>
            </w:r>
            <w:proofErr w:type="spellEnd"/>
          </w:p>
        </w:tc>
      </w:tr>
    </w:tbl>
    <w:p w:rsidR="00077456" w:rsidRDefault="00077456" w:rsidP="00DD1A6A">
      <w:pPr>
        <w:spacing w:after="240"/>
        <w:jc w:val="both"/>
        <w:rPr>
          <w:rFonts w:cs="Arial"/>
          <w:iCs/>
        </w:rPr>
      </w:pPr>
    </w:p>
    <w:p w:rsidR="00C75967" w:rsidRPr="008E3346" w:rsidRDefault="00C75967" w:rsidP="00DD1A6A">
      <w:pPr>
        <w:spacing w:after="240"/>
        <w:jc w:val="both"/>
        <w:rPr>
          <w:rFonts w:cs="Arial"/>
          <w:iCs/>
        </w:rPr>
      </w:pPr>
      <w:r w:rsidRPr="008E3346">
        <w:rPr>
          <w:rFonts w:cs="Arial"/>
          <w:iCs/>
        </w:rPr>
        <w:t>Fermilab’s Tritium Working Group continued to investigate sources of tritium into both the sanitary sewer system and the Industrial Cooling Water system.  As part of this effort a concerted effort was undertaken investigate sources of tritium in the sanitary system in the southern sections of the system.</w:t>
      </w:r>
      <w:r w:rsidR="00AA7210" w:rsidRPr="008E3346">
        <w:rPr>
          <w:rFonts w:cs="Arial"/>
          <w:iCs/>
        </w:rPr>
        <w:t xml:space="preserve">  A video inspection of the sewer system showed a leak into the system near the Linac.  Subsequent sampling that isolated that area of the sewer showed that the leak did not contain tritium</w:t>
      </w:r>
      <w:r w:rsidR="006D4C31" w:rsidRPr="008E3346">
        <w:rPr>
          <w:rFonts w:cs="Arial"/>
          <w:iCs/>
        </w:rPr>
        <w:t>.</w:t>
      </w:r>
    </w:p>
    <w:p w:rsidR="00077456" w:rsidRPr="0029394F" w:rsidRDefault="00077456" w:rsidP="006F195B">
      <w:pPr>
        <w:pStyle w:val="Heading2"/>
        <w:jc w:val="both"/>
      </w:pPr>
      <w:bookmarkStart w:id="33" w:name="_Toc426529652"/>
    </w:p>
    <w:p w:rsidR="00E40625" w:rsidRPr="0029394F" w:rsidRDefault="000368D1" w:rsidP="006F195B">
      <w:pPr>
        <w:pStyle w:val="Heading2"/>
        <w:jc w:val="both"/>
      </w:pPr>
      <w:r w:rsidRPr="0029394F">
        <w:t>6</w:t>
      </w:r>
      <w:r w:rsidR="00E40625" w:rsidRPr="0029394F">
        <w:t>.4 Groundwater Quality</w:t>
      </w:r>
      <w:bookmarkEnd w:id="33"/>
    </w:p>
    <w:p w:rsidR="005731E9" w:rsidRPr="00A95666" w:rsidRDefault="005731E9" w:rsidP="005731E9">
      <w:pPr>
        <w:widowControl w:val="0"/>
        <w:autoSpaceDE w:val="0"/>
        <w:autoSpaceDN w:val="0"/>
        <w:adjustRightInd w:val="0"/>
        <w:ind w:left="0"/>
        <w:jc w:val="both"/>
        <w:rPr>
          <w:rFonts w:cs="Arial"/>
          <w:color w:val="000000"/>
          <w:spacing w:val="0"/>
        </w:rPr>
      </w:pPr>
      <w:r w:rsidRPr="0053298B">
        <w:rPr>
          <w:rFonts w:cs="Arial"/>
          <w:color w:val="000000"/>
          <w:spacing w:val="0"/>
        </w:rPr>
        <w:t xml:space="preserve">The </w:t>
      </w:r>
      <w:r w:rsidRPr="00A95666">
        <w:rPr>
          <w:rFonts w:cs="Arial"/>
          <w:color w:val="000000"/>
          <w:spacing w:val="0"/>
        </w:rPr>
        <w:t xml:space="preserve">Illinois Environmental Protection Agency (IEPA) publishes groundwater quality standards (35 IAC 620) and defines Class I groundwater as a non-degradable resource, which is to be highly protected. Water residing in or near the Silurian </w:t>
      </w:r>
      <w:proofErr w:type="spellStart"/>
      <w:r w:rsidRPr="00A95666">
        <w:rPr>
          <w:rFonts w:cs="Arial"/>
          <w:color w:val="000000"/>
          <w:spacing w:val="0"/>
        </w:rPr>
        <w:t>dolostone</w:t>
      </w:r>
      <w:proofErr w:type="spellEnd"/>
      <w:r w:rsidRPr="00A95666">
        <w:rPr>
          <w:rFonts w:cs="Arial"/>
          <w:color w:val="000000"/>
          <w:spacing w:val="0"/>
        </w:rPr>
        <w:t xml:space="preserve"> bedrock aquifer, the upper surface of which is 50 to 80 feet below the ground surface in the Joliet Fo</w:t>
      </w:r>
      <w:r>
        <w:rPr>
          <w:rFonts w:cs="Arial"/>
          <w:color w:val="000000"/>
          <w:spacing w:val="0"/>
        </w:rPr>
        <w:t>rmation at Fermilab (Figure 6.4-1</w:t>
      </w:r>
      <w:r w:rsidRPr="00A95666">
        <w:rPr>
          <w:rFonts w:cs="Arial"/>
          <w:color w:val="000000"/>
          <w:spacing w:val="0"/>
        </w:rPr>
        <w:t xml:space="preserve">), as well as water in the overlying </w:t>
      </w:r>
      <w:proofErr w:type="spellStart"/>
      <w:r w:rsidRPr="00A95666">
        <w:rPr>
          <w:rFonts w:cs="Arial"/>
          <w:color w:val="000000"/>
          <w:spacing w:val="0"/>
        </w:rPr>
        <w:t>Batestown</w:t>
      </w:r>
      <w:proofErr w:type="spellEnd"/>
      <w:r w:rsidRPr="00A95666">
        <w:rPr>
          <w:rFonts w:cs="Arial"/>
          <w:color w:val="000000"/>
          <w:spacing w:val="0"/>
        </w:rPr>
        <w:t xml:space="preserve"> Member</w:t>
      </w:r>
      <w:r>
        <w:rPr>
          <w:rFonts w:cs="Arial"/>
          <w:color w:val="000000"/>
          <w:spacing w:val="0"/>
        </w:rPr>
        <w:t xml:space="preserve"> or Henry Formation</w:t>
      </w:r>
      <w:r w:rsidRPr="00A95666">
        <w:rPr>
          <w:rFonts w:cs="Arial"/>
          <w:color w:val="000000"/>
          <w:spacing w:val="0"/>
        </w:rPr>
        <w:t xml:space="preserve">, is classified as the top of Class I groundwater. Water in the glacial deposits overlying the </w:t>
      </w:r>
      <w:proofErr w:type="spellStart"/>
      <w:r w:rsidRPr="00A95666">
        <w:rPr>
          <w:rFonts w:cs="Arial"/>
          <w:color w:val="000000"/>
          <w:spacing w:val="0"/>
        </w:rPr>
        <w:t>Batestown</w:t>
      </w:r>
      <w:proofErr w:type="spellEnd"/>
      <w:r w:rsidRPr="00A95666">
        <w:rPr>
          <w:rFonts w:cs="Arial"/>
          <w:color w:val="000000"/>
          <w:spacing w:val="0"/>
        </w:rPr>
        <w:t xml:space="preserve"> </w:t>
      </w:r>
      <w:r>
        <w:rPr>
          <w:rFonts w:cs="Arial"/>
          <w:color w:val="000000"/>
          <w:spacing w:val="0"/>
        </w:rPr>
        <w:t xml:space="preserve">or lowermost Henry </w:t>
      </w:r>
      <w:r w:rsidRPr="00A95666">
        <w:rPr>
          <w:rFonts w:cs="Arial"/>
          <w:color w:val="000000"/>
          <w:spacing w:val="0"/>
        </w:rPr>
        <w:t>has been demonstrated to be Class II water requiring less-stringent standards.</w:t>
      </w:r>
    </w:p>
    <w:p w:rsidR="005731E9" w:rsidRDefault="005731E9" w:rsidP="005731E9">
      <w:pPr>
        <w:widowControl w:val="0"/>
        <w:autoSpaceDE w:val="0"/>
        <w:autoSpaceDN w:val="0"/>
        <w:adjustRightInd w:val="0"/>
        <w:ind w:left="0"/>
        <w:jc w:val="both"/>
        <w:rPr>
          <w:rFonts w:cs="Arial"/>
          <w:color w:val="000000"/>
          <w:spacing w:val="0"/>
        </w:rPr>
      </w:pPr>
    </w:p>
    <w:p w:rsidR="005731E9" w:rsidRPr="00D12B41" w:rsidRDefault="005731E9" w:rsidP="005731E9">
      <w:pPr>
        <w:widowControl w:val="0"/>
        <w:autoSpaceDE w:val="0"/>
        <w:autoSpaceDN w:val="0"/>
        <w:adjustRightInd w:val="0"/>
        <w:ind w:left="0"/>
        <w:jc w:val="both"/>
        <w:rPr>
          <w:rFonts w:cs="Arial"/>
          <w:color w:val="000000"/>
          <w:spacing w:val="0"/>
        </w:rPr>
      </w:pPr>
      <w:r w:rsidRPr="00A95666">
        <w:rPr>
          <w:rFonts w:cs="Arial"/>
          <w:color w:val="000000"/>
          <w:spacing w:val="0"/>
        </w:rPr>
        <w:t>The locations of groundwater monitoring wells are shown in Figure 6.4-2, with approximate screen depth intervals for wells related to sampling programs illustrated in Figure 6.4-1. In 201</w:t>
      </w:r>
      <w:r>
        <w:rPr>
          <w:rFonts w:cs="Arial"/>
          <w:color w:val="000000"/>
          <w:spacing w:val="0"/>
        </w:rPr>
        <w:t>4</w:t>
      </w:r>
      <w:r w:rsidRPr="00A95666">
        <w:rPr>
          <w:rFonts w:cs="Arial"/>
          <w:color w:val="000000"/>
          <w:spacing w:val="0"/>
        </w:rPr>
        <w:t xml:space="preserve"> ten glacial and Silurian </w:t>
      </w:r>
      <w:proofErr w:type="spellStart"/>
      <w:r w:rsidRPr="00A95666">
        <w:rPr>
          <w:rFonts w:cs="Arial"/>
          <w:color w:val="000000"/>
          <w:spacing w:val="0"/>
        </w:rPr>
        <w:t>dolostone</w:t>
      </w:r>
      <w:proofErr w:type="spellEnd"/>
      <w:r w:rsidRPr="00A95666">
        <w:rPr>
          <w:rFonts w:cs="Arial"/>
          <w:color w:val="000000"/>
          <w:spacing w:val="0"/>
        </w:rPr>
        <w:t xml:space="preserve"> (Joliet Formation) monitoring wells at the Central Utility Building (CUB) Pipe and Clay Tile Field and eight glacial wells at Meson Hill were sampled as part of ongoing RCRA Facility Investigation (RFI) corrective actions at these locations. During 2006, the Meson and Neutrino Soil Activation Areas were removed from the RFI as a Solid Waste Management Unit; however, under the Lab’s environmental surveillance program, sampling continues in the five Joliet Formation wells in this region. For informational purposes, and as a courtesy, the results are reported to the IEPA annually. Four background wells (Joliet Formation) were sampled to assess tritium levels at the </w:t>
      </w:r>
      <w:r w:rsidR="00164B9D" w:rsidRPr="00A95666">
        <w:rPr>
          <w:rFonts w:cs="Arial"/>
          <w:color w:val="000000"/>
          <w:spacing w:val="0"/>
        </w:rPr>
        <w:t>up gradient</w:t>
      </w:r>
      <w:r w:rsidRPr="00A95666">
        <w:rPr>
          <w:rFonts w:cs="Arial"/>
          <w:color w:val="000000"/>
          <w:spacing w:val="0"/>
        </w:rPr>
        <w:t xml:space="preserve"> (north) edge of the laboratory property</w:t>
      </w:r>
      <w:r w:rsidR="009A389E">
        <w:rPr>
          <w:rFonts w:cs="Arial"/>
          <w:color w:val="000000"/>
          <w:spacing w:val="0"/>
        </w:rPr>
        <w:t xml:space="preserve"> (BMW-1 through BMW-4)</w:t>
      </w:r>
      <w:r w:rsidRPr="00A95666">
        <w:rPr>
          <w:rFonts w:cs="Arial"/>
          <w:color w:val="000000"/>
          <w:spacing w:val="0"/>
        </w:rPr>
        <w:t xml:space="preserve"> and </w:t>
      </w:r>
      <w:r>
        <w:rPr>
          <w:rFonts w:cs="Arial"/>
          <w:color w:val="000000"/>
          <w:spacing w:val="0"/>
        </w:rPr>
        <w:t>two</w:t>
      </w:r>
      <w:r w:rsidRPr="00A95666">
        <w:rPr>
          <w:rFonts w:cs="Arial"/>
          <w:color w:val="000000"/>
          <w:spacing w:val="0"/>
        </w:rPr>
        <w:t xml:space="preserve"> Joliet Formation well</w:t>
      </w:r>
      <w:r>
        <w:rPr>
          <w:rFonts w:cs="Arial"/>
          <w:color w:val="000000"/>
          <w:spacing w:val="0"/>
        </w:rPr>
        <w:t>s</w:t>
      </w:r>
      <w:r w:rsidRPr="00A95666">
        <w:rPr>
          <w:rFonts w:cs="Arial"/>
          <w:color w:val="000000"/>
          <w:spacing w:val="0"/>
        </w:rPr>
        <w:t xml:space="preserve"> w</w:t>
      </w:r>
      <w:r>
        <w:rPr>
          <w:rFonts w:cs="Arial"/>
          <w:color w:val="000000"/>
          <w:spacing w:val="0"/>
        </w:rPr>
        <w:t>ere</w:t>
      </w:r>
      <w:r w:rsidRPr="00A95666">
        <w:rPr>
          <w:rFonts w:cs="Arial"/>
          <w:color w:val="000000"/>
          <w:spacing w:val="0"/>
        </w:rPr>
        <w:t xml:space="preserve"> sampled to assess tritium levels near the NuMI Target Hall</w:t>
      </w:r>
      <w:r w:rsidR="009A389E">
        <w:rPr>
          <w:rFonts w:cs="Arial"/>
          <w:color w:val="000000"/>
          <w:spacing w:val="0"/>
        </w:rPr>
        <w:t>(S-1426-1 and S-1426-2, replacing S-1273 from previous years)</w:t>
      </w:r>
      <w:r w:rsidRPr="00A95666">
        <w:rPr>
          <w:rFonts w:cs="Arial"/>
          <w:color w:val="000000"/>
          <w:spacing w:val="0"/>
        </w:rPr>
        <w:t>.</w:t>
      </w:r>
      <w:r w:rsidR="009A389E">
        <w:rPr>
          <w:rFonts w:cs="Arial"/>
          <w:color w:val="000000"/>
          <w:spacing w:val="0"/>
        </w:rPr>
        <w:t xml:space="preserve"> </w:t>
      </w:r>
      <w:r w:rsidRPr="00A95666">
        <w:rPr>
          <w:rFonts w:cs="Arial"/>
          <w:color w:val="000000"/>
          <w:spacing w:val="0"/>
        </w:rPr>
        <w:t xml:space="preserve"> An additional 124 wells with various screen depth intervals (Figure 6.4-2) are used as piezometers (pore-water pressure measuring apparatus) to gather information on groundwater flow directions site-wide. These data are used in conceptualizing the horizontal and</w:t>
      </w:r>
      <w:r>
        <w:rPr>
          <w:rFonts w:cs="Arial"/>
          <w:color w:val="000000"/>
          <w:spacing w:val="0"/>
        </w:rPr>
        <w:t xml:space="preserve"> </w:t>
      </w:r>
      <w:r w:rsidRPr="00A95666">
        <w:rPr>
          <w:rFonts w:cs="Arial"/>
          <w:color w:val="000000"/>
          <w:spacing w:val="0"/>
        </w:rPr>
        <w:t xml:space="preserve">vertical transport of potential contaminants from past and present operational areas of concern. </w:t>
      </w:r>
    </w:p>
    <w:p w:rsidR="00A95666" w:rsidRDefault="00A95666" w:rsidP="00A95666">
      <w:pPr>
        <w:widowControl w:val="0"/>
        <w:autoSpaceDE w:val="0"/>
        <w:autoSpaceDN w:val="0"/>
        <w:adjustRightInd w:val="0"/>
        <w:ind w:left="0"/>
        <w:jc w:val="both"/>
        <w:rPr>
          <w:rFonts w:cs="Arial"/>
          <w:color w:val="000000"/>
          <w:spacing w:val="0"/>
        </w:rPr>
      </w:pPr>
    </w:p>
    <w:p w:rsidR="00E92DC0" w:rsidRDefault="00E92DC0" w:rsidP="00A95666">
      <w:pPr>
        <w:widowControl w:val="0"/>
        <w:autoSpaceDE w:val="0"/>
        <w:autoSpaceDN w:val="0"/>
        <w:adjustRightInd w:val="0"/>
        <w:ind w:left="0"/>
        <w:jc w:val="both"/>
        <w:rPr>
          <w:rFonts w:cs="Arial"/>
          <w:color w:val="000000"/>
          <w:spacing w:val="0"/>
        </w:rPr>
      </w:pPr>
    </w:p>
    <w:p w:rsidR="00A95666" w:rsidRPr="00A95666" w:rsidRDefault="00A95666" w:rsidP="00A95666">
      <w:pPr>
        <w:widowControl w:val="0"/>
        <w:autoSpaceDE w:val="0"/>
        <w:autoSpaceDN w:val="0"/>
        <w:adjustRightInd w:val="0"/>
        <w:ind w:left="0"/>
        <w:jc w:val="both"/>
        <w:rPr>
          <w:rFonts w:cs="Arial"/>
          <w:color w:val="000000"/>
          <w:spacing w:val="0"/>
        </w:rPr>
      </w:pPr>
    </w:p>
    <w:p w:rsidR="00563991" w:rsidRDefault="00563991" w:rsidP="00A95666">
      <w:pPr>
        <w:widowControl w:val="0"/>
        <w:autoSpaceDE w:val="0"/>
        <w:autoSpaceDN w:val="0"/>
        <w:adjustRightInd w:val="0"/>
        <w:spacing w:after="240"/>
        <w:ind w:left="0"/>
        <w:jc w:val="both"/>
      </w:pPr>
    </w:p>
    <w:p w:rsidR="00E86DC6" w:rsidRDefault="006A20A3" w:rsidP="00A95666">
      <w:pPr>
        <w:widowControl w:val="0"/>
        <w:autoSpaceDE w:val="0"/>
        <w:autoSpaceDN w:val="0"/>
        <w:adjustRightInd w:val="0"/>
        <w:spacing w:after="240"/>
        <w:ind w:left="0"/>
        <w:jc w:val="both"/>
      </w:pPr>
      <w:r>
        <w:rPr>
          <w:noProof/>
        </w:rPr>
        <w:lastRenderedPageBreak/>
        <w:drawing>
          <wp:inline distT="0" distB="0" distL="0" distR="0" wp14:anchorId="2CBB2DFF" wp14:editId="23E0589E">
            <wp:extent cx="5943600" cy="769231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 Section_201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2313"/>
                    </a:xfrm>
                    <a:prstGeom prst="rect">
                      <a:avLst/>
                    </a:prstGeom>
                  </pic:spPr>
                </pic:pic>
              </a:graphicData>
            </a:graphic>
          </wp:inline>
        </w:drawing>
      </w:r>
    </w:p>
    <w:p w:rsidR="00E86DC6" w:rsidRDefault="00E86DC6" w:rsidP="001B31DB">
      <w:pPr>
        <w:pStyle w:val="Heading3"/>
        <w:ind w:left="90"/>
        <w:jc w:val="both"/>
      </w:pPr>
    </w:p>
    <w:p w:rsidR="00E92DC0" w:rsidRDefault="006A20A3" w:rsidP="006A20A3">
      <w:pPr>
        <w:pStyle w:val="BodyText"/>
        <w:ind w:left="0"/>
        <w:jc w:val="center"/>
      </w:pPr>
      <w:r w:rsidRPr="00B93421">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540.6pt" o:ole="">
            <v:imagedata r:id="rId11" o:title=""/>
          </v:shape>
          <o:OLEObject Type="Embed" ProgID="Acrobat.Document.11" ShapeID="_x0000_i1025" DrawAspect="Content" ObjectID="_1501919503" r:id="rId12"/>
        </w:object>
      </w:r>
    </w:p>
    <w:p w:rsidR="00E40625" w:rsidRPr="00A95666" w:rsidRDefault="000368D1" w:rsidP="006F195B">
      <w:pPr>
        <w:pStyle w:val="Heading3"/>
        <w:ind w:left="1008"/>
        <w:jc w:val="both"/>
      </w:pPr>
      <w:bookmarkStart w:id="34" w:name="_Toc426529653"/>
      <w:r w:rsidRPr="00A95666">
        <w:t>6</w:t>
      </w:r>
      <w:r w:rsidR="00E40625" w:rsidRPr="00A95666">
        <w:t xml:space="preserve">.4.1 </w:t>
      </w:r>
      <w:r w:rsidR="00A95666" w:rsidRPr="00A95666">
        <w:t>Radionuclides in Groundwater</w:t>
      </w:r>
      <w:bookmarkEnd w:id="34"/>
    </w:p>
    <w:p w:rsidR="005731E9" w:rsidRDefault="005731E9" w:rsidP="00A95666">
      <w:pPr>
        <w:pStyle w:val="BodyText"/>
        <w:ind w:left="990" w:firstLine="18"/>
      </w:pPr>
      <w:r w:rsidRPr="00A95666">
        <w:t xml:space="preserve">U.S. Department of Energy policy on groundwater protection as expressed in DOE O458.1 is consistent with the Illinois Class I groundwater </w:t>
      </w:r>
      <w:r>
        <w:t>standard of 20 pCi/ml. Twenty seven samples were collected from eleven</w:t>
      </w:r>
      <w:r w:rsidRPr="00A95666">
        <w:t xml:space="preserve"> locations for radionuclide analysis. Tritium and accelerator-produced radionuclides were not detected in any Class I</w:t>
      </w:r>
      <w:r>
        <w:t xml:space="preserve"> groundwater samples during 2014.</w:t>
      </w:r>
    </w:p>
    <w:p w:rsidR="009A389E" w:rsidRPr="004D624D" w:rsidRDefault="009A389E" w:rsidP="00A95666">
      <w:pPr>
        <w:pStyle w:val="BodyText"/>
        <w:ind w:left="990" w:firstLine="18"/>
      </w:pPr>
      <w:r w:rsidRPr="009A389E">
        <w:t xml:space="preserve">There are six “sump” wells at the Booster Neutrino Berm that are routinely sampled for tritium. They are not true groundwater wells, but rather drain the interior, interstitial space and exterior of the dual-liner system around the decay pipe via lateral pipes. Water in these sump wells originates from surface </w:t>
      </w:r>
      <w:r w:rsidRPr="009A389E">
        <w:lastRenderedPageBreak/>
        <w:t xml:space="preserve">infiltration that makes its way through a damaged portion of the liner system near the north end, adjacent to MI-13A.  Tritium results in these wells has fluctuated between non-detect and 12,900 pCi/ml and is routed to Pond F or it is drummed for disposal if the holding tank concentration exceeds 1,900 pCi/ml. In early 2014 a temporary surface cover was installed over the north end of the berm to reduce the volume of infiltrating water into the decay pipe </w:t>
      </w:r>
      <w:proofErr w:type="spellStart"/>
      <w:r w:rsidRPr="009A389E">
        <w:t>liner</w:t>
      </w:r>
      <w:proofErr w:type="spellEnd"/>
      <w:r w:rsidRPr="009A389E">
        <w:t xml:space="preserve"> system and in late 2014 a permanent surface cover and drain system was installed. Tritium concentrations and infiltrating water volumes in the Booster Neutrino Berm sump wells will continue to be monitored to evaluate the potential impact to groundwater.</w:t>
      </w:r>
    </w:p>
    <w:p w:rsidR="00E40625" w:rsidRPr="00A95666" w:rsidRDefault="000368D1" w:rsidP="006F195B">
      <w:pPr>
        <w:pStyle w:val="Heading3"/>
        <w:ind w:left="1008"/>
        <w:jc w:val="both"/>
      </w:pPr>
      <w:bookmarkStart w:id="35" w:name="_Toc426529654"/>
      <w:r w:rsidRPr="00A95666">
        <w:t>6</w:t>
      </w:r>
      <w:r w:rsidR="00E40625" w:rsidRPr="00A95666">
        <w:t xml:space="preserve">.4.2 </w:t>
      </w:r>
      <w:r w:rsidR="00A95666" w:rsidRPr="00A95666">
        <w:t>Chemicals in Groundwater</w:t>
      </w:r>
      <w:bookmarkEnd w:id="35"/>
    </w:p>
    <w:p w:rsidR="00A95666" w:rsidRDefault="005731E9" w:rsidP="00A95666">
      <w:pPr>
        <w:pStyle w:val="BodyText"/>
        <w:ind w:left="990" w:firstLine="18"/>
      </w:pPr>
      <w:r>
        <w:t>In 2014</w:t>
      </w:r>
      <w:r w:rsidR="00A95666" w:rsidRPr="00A95666">
        <w:t>, semi-annual groundwater sampling events were conducted at two Solid Waste Management Units (SWMUs). Chemical analyses were performed on these samples as required by the Resource Conservation and Recovery Act Facility Investigation (RFI). (See Section 7.13.2 RFI Activities.)</w:t>
      </w:r>
    </w:p>
    <w:p w:rsidR="00A95666" w:rsidRPr="00A95666" w:rsidRDefault="00A95666" w:rsidP="00A95666">
      <w:pPr>
        <w:pStyle w:val="BodyText"/>
        <w:ind w:left="990" w:firstLine="18"/>
      </w:pPr>
    </w:p>
    <w:p w:rsidR="00E40625" w:rsidRPr="00A048C1" w:rsidRDefault="000368D1" w:rsidP="006F195B">
      <w:pPr>
        <w:pStyle w:val="Heading1"/>
        <w:ind w:left="0"/>
        <w:jc w:val="both"/>
        <w:rPr>
          <w:color w:val="auto"/>
        </w:rPr>
      </w:pPr>
      <w:bookmarkStart w:id="36" w:name="_Toc426529655"/>
      <w:r w:rsidRPr="00A048C1">
        <w:rPr>
          <w:color w:val="auto"/>
        </w:rPr>
        <w:t>7</w:t>
      </w:r>
      <w:r w:rsidR="00E40625" w:rsidRPr="00A048C1">
        <w:rPr>
          <w:color w:val="auto"/>
        </w:rPr>
        <w:t xml:space="preserve">.0 Compliance with Specific Environmental </w:t>
      </w:r>
      <w:r w:rsidR="009B4EE7" w:rsidRPr="00A048C1">
        <w:rPr>
          <w:color w:val="auto"/>
        </w:rPr>
        <w:t>Requirements</w:t>
      </w:r>
      <w:bookmarkEnd w:id="36"/>
    </w:p>
    <w:p w:rsidR="00E40625" w:rsidRPr="007E10B8" w:rsidRDefault="00D40565" w:rsidP="006F195B">
      <w:pPr>
        <w:pStyle w:val="BodyText"/>
        <w:ind w:left="0"/>
      </w:pPr>
      <w:r>
        <w:t xml:space="preserve">The </w:t>
      </w:r>
      <w:r w:rsidR="001B710E">
        <w:t xml:space="preserve">following sections </w:t>
      </w:r>
      <w:r>
        <w:t>are</w:t>
      </w:r>
      <w:r w:rsidR="00E40625" w:rsidRPr="007E10B8">
        <w:t xml:space="preserve"> a summary of Fermilab</w:t>
      </w:r>
      <w:r w:rsidR="005421BE">
        <w:t>’s</w:t>
      </w:r>
      <w:r w:rsidR="00E40625" w:rsidRPr="007E10B8">
        <w:t xml:space="preserve"> compliance with key environmental </w:t>
      </w:r>
      <w:r w:rsidR="009B4EE7">
        <w:t>requirements</w:t>
      </w:r>
      <w:r w:rsidR="00E40625" w:rsidRPr="007E10B8">
        <w:t>.</w:t>
      </w:r>
    </w:p>
    <w:p w:rsidR="00E40625" w:rsidRPr="00677418" w:rsidRDefault="000368D1" w:rsidP="006F195B">
      <w:pPr>
        <w:pStyle w:val="Heading2"/>
        <w:jc w:val="both"/>
      </w:pPr>
      <w:bookmarkStart w:id="37" w:name="_Toc426529656"/>
      <w:r w:rsidRPr="00677418">
        <w:t>7</w:t>
      </w:r>
      <w:r w:rsidR="00E40625" w:rsidRPr="00677418">
        <w:t>.1 Clean Air Act</w:t>
      </w:r>
      <w:bookmarkEnd w:id="37"/>
    </w:p>
    <w:p w:rsidR="00677418" w:rsidRPr="00677418" w:rsidRDefault="00677418" w:rsidP="00677418">
      <w:pPr>
        <w:spacing w:after="240" w:line="240" w:lineRule="atLeast"/>
        <w:ind w:left="0"/>
        <w:jc w:val="both"/>
      </w:pPr>
      <w:r w:rsidRPr="00677418">
        <w:t>Open burn permits to allow prairie/land management burning, maintenance of Meson Hill, and fire extinguisher training were renewed by the IEPA in 2013.  The annual air emissions report for 2013 was not required due to Fermilab’s registration as a ROSS source.  The annual radionuclide emissions report was submitted to the USEPA in June 2014.</w:t>
      </w:r>
    </w:p>
    <w:p w:rsidR="00677418" w:rsidRPr="00677418" w:rsidRDefault="00677418" w:rsidP="00677418">
      <w:pPr>
        <w:spacing w:after="240" w:line="240" w:lineRule="atLeast"/>
        <w:ind w:left="0"/>
        <w:jc w:val="both"/>
      </w:pPr>
      <w:r w:rsidRPr="00677418">
        <w:t>In 2013 the actual annual air emissions for Criteria Air Pollutants (carbon monoxide, nitrogen oxides, particulate matter, sulfur dioxide, and volatile organic materials), were 2.92 tons per year, much less than the maximum allowed for a ROSS site.</w:t>
      </w:r>
    </w:p>
    <w:p w:rsidR="00677418" w:rsidRPr="00677418" w:rsidRDefault="00677418" w:rsidP="00677418">
      <w:pPr>
        <w:spacing w:after="240" w:line="240" w:lineRule="atLeast"/>
        <w:ind w:left="0"/>
        <w:jc w:val="both"/>
      </w:pPr>
      <w:r w:rsidRPr="00677418">
        <w:rPr>
          <w:rFonts w:cs="Arial"/>
        </w:rPr>
        <w:t xml:space="preserve">Doses to the public from radioactive emissions in 2013 continued to be well below the Environmental Protection Agency (EPA) standard of 10 </w:t>
      </w:r>
      <w:proofErr w:type="spellStart"/>
      <w:r w:rsidRPr="00677418">
        <w:rPr>
          <w:rFonts w:cs="Arial"/>
        </w:rPr>
        <w:t>mrem</w:t>
      </w:r>
      <w:proofErr w:type="spellEnd"/>
      <w:r w:rsidRPr="00677418">
        <w:rPr>
          <w:rFonts w:cs="Arial"/>
        </w:rPr>
        <w:t xml:space="preserve">/year, and also much less than the EPA’s continuous monitoring threshold of 0.1 </w:t>
      </w:r>
      <w:proofErr w:type="spellStart"/>
      <w:r w:rsidRPr="00677418">
        <w:rPr>
          <w:rFonts w:cs="Arial"/>
        </w:rPr>
        <w:t>mrem</w:t>
      </w:r>
      <w:proofErr w:type="spellEnd"/>
      <w:r w:rsidRPr="00677418">
        <w:rPr>
          <w:rFonts w:cs="Arial"/>
        </w:rPr>
        <w:t xml:space="preserve">/year.  </w:t>
      </w:r>
      <w:r w:rsidRPr="00677418">
        <w:t xml:space="preserve">In 2013 an estimated 24.7 Curies were released from various sources (see section 6.1.1 Radioactive Emissions).  The CAP-88PC2 dispersion model calculated the maximum dose equivalent delivered to a member of the public (at the boundary of the Lab) to be 0.0053 </w:t>
      </w:r>
      <w:proofErr w:type="spellStart"/>
      <w:r w:rsidRPr="00677418">
        <w:t>mrem</w:t>
      </w:r>
      <w:proofErr w:type="spellEnd"/>
      <w:r w:rsidRPr="00677418">
        <w:t>/year in 2013.</w:t>
      </w:r>
    </w:p>
    <w:p w:rsidR="00677418" w:rsidRPr="00677418" w:rsidRDefault="00677418" w:rsidP="00677418">
      <w:pPr>
        <w:spacing w:after="240" w:line="240" w:lineRule="atLeast"/>
        <w:ind w:left="0"/>
        <w:jc w:val="both"/>
      </w:pPr>
      <w:r w:rsidRPr="00677418">
        <w:t>Fermilab is registered with the Clean Fuel Fleet Program (CFFP); one of several programs the IEPA has implemented to help improve air quality in the Chicago ozone non-attainment area.</w:t>
      </w:r>
    </w:p>
    <w:p w:rsidR="00677418" w:rsidRDefault="00677418" w:rsidP="00677418">
      <w:pPr>
        <w:spacing w:after="240" w:line="240" w:lineRule="atLeast"/>
        <w:ind w:left="0"/>
        <w:jc w:val="both"/>
      </w:pPr>
      <w:r w:rsidRPr="00677418">
        <w:t>In 2013 Fermilab did not exceed reporting thresholds under the U.S EPA’s Mandatory Greenhouse Gas Reporting Rule.</w:t>
      </w:r>
    </w:p>
    <w:p w:rsidR="00FD64A0" w:rsidRPr="00AD5B0D" w:rsidRDefault="000368D1" w:rsidP="006F195B">
      <w:pPr>
        <w:pStyle w:val="Heading2"/>
        <w:jc w:val="both"/>
        <w:rPr>
          <w:color w:val="00B050"/>
        </w:rPr>
      </w:pPr>
      <w:bookmarkStart w:id="38" w:name="_Toc426529657"/>
      <w:r w:rsidRPr="0029394F">
        <w:t>7</w:t>
      </w:r>
      <w:r w:rsidR="00FD64A0" w:rsidRPr="0029394F">
        <w:t>.2 Greenhouse Gas Emissions</w:t>
      </w:r>
      <w:r w:rsidR="00F02709" w:rsidRPr="0029394F">
        <w:t xml:space="preserve"> Reporting under Executive Order 13514</w:t>
      </w:r>
      <w:bookmarkEnd w:id="38"/>
    </w:p>
    <w:p w:rsidR="001B31DB" w:rsidRDefault="00BC0E68" w:rsidP="006F195B">
      <w:pPr>
        <w:spacing w:after="240" w:line="240" w:lineRule="atLeast"/>
        <w:ind w:left="0"/>
        <w:jc w:val="both"/>
      </w:pPr>
      <w:r w:rsidRPr="00BC0E68">
        <w:t xml:space="preserve">In October 2009, Executive Order (EO) 13514 took effect and directed federal agencies to account, report and reduce greenhouse gas (GHG) emissions using 2008 as the baseline year.  In support of the Department of Energy’s (DOE’s) effort to comply, EO 13514 was added to the Fermilab contract.  As a result, GHG data for fiscal year 2014 was collected and submitted to DOE via the Consolidated Energy Data Report.  GHGs are </w:t>
      </w:r>
      <w:r w:rsidR="00670DAA" w:rsidRPr="00BC0E68">
        <w:t>divided into</w:t>
      </w:r>
      <w:r w:rsidRPr="00BC0E68">
        <w:t xml:space="preserve"> three categories:  Scope 1, 2, and 3</w:t>
      </w:r>
      <w:r w:rsidR="00670DAA" w:rsidRPr="00BC0E68">
        <w:t xml:space="preserve">. </w:t>
      </w:r>
      <w:r w:rsidR="00670DAA">
        <w:t>Scope</w:t>
      </w:r>
      <w:r w:rsidRPr="00BC0E68">
        <w:t xml:space="preserve"> 1 emissions are direct emissions from activities directly controlled by Fermilab (boilers, emergency generators, fleet vehicles, and fugitive emissions).  Scope 2 emissions are indirect emissions and for Fermilab include only purchased electricity.  Scope 3 emissions are other indirect emissions such as employee air travel, wastewater treatment, electrical transmission and distribution losses, waste, ground travel, and employee commuting.  Fermilab’s baseline data is shown in Table 1 below.  FY2012, FY2013 and FY2014 emissions are also shown.  The performance status indicates that Fermilab has made a 49.3% reduction </w:t>
      </w:r>
      <w:r w:rsidRPr="00BC0E68">
        <w:lastRenderedPageBreak/>
        <w:t>in Scopes 1 and 2 emissions over the baseline year. A primary factor in the reductions over the past 2 years is due to the shutdown, upgrades and gradual restart of the accelerator complex.  Scope 3 emissions were reduced by more than 35%.  Electrical transmission and distribution losses associated with purchased power are Fermilab’s most significant source of Scope 3 emissions.</w:t>
      </w:r>
    </w:p>
    <w:tbl>
      <w:tblPr>
        <w:tblW w:w="4991" w:type="pct"/>
        <w:tblLayout w:type="fixed"/>
        <w:tblLook w:val="04A0" w:firstRow="1" w:lastRow="0" w:firstColumn="1" w:lastColumn="0" w:noHBand="0" w:noVBand="1"/>
      </w:tblPr>
      <w:tblGrid>
        <w:gridCol w:w="3325"/>
        <w:gridCol w:w="1099"/>
        <w:gridCol w:w="1060"/>
        <w:gridCol w:w="1038"/>
        <w:gridCol w:w="1053"/>
        <w:gridCol w:w="1758"/>
      </w:tblGrid>
      <w:tr w:rsidR="003C2E31" w:rsidRPr="00167D54" w:rsidTr="003C2E31">
        <w:trPr>
          <w:trHeight w:val="728"/>
        </w:trPr>
        <w:tc>
          <w:tcPr>
            <w:tcW w:w="5000" w:type="pct"/>
            <w:gridSpan w:val="6"/>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3C2E31" w:rsidRPr="00167D54" w:rsidRDefault="003C2E31" w:rsidP="00040355">
            <w:pPr>
              <w:ind w:left="0"/>
              <w:jc w:val="center"/>
              <w:rPr>
                <w:rFonts w:ascii="Times New Roman" w:hAnsi="Times New Roman"/>
                <w:b/>
                <w:bCs/>
                <w:spacing w:val="0"/>
              </w:rPr>
            </w:pPr>
            <w:r w:rsidRPr="00AD5B0D">
              <w:rPr>
                <w:b/>
                <w:sz w:val="24"/>
              </w:rPr>
              <w:t>Fermilab’s Greenhouse Gas Emissions</w:t>
            </w:r>
          </w:p>
        </w:tc>
      </w:tr>
      <w:tr w:rsidR="00AD5B0D" w:rsidRPr="00167D54" w:rsidTr="00FA6605">
        <w:trPr>
          <w:trHeight w:val="1052"/>
        </w:trPr>
        <w:tc>
          <w:tcPr>
            <w:tcW w:w="1781"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D5B0D" w:rsidRPr="00167D54" w:rsidRDefault="00AD5B0D" w:rsidP="00040355">
            <w:pPr>
              <w:ind w:left="0"/>
              <w:jc w:val="center"/>
              <w:rPr>
                <w:rFonts w:ascii="Times New Roman" w:hAnsi="Times New Roman"/>
                <w:b/>
                <w:bCs/>
                <w:spacing w:val="0"/>
              </w:rPr>
            </w:pPr>
            <w:r w:rsidRPr="00167D54">
              <w:rPr>
                <w:rFonts w:ascii="Times New Roman" w:hAnsi="Times New Roman"/>
                <w:b/>
                <w:bCs/>
                <w:spacing w:val="0"/>
              </w:rPr>
              <w:t>DOE Goal</w:t>
            </w:r>
            <w:r w:rsidRPr="00167D54">
              <w:rPr>
                <w:rFonts w:ascii="Times New Roman" w:hAnsi="Times New Roman"/>
                <w:spacing w:val="0"/>
                <w:sz w:val="16"/>
                <w:szCs w:val="16"/>
              </w:rPr>
              <w:t> </w:t>
            </w:r>
          </w:p>
        </w:tc>
        <w:tc>
          <w:tcPr>
            <w:tcW w:w="589" w:type="pct"/>
            <w:tcBorders>
              <w:top w:val="single" w:sz="4" w:space="0" w:color="auto"/>
              <w:left w:val="nil"/>
              <w:bottom w:val="single" w:sz="4" w:space="0" w:color="auto"/>
              <w:right w:val="nil"/>
            </w:tcBorders>
            <w:shd w:val="clear" w:color="auto" w:fill="548DD4" w:themeFill="text2" w:themeFillTint="99"/>
            <w:vAlign w:val="center"/>
            <w:hideMark/>
          </w:tcPr>
          <w:p w:rsidR="00AD5B0D" w:rsidRPr="00167D54" w:rsidRDefault="00AD5B0D" w:rsidP="00040355">
            <w:pPr>
              <w:ind w:left="0"/>
              <w:jc w:val="center"/>
              <w:rPr>
                <w:rFonts w:ascii="Times New Roman" w:hAnsi="Times New Roman"/>
                <w:b/>
                <w:bCs/>
                <w:spacing w:val="0"/>
              </w:rPr>
            </w:pPr>
            <w:r w:rsidRPr="00167D54">
              <w:rPr>
                <w:rFonts w:ascii="Times New Roman" w:hAnsi="Times New Roman"/>
                <w:b/>
                <w:bCs/>
                <w:spacing w:val="0"/>
              </w:rPr>
              <w:t>Baseline</w:t>
            </w:r>
          </w:p>
        </w:tc>
        <w:tc>
          <w:tcPr>
            <w:tcW w:w="568" w:type="pct"/>
            <w:tcBorders>
              <w:top w:val="single" w:sz="4" w:space="0" w:color="auto"/>
              <w:left w:val="single" w:sz="4" w:space="0" w:color="auto"/>
              <w:bottom w:val="single" w:sz="4" w:space="0" w:color="auto"/>
              <w:right w:val="nil"/>
            </w:tcBorders>
            <w:shd w:val="clear" w:color="auto" w:fill="548DD4" w:themeFill="text2" w:themeFillTint="99"/>
            <w:vAlign w:val="center"/>
            <w:hideMark/>
          </w:tcPr>
          <w:p w:rsidR="00AD5B0D" w:rsidRPr="00167D54" w:rsidRDefault="00AD5B0D" w:rsidP="00040355">
            <w:pPr>
              <w:ind w:left="0"/>
              <w:jc w:val="center"/>
              <w:rPr>
                <w:rFonts w:ascii="Times New Roman" w:hAnsi="Times New Roman"/>
                <w:b/>
                <w:bCs/>
                <w:spacing w:val="0"/>
              </w:rPr>
            </w:pPr>
            <w:r w:rsidRPr="00167D54">
              <w:rPr>
                <w:rFonts w:ascii="Times New Roman" w:hAnsi="Times New Roman"/>
                <w:b/>
                <w:bCs/>
                <w:spacing w:val="0"/>
              </w:rPr>
              <w:t>FY 2012</w:t>
            </w:r>
          </w:p>
        </w:tc>
        <w:tc>
          <w:tcPr>
            <w:tcW w:w="556" w:type="pct"/>
            <w:tcBorders>
              <w:top w:val="single" w:sz="4" w:space="0" w:color="auto"/>
              <w:left w:val="single" w:sz="4" w:space="0" w:color="auto"/>
              <w:bottom w:val="single" w:sz="4" w:space="0" w:color="auto"/>
              <w:right w:val="nil"/>
            </w:tcBorders>
            <w:shd w:val="clear" w:color="auto" w:fill="548DD4" w:themeFill="text2" w:themeFillTint="99"/>
            <w:vAlign w:val="center"/>
            <w:hideMark/>
          </w:tcPr>
          <w:p w:rsidR="00AD5B0D" w:rsidRPr="00167D54" w:rsidRDefault="00AD5B0D" w:rsidP="00040355">
            <w:pPr>
              <w:ind w:left="0"/>
              <w:jc w:val="center"/>
              <w:rPr>
                <w:rFonts w:ascii="Times New Roman" w:hAnsi="Times New Roman"/>
                <w:b/>
                <w:bCs/>
                <w:spacing w:val="0"/>
              </w:rPr>
            </w:pPr>
            <w:r w:rsidRPr="00167D54">
              <w:rPr>
                <w:rFonts w:ascii="Times New Roman" w:hAnsi="Times New Roman"/>
                <w:b/>
                <w:bCs/>
                <w:spacing w:val="0"/>
              </w:rPr>
              <w:t>FY 2013</w:t>
            </w:r>
          </w:p>
        </w:tc>
        <w:tc>
          <w:tcPr>
            <w:tcW w:w="56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AD5B0D" w:rsidRPr="00167D54" w:rsidRDefault="00AD5B0D" w:rsidP="00040355">
            <w:pPr>
              <w:ind w:left="0"/>
              <w:jc w:val="center"/>
              <w:rPr>
                <w:rFonts w:ascii="Times New Roman" w:hAnsi="Times New Roman"/>
                <w:b/>
                <w:bCs/>
                <w:spacing w:val="0"/>
              </w:rPr>
            </w:pPr>
            <w:r w:rsidRPr="00167D54">
              <w:rPr>
                <w:rFonts w:ascii="Times New Roman" w:hAnsi="Times New Roman"/>
                <w:b/>
                <w:bCs/>
                <w:spacing w:val="0"/>
              </w:rPr>
              <w:t>FY 201</w:t>
            </w:r>
            <w:r>
              <w:rPr>
                <w:rFonts w:ascii="Times New Roman" w:hAnsi="Times New Roman"/>
                <w:b/>
                <w:bCs/>
                <w:spacing w:val="0"/>
              </w:rPr>
              <w:t>4</w:t>
            </w:r>
          </w:p>
        </w:tc>
        <w:tc>
          <w:tcPr>
            <w:tcW w:w="942"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D5B0D" w:rsidRPr="00167D54" w:rsidRDefault="00AD5B0D" w:rsidP="00040355">
            <w:pPr>
              <w:ind w:left="0"/>
              <w:jc w:val="center"/>
              <w:rPr>
                <w:rFonts w:ascii="Times New Roman" w:hAnsi="Times New Roman"/>
                <w:b/>
                <w:bCs/>
                <w:spacing w:val="0"/>
              </w:rPr>
            </w:pPr>
            <w:r w:rsidRPr="00167D54">
              <w:rPr>
                <w:rFonts w:ascii="Times New Roman" w:hAnsi="Times New Roman"/>
                <w:b/>
                <w:bCs/>
                <w:spacing w:val="0"/>
              </w:rPr>
              <w:t>Performance Status (FY 201</w:t>
            </w:r>
            <w:r>
              <w:rPr>
                <w:rFonts w:ascii="Times New Roman" w:hAnsi="Times New Roman"/>
                <w:b/>
                <w:bCs/>
                <w:spacing w:val="0"/>
              </w:rPr>
              <w:t>4</w:t>
            </w:r>
            <w:r w:rsidRPr="00167D54">
              <w:rPr>
                <w:rFonts w:ascii="Times New Roman" w:hAnsi="Times New Roman"/>
                <w:b/>
                <w:bCs/>
                <w:spacing w:val="0"/>
              </w:rPr>
              <w:t>)</w:t>
            </w:r>
          </w:p>
        </w:tc>
      </w:tr>
      <w:tr w:rsidR="00AD5B0D" w:rsidRPr="00167D54" w:rsidTr="00FA6605">
        <w:trPr>
          <w:trHeight w:val="1160"/>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B0D" w:rsidRDefault="00AD5B0D" w:rsidP="00040355">
            <w:pPr>
              <w:ind w:left="0"/>
              <w:rPr>
                <w:rFonts w:ascii="Times New Roman" w:hAnsi="Times New Roman"/>
                <w:spacing w:val="0"/>
              </w:rPr>
            </w:pPr>
            <w:r w:rsidRPr="00167D54">
              <w:rPr>
                <w:rFonts w:ascii="Times New Roman" w:hAnsi="Times New Roman"/>
                <w:spacing w:val="0"/>
              </w:rPr>
              <w:t xml:space="preserve">28% </w:t>
            </w:r>
            <w:r w:rsidRPr="00134642">
              <w:rPr>
                <w:rFonts w:ascii="Times New Roman" w:hAnsi="Times New Roman"/>
                <w:b/>
                <w:spacing w:val="0"/>
              </w:rPr>
              <w:t>Scope 1 &amp; 2</w:t>
            </w:r>
            <w:r w:rsidRPr="00167D54">
              <w:rPr>
                <w:rFonts w:ascii="Times New Roman" w:hAnsi="Times New Roman"/>
                <w:spacing w:val="0"/>
              </w:rPr>
              <w:t xml:space="preserve"> GHG reduction by FY 2020 from a FY 2008 baseline </w:t>
            </w:r>
          </w:p>
          <w:p w:rsidR="00AD5B0D" w:rsidRPr="00167D54" w:rsidRDefault="00AD5B0D" w:rsidP="00CC1AE5">
            <w:pPr>
              <w:ind w:left="0"/>
              <w:rPr>
                <w:rFonts w:ascii="Times New Roman" w:hAnsi="Times New Roman"/>
                <w:spacing w:val="0"/>
              </w:rPr>
            </w:pPr>
            <w:r w:rsidRPr="00167D54">
              <w:rPr>
                <w:rFonts w:ascii="Times New Roman" w:hAnsi="Times New Roman"/>
                <w:spacing w:val="0"/>
              </w:rPr>
              <w:t>(</w:t>
            </w:r>
            <w:r w:rsidR="00CC1AE5">
              <w:rPr>
                <w:rFonts w:ascii="Times New Roman" w:hAnsi="Times New Roman"/>
                <w:spacing w:val="0"/>
              </w:rPr>
              <w:t xml:space="preserve">metric tons equivalent </w:t>
            </w:r>
            <w:r w:rsidRPr="00167D54">
              <w:rPr>
                <w:rFonts w:ascii="Times New Roman" w:hAnsi="Times New Roman"/>
                <w:spacing w:val="0"/>
              </w:rPr>
              <w:t>CO</w:t>
            </w:r>
            <w:r w:rsidRPr="00167D54">
              <w:rPr>
                <w:rFonts w:ascii="Times New Roman" w:hAnsi="Times New Roman"/>
                <w:spacing w:val="0"/>
                <w:vertAlign w:val="subscript"/>
              </w:rPr>
              <w:t>2</w:t>
            </w:r>
            <w:r w:rsidR="00CC1AE5">
              <w:rPr>
                <w:rFonts w:ascii="Times New Roman" w:hAnsi="Times New Roman"/>
                <w:spacing w:val="0"/>
              </w:rPr>
              <w:t>)</w:t>
            </w:r>
          </w:p>
        </w:tc>
        <w:tc>
          <w:tcPr>
            <w:tcW w:w="589" w:type="pct"/>
            <w:tcBorders>
              <w:top w:val="nil"/>
              <w:left w:val="nil"/>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 xml:space="preserve">384,366.1 </w:t>
            </w:r>
          </w:p>
        </w:tc>
        <w:tc>
          <w:tcPr>
            <w:tcW w:w="568" w:type="pct"/>
            <w:tcBorders>
              <w:top w:val="nil"/>
              <w:left w:val="nil"/>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 xml:space="preserve">171,274.7 </w:t>
            </w:r>
          </w:p>
        </w:tc>
        <w:tc>
          <w:tcPr>
            <w:tcW w:w="556" w:type="pct"/>
            <w:tcBorders>
              <w:top w:val="nil"/>
              <w:left w:val="nil"/>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 xml:space="preserve">143,423.3 </w:t>
            </w:r>
          </w:p>
        </w:tc>
        <w:tc>
          <w:tcPr>
            <w:tcW w:w="564" w:type="pct"/>
            <w:tcBorders>
              <w:top w:val="single" w:sz="4" w:space="0" w:color="auto"/>
              <w:left w:val="nil"/>
              <w:bottom w:val="single" w:sz="4" w:space="0" w:color="auto"/>
              <w:right w:val="single" w:sz="4" w:space="0" w:color="auto"/>
            </w:tcBorders>
            <w:vAlign w:val="center"/>
          </w:tcPr>
          <w:p w:rsidR="00AD5B0D" w:rsidRPr="00167D54" w:rsidRDefault="00AD5B0D" w:rsidP="00040355">
            <w:pPr>
              <w:ind w:left="0"/>
              <w:jc w:val="center"/>
              <w:rPr>
                <w:rFonts w:ascii="Times New Roman" w:hAnsi="Times New Roman"/>
                <w:spacing w:val="0"/>
              </w:rPr>
            </w:pPr>
            <w:r>
              <w:rPr>
                <w:rFonts w:ascii="Times New Roman" w:hAnsi="Times New Roman"/>
                <w:spacing w:val="0"/>
              </w:rPr>
              <w:t>194,901.6</w:t>
            </w:r>
          </w:p>
        </w:tc>
        <w:tc>
          <w:tcPr>
            <w:tcW w:w="942" w:type="pct"/>
            <w:tcBorders>
              <w:top w:val="nil"/>
              <w:left w:val="single" w:sz="4" w:space="0" w:color="auto"/>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w:t>
            </w:r>
            <w:r>
              <w:rPr>
                <w:rFonts w:ascii="Times New Roman" w:hAnsi="Times New Roman"/>
                <w:spacing w:val="0"/>
              </w:rPr>
              <w:t>49.3</w:t>
            </w:r>
            <w:r w:rsidRPr="00167D54">
              <w:rPr>
                <w:rFonts w:ascii="Times New Roman" w:hAnsi="Times New Roman"/>
                <w:spacing w:val="0"/>
              </w:rPr>
              <w:t>%</w:t>
            </w:r>
          </w:p>
        </w:tc>
      </w:tr>
      <w:tr w:rsidR="00AD5B0D" w:rsidRPr="00167D54" w:rsidTr="00FA6605">
        <w:trPr>
          <w:trHeight w:val="881"/>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B0D" w:rsidRDefault="00AD5B0D" w:rsidP="00040355">
            <w:pPr>
              <w:ind w:left="0"/>
              <w:rPr>
                <w:rFonts w:ascii="Times New Roman" w:hAnsi="Times New Roman"/>
                <w:spacing w:val="0"/>
              </w:rPr>
            </w:pPr>
            <w:r w:rsidRPr="00167D54">
              <w:rPr>
                <w:rFonts w:ascii="Times New Roman" w:hAnsi="Times New Roman"/>
                <w:spacing w:val="0"/>
              </w:rPr>
              <w:t xml:space="preserve">13% </w:t>
            </w:r>
            <w:r w:rsidRPr="00134642">
              <w:rPr>
                <w:rFonts w:ascii="Times New Roman" w:hAnsi="Times New Roman"/>
                <w:b/>
                <w:spacing w:val="0"/>
              </w:rPr>
              <w:t>Scope 3</w:t>
            </w:r>
            <w:r w:rsidRPr="00167D54">
              <w:rPr>
                <w:rFonts w:ascii="Times New Roman" w:hAnsi="Times New Roman"/>
                <w:spacing w:val="0"/>
              </w:rPr>
              <w:t xml:space="preserve"> GHG reduction by FY 2020 from a FY 2008 baseline </w:t>
            </w:r>
          </w:p>
          <w:p w:rsidR="00AD5B0D" w:rsidRPr="00167D54" w:rsidRDefault="00AD5B0D" w:rsidP="00040355">
            <w:pPr>
              <w:ind w:left="0"/>
              <w:rPr>
                <w:rFonts w:ascii="Times New Roman" w:hAnsi="Times New Roman"/>
                <w:spacing w:val="0"/>
              </w:rPr>
            </w:pPr>
            <w:r w:rsidRPr="00167D54">
              <w:rPr>
                <w:rFonts w:ascii="Times New Roman" w:hAnsi="Times New Roman"/>
                <w:spacing w:val="0"/>
              </w:rPr>
              <w:t>(MT CO</w:t>
            </w:r>
            <w:r w:rsidRPr="00167D54">
              <w:rPr>
                <w:rFonts w:ascii="Times New Roman" w:hAnsi="Times New Roman"/>
                <w:spacing w:val="0"/>
                <w:vertAlign w:val="subscript"/>
              </w:rPr>
              <w:t>2</w:t>
            </w:r>
            <w:r w:rsidRPr="00167D54">
              <w:rPr>
                <w:rFonts w:ascii="Times New Roman" w:hAnsi="Times New Roman"/>
                <w:spacing w:val="0"/>
              </w:rPr>
              <w:t>e)</w:t>
            </w:r>
          </w:p>
        </w:tc>
        <w:tc>
          <w:tcPr>
            <w:tcW w:w="589" w:type="pct"/>
            <w:tcBorders>
              <w:top w:val="nil"/>
              <w:left w:val="nil"/>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 xml:space="preserve">29,502.5 </w:t>
            </w:r>
          </w:p>
        </w:tc>
        <w:tc>
          <w:tcPr>
            <w:tcW w:w="568" w:type="pct"/>
            <w:tcBorders>
              <w:top w:val="nil"/>
              <w:left w:val="nil"/>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 xml:space="preserve">17,694.6 </w:t>
            </w:r>
          </w:p>
        </w:tc>
        <w:tc>
          <w:tcPr>
            <w:tcW w:w="556" w:type="pct"/>
            <w:tcBorders>
              <w:top w:val="nil"/>
              <w:left w:val="nil"/>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 xml:space="preserve">14,325.7 </w:t>
            </w:r>
          </w:p>
        </w:tc>
        <w:tc>
          <w:tcPr>
            <w:tcW w:w="564" w:type="pct"/>
            <w:tcBorders>
              <w:top w:val="single" w:sz="4" w:space="0" w:color="auto"/>
              <w:left w:val="nil"/>
              <w:bottom w:val="single" w:sz="4" w:space="0" w:color="auto"/>
              <w:right w:val="single" w:sz="4" w:space="0" w:color="auto"/>
            </w:tcBorders>
            <w:vAlign w:val="center"/>
          </w:tcPr>
          <w:p w:rsidR="00AD5B0D" w:rsidRPr="00167D54" w:rsidRDefault="00AD5B0D" w:rsidP="00040355">
            <w:pPr>
              <w:ind w:left="0"/>
              <w:jc w:val="center"/>
              <w:rPr>
                <w:rFonts w:ascii="Times New Roman" w:hAnsi="Times New Roman"/>
                <w:spacing w:val="0"/>
              </w:rPr>
            </w:pPr>
            <w:r>
              <w:rPr>
                <w:rFonts w:ascii="Times New Roman" w:hAnsi="Times New Roman"/>
                <w:spacing w:val="0"/>
              </w:rPr>
              <w:t>19,154.7</w:t>
            </w:r>
          </w:p>
        </w:tc>
        <w:tc>
          <w:tcPr>
            <w:tcW w:w="942" w:type="pct"/>
            <w:tcBorders>
              <w:top w:val="nil"/>
              <w:left w:val="single" w:sz="4" w:space="0" w:color="auto"/>
              <w:bottom w:val="single" w:sz="4" w:space="0" w:color="auto"/>
              <w:right w:val="single" w:sz="4" w:space="0" w:color="auto"/>
            </w:tcBorders>
            <w:shd w:val="clear" w:color="auto" w:fill="auto"/>
            <w:vAlign w:val="center"/>
            <w:hideMark/>
          </w:tcPr>
          <w:p w:rsidR="00AD5B0D" w:rsidRPr="00167D54" w:rsidRDefault="00AD5B0D" w:rsidP="00040355">
            <w:pPr>
              <w:ind w:left="0"/>
              <w:jc w:val="center"/>
              <w:rPr>
                <w:rFonts w:ascii="Times New Roman" w:hAnsi="Times New Roman"/>
                <w:spacing w:val="0"/>
              </w:rPr>
            </w:pPr>
            <w:r w:rsidRPr="00167D54">
              <w:rPr>
                <w:rFonts w:ascii="Times New Roman" w:hAnsi="Times New Roman"/>
                <w:spacing w:val="0"/>
              </w:rPr>
              <w:t>-</w:t>
            </w:r>
            <w:r>
              <w:rPr>
                <w:rFonts w:ascii="Times New Roman" w:hAnsi="Times New Roman"/>
                <w:spacing w:val="0"/>
              </w:rPr>
              <w:t>35.1</w:t>
            </w:r>
            <w:r w:rsidRPr="00167D54">
              <w:rPr>
                <w:rFonts w:ascii="Times New Roman" w:hAnsi="Times New Roman"/>
                <w:spacing w:val="0"/>
              </w:rPr>
              <w:t>%</w:t>
            </w:r>
          </w:p>
        </w:tc>
      </w:tr>
    </w:tbl>
    <w:p w:rsidR="009C3B7D" w:rsidRDefault="009C3B7D" w:rsidP="006F195B">
      <w:pPr>
        <w:pStyle w:val="BodyText"/>
        <w:ind w:left="0"/>
      </w:pPr>
    </w:p>
    <w:p w:rsidR="00A9745B" w:rsidRDefault="00BB259D" w:rsidP="006F195B">
      <w:pPr>
        <w:pStyle w:val="BodyText"/>
        <w:ind w:left="0"/>
      </w:pPr>
      <w:r w:rsidRPr="00270264">
        <w:t xml:space="preserve">Fermilab </w:t>
      </w:r>
      <w:r>
        <w:t xml:space="preserve">is </w:t>
      </w:r>
      <w:r w:rsidRPr="00270264">
        <w:t>committed to</w:t>
      </w:r>
      <w:r>
        <w:t xml:space="preserve"> assist DOE in meeting reduction goals of 28% for Scopes 1 and 2, and 13% for Scope 3 by 2020</w:t>
      </w:r>
      <w:r w:rsidRPr="00270264">
        <w:t>.  Fermilab intends to use renewable energy certificates based on our purchased power consumption as a primary mechanism to reduce Scope 2 emissions</w:t>
      </w:r>
      <w:r w:rsidR="00AD5B0D">
        <w:t>.</w:t>
      </w:r>
    </w:p>
    <w:p w:rsidR="002818BE" w:rsidRPr="0029394F" w:rsidRDefault="000368D1" w:rsidP="006F195B">
      <w:pPr>
        <w:pStyle w:val="Heading2"/>
        <w:jc w:val="both"/>
        <w:rPr>
          <w:rFonts w:ascii="Arial" w:hAnsi="Arial" w:cs="Arial"/>
          <w:sz w:val="20"/>
        </w:rPr>
      </w:pPr>
      <w:bookmarkStart w:id="39" w:name="_Toc426529658"/>
      <w:r w:rsidRPr="0029394F">
        <w:t>7</w:t>
      </w:r>
      <w:r w:rsidR="00FD64A0" w:rsidRPr="0029394F">
        <w:t>.3</w:t>
      </w:r>
      <w:r w:rsidR="00E40625" w:rsidRPr="0029394F">
        <w:t xml:space="preserve"> Underground Storage Tanks</w:t>
      </w:r>
      <w:r w:rsidR="0025688A" w:rsidRPr="0029394F">
        <w:t xml:space="preserve"> and Fuels</w:t>
      </w:r>
      <w:bookmarkEnd w:id="39"/>
    </w:p>
    <w:p w:rsidR="0025688A" w:rsidRDefault="0025688A" w:rsidP="0025688A">
      <w:pPr>
        <w:pStyle w:val="BodyText"/>
        <w:ind w:left="0"/>
      </w:pPr>
      <w:r>
        <w:t>The three underground storage tanks (USTs) in use at Site 38 Fuel Dispensing Facility were operated and maintained per current UST standards.  An Illinois State Fire Marshall compliance inspection was conducted on 11/26/2013 and our Underground Storage Tank Motor Fuel Dispensing Permit was approved.  The UST system continues to be inspected on a semi-annual basis by a qualified subcontracted vendor, and on a daily, monthly, and quarterly basis by a Class A certified Underground Storage Tank operator. The inspection activity ensures that the internal and external leak detection systems are functioning properly.  Per IEPA and USEPA rule changes, the Stage II vapor recovery function of the fuel dispensers were decommissioned in 2014.  Additionally, work was completed at the same time to replace the Diesel and Gasoline spill buckets and the drop tube for the E85 UST.  There were no compliance issues identified in 2014.</w:t>
      </w:r>
    </w:p>
    <w:p w:rsidR="00903BD3" w:rsidRPr="00834947" w:rsidRDefault="0025688A" w:rsidP="0025688A">
      <w:pPr>
        <w:pStyle w:val="BodyText"/>
        <w:ind w:left="0"/>
      </w:pPr>
      <w:r>
        <w:t>Fermilab continues to decrease the utilization of petroleum based fuels.  Fermilab has reduced petroleum usage by 9% in the past year.  79% of Fermilab vehicles use alternate fuels (approximately 49,500 gallons of E85 and 20,000 gallons of biodiesel), with several medium and heavy-duty vehicles operating on biodiesel fuels</w:t>
      </w:r>
      <w:r w:rsidR="00903BD3">
        <w:t xml:space="preserve">  </w:t>
      </w:r>
    </w:p>
    <w:p w:rsidR="00E40625" w:rsidRPr="0029394F" w:rsidRDefault="000368D1" w:rsidP="006F195B">
      <w:pPr>
        <w:pStyle w:val="Heading2"/>
        <w:jc w:val="both"/>
      </w:pPr>
      <w:bookmarkStart w:id="40" w:name="_Toc426529659"/>
      <w:r w:rsidRPr="0029394F">
        <w:t>7</w:t>
      </w:r>
      <w:r w:rsidR="00FD64A0" w:rsidRPr="0029394F">
        <w:t>.4</w:t>
      </w:r>
      <w:r w:rsidR="00E40625" w:rsidRPr="0029394F">
        <w:t xml:space="preserve"> The Endangered Species Act of 1973</w:t>
      </w:r>
      <w:bookmarkEnd w:id="40"/>
    </w:p>
    <w:p w:rsidR="00E40625" w:rsidRPr="002B3459" w:rsidRDefault="00903BD3" w:rsidP="006F195B">
      <w:pPr>
        <w:pStyle w:val="BodyText"/>
        <w:ind w:left="0"/>
      </w:pPr>
      <w:r>
        <w:t xml:space="preserve">Impact to endangered species is considered as part of Fermilab’s environmental reviews under NEPA. The project area and impact to protected species to critical habitat are questions explicitly asked on the environmental review form that all projects must complete prior to construction. </w:t>
      </w:r>
      <w:r w:rsidRPr="002B3459">
        <w:t>No complianc</w:t>
      </w:r>
      <w:r w:rsidR="00250C2B">
        <w:t>e issues were identified in 2014</w:t>
      </w:r>
      <w:r>
        <w:t>.</w:t>
      </w:r>
    </w:p>
    <w:p w:rsidR="00E40625" w:rsidRPr="0029394F" w:rsidRDefault="000368D1" w:rsidP="006F195B">
      <w:pPr>
        <w:pStyle w:val="Heading2"/>
        <w:jc w:val="both"/>
      </w:pPr>
      <w:bookmarkStart w:id="41" w:name="_Toc426529660"/>
      <w:r w:rsidRPr="0029394F">
        <w:t>7</w:t>
      </w:r>
      <w:r w:rsidR="00FD64A0" w:rsidRPr="0029394F">
        <w:t>.5</w:t>
      </w:r>
      <w:r w:rsidR="00E40625" w:rsidRPr="0029394F">
        <w:t xml:space="preserve"> Executive Order 11988, “Floodplain Management”</w:t>
      </w:r>
      <w:bookmarkEnd w:id="41"/>
    </w:p>
    <w:p w:rsidR="00C7653D" w:rsidRPr="002B3459" w:rsidRDefault="00CE4B21" w:rsidP="006F195B">
      <w:pPr>
        <w:pStyle w:val="BodyText"/>
        <w:ind w:left="0"/>
      </w:pPr>
      <w:r>
        <w:t xml:space="preserve">Impact to floodplains is considered as part of Fermilab’s environmental reviews under NEPA. Project information, such as total project area or if filling is required, are questions explicitly asked on the environmental review form that all projects must complete prior to construction. </w:t>
      </w:r>
      <w:r w:rsidRPr="002B3459">
        <w:t>No flood plain is</w:t>
      </w:r>
      <w:r w:rsidR="0025688A">
        <w:t>sues were encountered during 2014.</w:t>
      </w:r>
    </w:p>
    <w:p w:rsidR="00E40625" w:rsidRPr="0029394F" w:rsidRDefault="000368D1" w:rsidP="006F195B">
      <w:pPr>
        <w:pStyle w:val="Heading2"/>
        <w:jc w:val="both"/>
      </w:pPr>
      <w:bookmarkStart w:id="42" w:name="_Toc426529661"/>
      <w:r w:rsidRPr="0029394F">
        <w:lastRenderedPageBreak/>
        <w:t>7</w:t>
      </w:r>
      <w:r w:rsidR="00FD64A0" w:rsidRPr="0029394F">
        <w:t>.6</w:t>
      </w:r>
      <w:r w:rsidR="00E40625" w:rsidRPr="0029394F">
        <w:t xml:space="preserve"> Clean Water Act Section 404 (and Executive Order 11990, “Protection of Wetlands”)</w:t>
      </w:r>
      <w:bookmarkEnd w:id="42"/>
    </w:p>
    <w:p w:rsidR="0025688A" w:rsidRDefault="0025688A" w:rsidP="006F195B">
      <w:pPr>
        <w:pStyle w:val="BodyText"/>
        <w:ind w:left="0"/>
      </w:pPr>
      <w:r w:rsidRPr="0025688A">
        <w:t>Pre-evaluation of Fermilab activities in wetlands continued to be accomplished through the NEPA and construction design review processes.  The Lab continued to use task manager/construction coordinator training to instruct participants in how to ensure that potential work areas are screened for the presence of wetlands and to be aware of all aspects of environmental compliance management.  The Lab conducted several wetland delineation activities as part of project planning, and one CWA Section 404 permit was obtained for the Sh</w:t>
      </w:r>
      <w:r>
        <w:t xml:space="preserve">ort Baseline Neutrino Project. </w:t>
      </w:r>
    </w:p>
    <w:p w:rsidR="00E40625" w:rsidRPr="0025688A" w:rsidRDefault="000368D1" w:rsidP="006F195B">
      <w:pPr>
        <w:pStyle w:val="Heading2"/>
        <w:jc w:val="both"/>
        <w:rPr>
          <w:color w:val="00B050"/>
        </w:rPr>
      </w:pPr>
      <w:bookmarkStart w:id="43" w:name="_Toc426529662"/>
      <w:r w:rsidRPr="0029394F">
        <w:t>7</w:t>
      </w:r>
      <w:r w:rsidR="00FD64A0" w:rsidRPr="0029394F">
        <w:t>.7</w:t>
      </w:r>
      <w:r w:rsidR="00E40625" w:rsidRPr="0029394F">
        <w:t xml:space="preserve"> Federal Insecticide, Fungicide, and Rodenticide Act (FIFRA</w:t>
      </w:r>
      <w:r w:rsidR="00E40625" w:rsidRPr="0025688A">
        <w:rPr>
          <w:color w:val="00B050"/>
        </w:rPr>
        <w:t>)</w:t>
      </w:r>
      <w:bookmarkEnd w:id="43"/>
    </w:p>
    <w:p w:rsidR="006B5939" w:rsidRPr="002B3459" w:rsidRDefault="006B5939" w:rsidP="006F195B">
      <w:pPr>
        <w:pStyle w:val="BodyText"/>
        <w:ind w:left="0"/>
      </w:pPr>
      <w:r w:rsidRPr="002B3459">
        <w:t xml:space="preserve">In </w:t>
      </w:r>
      <w:r w:rsidR="0025688A">
        <w:t>2014</w:t>
      </w:r>
      <w:r w:rsidRPr="002B3459">
        <w:t xml:space="preserve">, the use of pesticides and herbicides at </w:t>
      </w:r>
      <w:r w:rsidR="00E61A51" w:rsidRPr="002B3459">
        <w:t>Fermilab were</w:t>
      </w:r>
      <w:r w:rsidRPr="002B3459">
        <w:t xml:space="preserve"> handled in accordance with FIFRA.</w:t>
      </w:r>
      <w:r w:rsidR="00F81019" w:rsidRPr="002B3459">
        <w:t xml:space="preserve">  Fermilab adheres to the principles of Integrated Pest Management in order to minimize pollution an</w:t>
      </w:r>
      <w:r w:rsidR="00CE4B21">
        <w:t>d adverse environmental impacts.</w:t>
      </w:r>
      <w:r w:rsidR="00F81019" w:rsidRPr="002B3459">
        <w:t xml:space="preserve"> </w:t>
      </w:r>
    </w:p>
    <w:p w:rsidR="00E40625" w:rsidRPr="0029394F" w:rsidRDefault="000368D1" w:rsidP="006F195B">
      <w:pPr>
        <w:pStyle w:val="Heading2"/>
        <w:jc w:val="both"/>
      </w:pPr>
      <w:bookmarkStart w:id="44" w:name="_Toc426529663"/>
      <w:r w:rsidRPr="0029394F">
        <w:t>7</w:t>
      </w:r>
      <w:r w:rsidR="00FD64A0" w:rsidRPr="0029394F">
        <w:t>.8</w:t>
      </w:r>
      <w:r w:rsidR="00E40625" w:rsidRPr="0029394F">
        <w:t xml:space="preserve"> Illinois Department of Natural Resources “Rules for Construction and Maintenance of Dams”</w:t>
      </w:r>
      <w:bookmarkEnd w:id="44"/>
    </w:p>
    <w:p w:rsidR="00F81019" w:rsidRPr="002B3459" w:rsidRDefault="00CE4B21" w:rsidP="006F195B">
      <w:pPr>
        <w:pStyle w:val="BodyText"/>
        <w:ind w:left="0"/>
      </w:pPr>
      <w:r>
        <w:t>The Department of Energy</w:t>
      </w:r>
      <w:r w:rsidRPr="002B3459">
        <w:t xml:space="preserve"> holds an Illinois Department of Natural Resources (IDNR) issued permit that classifies the Main Injector berm as a small </w:t>
      </w:r>
      <w:r w:rsidRPr="002B3459">
        <w:rPr>
          <w:i/>
        </w:rPr>
        <w:t>Class III</w:t>
      </w:r>
      <w:r w:rsidRPr="002B3459">
        <w:t xml:space="preserve"> dam.  The dam provides limited flood control to areas downstream from the Lab in the Indian Creek watershed.  </w:t>
      </w:r>
      <w:r>
        <w:t xml:space="preserve">Fermilab reports to IDNR annually on the condition of the dam, and on </w:t>
      </w:r>
      <w:r w:rsidRPr="002B3459">
        <w:t>a five-year cycle Fermilab is required to perform a comprehensive inspection and file a detailed report on the</w:t>
      </w:r>
      <w:r>
        <w:t xml:space="preserve"> condition of this structure</w:t>
      </w:r>
      <w:r w:rsidRPr="00DF0323">
        <w:t xml:space="preserve">.  A comprehensive inspection was conducted in April of 2013 and an “Owners Maintenance Report” was transmitted to the IDNR by </w:t>
      </w:r>
      <w:r w:rsidRPr="002B3459">
        <w:t>DOE. No non-routine action items</w:t>
      </w:r>
      <w:r>
        <w:t xml:space="preserve"> were identified during the 2013 comprehensive</w:t>
      </w:r>
      <w:r w:rsidRPr="002B3459">
        <w:t xml:space="preserve"> inspection</w:t>
      </w:r>
    </w:p>
    <w:p w:rsidR="00E40625" w:rsidRPr="0029394F" w:rsidRDefault="000368D1" w:rsidP="006F195B">
      <w:pPr>
        <w:pStyle w:val="Heading2"/>
        <w:jc w:val="both"/>
      </w:pPr>
      <w:bookmarkStart w:id="45" w:name="_Toc426529664"/>
      <w:r w:rsidRPr="0029394F">
        <w:t>7</w:t>
      </w:r>
      <w:r w:rsidR="00FD64A0" w:rsidRPr="0029394F">
        <w:t>.9</w:t>
      </w:r>
      <w:r w:rsidR="00E40625" w:rsidRPr="0029394F">
        <w:t xml:space="preserve"> The Migratory Bird Treaty Act</w:t>
      </w:r>
      <w:bookmarkEnd w:id="45"/>
    </w:p>
    <w:p w:rsidR="00786E36" w:rsidRDefault="00786E36" w:rsidP="00786E36">
      <w:pPr>
        <w:pStyle w:val="BodyText"/>
        <w:ind w:left="0"/>
      </w:pPr>
      <w:r>
        <w:t>Fermilab maintains a proactive approach at protecting the Canada goose population onsite.  Fermilab contracts with a firm to use dogs to harass geese in order to displace them from heavily populated areas on the site.  The firm holds a valid permit from the Illinois Department of Natural Resources to pursue this activity, which was carried out during March and April.  Fermilab also possesses a Nuisance Wildlife Control Permit issued by the IDNR that allows for the destruction of Canada g</w:t>
      </w:r>
      <w:r w:rsidRPr="00BA7552">
        <w:t>oose nests if they become a safety hazard.  The permit allows the Lab to destroy up to ten nests each year.  During 2014, 1 nest containing 3 eggs was destroyed.</w:t>
      </w:r>
    </w:p>
    <w:p w:rsidR="002B3459" w:rsidRPr="0029394F" w:rsidRDefault="00786E36" w:rsidP="00CE4B21">
      <w:pPr>
        <w:pStyle w:val="BodyText"/>
        <w:ind w:left="0"/>
      </w:pPr>
      <w:r>
        <w:t>For some background, the U.S. legislature passed the Migratory Bird Treaty Act of 1918 (MBTA) to protect birds from the high demand for feather plumes for women’s hats during the time period. MBTA applies to over 1,000 species of birds, including the</w:t>
      </w:r>
      <w:r w:rsidRPr="007B1882">
        <w:t xml:space="preserve"> </w:t>
      </w:r>
      <w:r>
        <w:t xml:space="preserve">ubiquitous American robin.  Migratory species are those whose individuals migrate between countries by "normal ecological processes."  Because the law prohibits a broad range of activities, the interpretation of what constitutes a violation fluctuates. Thus, inadvertently affecting migratory birds during construction or other activities could have serious repercussions.  However, the courts have usually held to a narrower interpretation and in the early 2000s, guidance was passed that directed agencies to outline a plan to avoid harming migratory birds and to take proactive steps to conserve bird populations. A Department of Energy </w:t>
      </w:r>
      <w:hyperlink r:id="rId13" w:tgtFrame="_blank" w:history="1">
        <w:r w:rsidRPr="000344AE">
          <w:t>memorandum of understanding</w:t>
        </w:r>
      </w:hyperlink>
      <w:r>
        <w:t xml:space="preserve"> (MOU) with the U.S. Fish and Wildlife Service was finalized in 2006 and provides a number of measures designed to "protect and conserve" migratory bird habitat to the fullest extent practicable. Fermilab addresses this MOU by evaluating migratory bird impacts during the normal course of conducting environmental reviews under </w:t>
      </w:r>
      <w:hyperlink r:id="rId14" w:tgtFrame="_blank" w:history="1">
        <w:r w:rsidRPr="000344AE">
          <w:t>NEPA</w:t>
        </w:r>
      </w:hyperlink>
      <w:r>
        <w:t xml:space="preserve"> to avoid or minimize impacts to even the most common birds as much as reasonable.</w:t>
      </w:r>
    </w:p>
    <w:p w:rsidR="00E40625" w:rsidRPr="0029394F" w:rsidRDefault="000368D1" w:rsidP="006F195B">
      <w:pPr>
        <w:pStyle w:val="Heading2"/>
        <w:jc w:val="both"/>
      </w:pPr>
      <w:bookmarkStart w:id="46" w:name="_Toc426529665"/>
      <w:r w:rsidRPr="0029394F">
        <w:t>7</w:t>
      </w:r>
      <w:r w:rsidR="00FD64A0" w:rsidRPr="0029394F">
        <w:t xml:space="preserve">.10 </w:t>
      </w:r>
      <w:r w:rsidR="00E40625" w:rsidRPr="0029394F">
        <w:t>National Environmental Policy Act (NEPA)</w:t>
      </w:r>
      <w:bookmarkEnd w:id="46"/>
    </w:p>
    <w:p w:rsidR="00B2747A" w:rsidRPr="00B2747A" w:rsidRDefault="00B2747A" w:rsidP="00B2747A">
      <w:pPr>
        <w:spacing w:after="240" w:line="240" w:lineRule="atLeast"/>
        <w:ind w:left="0"/>
        <w:jc w:val="both"/>
      </w:pPr>
      <w:r w:rsidRPr="00B2747A">
        <w:t>Compliance with this Act requires federal agencies to evaluate their proposed actions to determine the potential effects on the quality of the ‘human environment,’ which includes many different aspects of the natural environment, the built environment, and human health prior to carrying out those actions.</w:t>
      </w:r>
    </w:p>
    <w:p w:rsidR="00B2747A" w:rsidRPr="00B2747A" w:rsidRDefault="00B2747A" w:rsidP="00B2747A">
      <w:pPr>
        <w:spacing w:after="240" w:line="240" w:lineRule="atLeast"/>
        <w:ind w:left="0"/>
        <w:jc w:val="both"/>
        <w:rPr>
          <w:i/>
        </w:rPr>
      </w:pPr>
      <w:r w:rsidRPr="00B2747A">
        <w:lastRenderedPageBreak/>
        <w:t xml:space="preserve">In addition, the Council on Environmental Quality and DOE NEPA regulations as well as DOE Order 451.1 prescribe an evaluation process to ensure that the proper level of review is performed before a commitment of resources is made. During 2014, Fermilab met the NEPA requirements by continuing to implement a program to review all proposed activities and evaluate their potential effects; this program is set forth in the </w:t>
      </w:r>
      <w:r w:rsidRPr="00B2747A">
        <w:rPr>
          <w:i/>
        </w:rPr>
        <w:t xml:space="preserve">Fermilab Environment, Safety and Health Manual </w:t>
      </w:r>
      <w:r w:rsidRPr="00B2747A">
        <w:t xml:space="preserve">(FESHM) Chapter 8060 – </w:t>
      </w:r>
      <w:r w:rsidRPr="00B2747A">
        <w:rPr>
          <w:i/>
        </w:rPr>
        <w:t xml:space="preserve">National Environmental Policy Review. </w:t>
      </w:r>
      <w:r w:rsidRPr="00B2747A">
        <w:t xml:space="preserve">Most of the reviewed activities were considered categorically excluded administrative actions requiring no formal documentation (found in 10 CFR 1021 Appendix A) or those fitting within the list of DOE preapproved Fermilab site wide categorically excluded routine maintenance activities. However, 15 projects/actions did need to be addressed by submitting environmental evaluation notification forms to DOE; DOE then formally determined that all 15 of the projects were ‘Categorically Excluded’ (see definition below) per 10 CFR 1021 Appendix B or were within the scope of a previous environmental assessment. These determinations are posted on the DOE Fermi Site Office website. In addition, another Fermilab site wide generic categorical exclusion was approved by DOE in 2014 for </w:t>
      </w:r>
      <w:r w:rsidRPr="00B2747A">
        <w:rPr>
          <w:i/>
        </w:rPr>
        <w:t>Small Scale Research and Development Projects and Conventional Laboratory Operations.</w:t>
      </w:r>
    </w:p>
    <w:p w:rsidR="00B2747A" w:rsidRPr="00B2747A" w:rsidRDefault="00B2747A" w:rsidP="00B2747A">
      <w:pPr>
        <w:spacing w:after="240" w:line="240" w:lineRule="atLeast"/>
        <w:ind w:left="0"/>
        <w:jc w:val="both"/>
      </w:pPr>
      <w:r w:rsidRPr="00B2747A">
        <w:rPr>
          <w:i/>
        </w:rPr>
        <w:t xml:space="preserve">Categorical exclusions </w:t>
      </w:r>
      <w:r w:rsidRPr="00B2747A">
        <w:t xml:space="preserve">(CXs) are categories of actions that do not individually or cumulatively have a significant effect on the human environment and for which, therefore, neither an </w:t>
      </w:r>
      <w:r w:rsidRPr="00B2747A">
        <w:rPr>
          <w:i/>
        </w:rPr>
        <w:t xml:space="preserve">Environmental Assessment </w:t>
      </w:r>
      <w:r w:rsidRPr="00B2747A">
        <w:t xml:space="preserve">nor an </w:t>
      </w:r>
      <w:r w:rsidRPr="00B2747A">
        <w:rPr>
          <w:i/>
        </w:rPr>
        <w:t xml:space="preserve">Environmental Impact Statement </w:t>
      </w:r>
      <w:r w:rsidRPr="00B2747A">
        <w:t>is required.</w:t>
      </w:r>
    </w:p>
    <w:p w:rsidR="00B2747A" w:rsidRPr="0029394F" w:rsidRDefault="00B2747A" w:rsidP="00B2747A">
      <w:pPr>
        <w:spacing w:after="240" w:line="240" w:lineRule="atLeast"/>
        <w:ind w:left="0"/>
        <w:jc w:val="both"/>
      </w:pPr>
      <w:r w:rsidRPr="00B2747A">
        <w:t>An Environmental Assessment (EA) is currently being prepared for the Long Baseline Neutrino Facility (LBNF) project. Sub</w:t>
      </w:r>
      <w:r w:rsidRPr="00B2747A">
        <w:rPr>
          <w:rFonts w:ascii="Cambria Math" w:hAnsi="Cambria Math" w:cs="Cambria Math"/>
        </w:rPr>
        <w:t>‐</w:t>
      </w:r>
      <w:r w:rsidRPr="00B2747A">
        <w:t xml:space="preserve"> contractors have been retained to prepare the document and assist DOE in the overall process and to provide information and analysis from the Far Site in South Dakota. The EA will analyze potential impacts at both Fermilab and the Sanford Underground Research Facility in South Dakota. The Proposed Action and 2 Alternative Actions are being considered. Impacts from the project as well as cumulative impacts resulting from other reasonably foreseeable actions are included in the Assessment.</w:t>
      </w:r>
    </w:p>
    <w:p w:rsidR="00E40625" w:rsidRPr="0029394F" w:rsidRDefault="000368D1" w:rsidP="006F195B">
      <w:pPr>
        <w:pStyle w:val="Heading2"/>
        <w:jc w:val="both"/>
      </w:pPr>
      <w:bookmarkStart w:id="47" w:name="_Toc426529666"/>
      <w:r w:rsidRPr="0029394F">
        <w:t>7</w:t>
      </w:r>
      <w:r w:rsidR="00FD64A0" w:rsidRPr="0029394F">
        <w:t>.11</w:t>
      </w:r>
      <w:r w:rsidR="00E40625" w:rsidRPr="0029394F">
        <w:t xml:space="preserve"> National Historic Preservation Act (NHPA), Archaeological Resources Protection Act, Native American Graves Protection and Repatriation Act (NAGPRA) of 1990</w:t>
      </w:r>
      <w:bookmarkEnd w:id="47"/>
    </w:p>
    <w:p w:rsidR="00B2747A" w:rsidRDefault="00B2747A" w:rsidP="00B2747A">
      <w:pPr>
        <w:pStyle w:val="BodyText"/>
        <w:ind w:left="0" w:right="118"/>
        <w:rPr>
          <w:rFonts w:ascii="Calibri" w:eastAsia="Calibri" w:hAnsi="Calibri" w:cs="Calibri"/>
          <w:sz w:val="19"/>
          <w:szCs w:val="19"/>
        </w:rPr>
      </w:pPr>
      <w:r>
        <w:t>Compliance</w:t>
      </w:r>
      <w:r>
        <w:rPr>
          <w:spacing w:val="9"/>
        </w:rPr>
        <w:t xml:space="preserve"> </w:t>
      </w:r>
      <w:r>
        <w:rPr>
          <w:spacing w:val="-1"/>
        </w:rPr>
        <w:t>with</w:t>
      </w:r>
      <w:r>
        <w:rPr>
          <w:spacing w:val="7"/>
        </w:rPr>
        <w:t xml:space="preserve"> </w:t>
      </w:r>
      <w:r>
        <w:t>these</w:t>
      </w:r>
      <w:r>
        <w:rPr>
          <w:spacing w:val="7"/>
        </w:rPr>
        <w:t xml:space="preserve"> </w:t>
      </w:r>
      <w:r>
        <w:rPr>
          <w:spacing w:val="-1"/>
        </w:rPr>
        <w:t>Acts,</w:t>
      </w:r>
      <w:r>
        <w:rPr>
          <w:spacing w:val="8"/>
        </w:rPr>
        <w:t xml:space="preserve"> </w:t>
      </w:r>
      <w:r>
        <w:t>as</w:t>
      </w:r>
      <w:r>
        <w:rPr>
          <w:spacing w:val="9"/>
        </w:rPr>
        <w:t xml:space="preserve"> </w:t>
      </w:r>
      <w:r>
        <w:t>well</w:t>
      </w:r>
      <w:r>
        <w:rPr>
          <w:spacing w:val="7"/>
        </w:rPr>
        <w:t xml:space="preserve"> </w:t>
      </w:r>
      <w:r>
        <w:t>as</w:t>
      </w:r>
      <w:r>
        <w:rPr>
          <w:spacing w:val="8"/>
        </w:rPr>
        <w:t xml:space="preserve"> </w:t>
      </w:r>
      <w:r>
        <w:rPr>
          <w:spacing w:val="-1"/>
        </w:rPr>
        <w:t>with</w:t>
      </w:r>
      <w:r>
        <w:rPr>
          <w:spacing w:val="7"/>
        </w:rPr>
        <w:t xml:space="preserve"> </w:t>
      </w:r>
      <w:r>
        <w:t>DOE</w:t>
      </w:r>
      <w:r>
        <w:rPr>
          <w:spacing w:val="8"/>
        </w:rPr>
        <w:t xml:space="preserve"> </w:t>
      </w:r>
      <w:r>
        <w:rPr>
          <w:spacing w:val="-1"/>
        </w:rPr>
        <w:t>Order</w:t>
      </w:r>
      <w:r>
        <w:rPr>
          <w:spacing w:val="7"/>
        </w:rPr>
        <w:t xml:space="preserve"> </w:t>
      </w:r>
      <w:r>
        <w:t>450.1</w:t>
      </w:r>
      <w:r>
        <w:rPr>
          <w:spacing w:val="7"/>
        </w:rPr>
        <w:t xml:space="preserve"> </w:t>
      </w:r>
      <w:r>
        <w:t>was</w:t>
      </w:r>
      <w:r>
        <w:rPr>
          <w:spacing w:val="8"/>
        </w:rPr>
        <w:t xml:space="preserve"> </w:t>
      </w:r>
      <w:r>
        <w:rPr>
          <w:spacing w:val="-1"/>
        </w:rPr>
        <w:t>accomplished</w:t>
      </w:r>
      <w:r>
        <w:rPr>
          <w:spacing w:val="8"/>
        </w:rPr>
        <w:t xml:space="preserve"> </w:t>
      </w:r>
      <w:r>
        <w:t>through</w:t>
      </w:r>
      <w:r>
        <w:rPr>
          <w:spacing w:val="10"/>
        </w:rPr>
        <w:t xml:space="preserve"> </w:t>
      </w:r>
      <w:r>
        <w:rPr>
          <w:spacing w:val="-1"/>
        </w:rPr>
        <w:t>the</w:t>
      </w:r>
      <w:r>
        <w:rPr>
          <w:spacing w:val="8"/>
        </w:rPr>
        <w:t xml:space="preserve"> </w:t>
      </w:r>
      <w:r>
        <w:t>NEPA</w:t>
      </w:r>
      <w:r>
        <w:rPr>
          <w:spacing w:val="7"/>
        </w:rPr>
        <w:t xml:space="preserve"> </w:t>
      </w:r>
      <w:r>
        <w:t>review</w:t>
      </w:r>
      <w:r>
        <w:rPr>
          <w:spacing w:val="8"/>
        </w:rPr>
        <w:t xml:space="preserve"> </w:t>
      </w:r>
      <w:r>
        <w:t>process</w:t>
      </w:r>
      <w:r>
        <w:rPr>
          <w:spacing w:val="8"/>
        </w:rPr>
        <w:t xml:space="preserve"> </w:t>
      </w:r>
      <w:r>
        <w:t>that</w:t>
      </w:r>
      <w:r>
        <w:rPr>
          <w:spacing w:val="31"/>
          <w:w w:val="99"/>
        </w:rPr>
        <w:t xml:space="preserve"> </w:t>
      </w:r>
      <w:r>
        <w:rPr>
          <w:spacing w:val="-1"/>
        </w:rPr>
        <w:t>included</w:t>
      </w:r>
      <w:r>
        <w:rPr>
          <w:spacing w:val="36"/>
        </w:rPr>
        <w:t xml:space="preserve"> </w:t>
      </w:r>
      <w:r>
        <w:t>an</w:t>
      </w:r>
      <w:r>
        <w:rPr>
          <w:spacing w:val="36"/>
        </w:rPr>
        <w:t xml:space="preserve"> </w:t>
      </w:r>
      <w:r>
        <w:t>evaluation</w:t>
      </w:r>
      <w:r>
        <w:rPr>
          <w:spacing w:val="35"/>
        </w:rPr>
        <w:t xml:space="preserve"> </w:t>
      </w:r>
      <w:r>
        <w:t>of</w:t>
      </w:r>
      <w:r>
        <w:rPr>
          <w:spacing w:val="36"/>
        </w:rPr>
        <w:t xml:space="preserve"> </w:t>
      </w:r>
      <w:r>
        <w:t>all</w:t>
      </w:r>
      <w:r>
        <w:rPr>
          <w:spacing w:val="36"/>
        </w:rPr>
        <w:t xml:space="preserve"> </w:t>
      </w:r>
      <w:r>
        <w:t>proposed</w:t>
      </w:r>
      <w:r>
        <w:rPr>
          <w:spacing w:val="36"/>
        </w:rPr>
        <w:t xml:space="preserve"> </w:t>
      </w:r>
      <w:r>
        <w:rPr>
          <w:spacing w:val="-1"/>
        </w:rPr>
        <w:t>land</w:t>
      </w:r>
      <w:r>
        <w:rPr>
          <w:rFonts w:ascii="Calibri" w:eastAsia="Calibri" w:hAnsi="Calibri" w:cs="Calibri"/>
          <w:spacing w:val="-1"/>
        </w:rPr>
        <w:t>‐</w:t>
      </w:r>
      <w:r>
        <w:rPr>
          <w:spacing w:val="-1"/>
        </w:rPr>
        <w:t>disturbing</w:t>
      </w:r>
      <w:r>
        <w:rPr>
          <w:spacing w:val="38"/>
        </w:rPr>
        <w:t xml:space="preserve"> </w:t>
      </w:r>
      <w:r>
        <w:rPr>
          <w:spacing w:val="-1"/>
        </w:rPr>
        <w:t>projects</w:t>
      </w:r>
      <w:r>
        <w:rPr>
          <w:spacing w:val="38"/>
        </w:rPr>
        <w:t xml:space="preserve"> </w:t>
      </w:r>
      <w:r>
        <w:rPr>
          <w:spacing w:val="-1"/>
        </w:rPr>
        <w:t>in</w:t>
      </w:r>
      <w:r>
        <w:rPr>
          <w:spacing w:val="35"/>
        </w:rPr>
        <w:t xml:space="preserve"> </w:t>
      </w:r>
      <w:r>
        <w:t>2014</w:t>
      </w:r>
      <w:r>
        <w:rPr>
          <w:spacing w:val="36"/>
        </w:rPr>
        <w:t xml:space="preserve"> </w:t>
      </w:r>
      <w:r>
        <w:rPr>
          <w:spacing w:val="-1"/>
        </w:rPr>
        <w:t>to</w:t>
      </w:r>
      <w:r>
        <w:rPr>
          <w:spacing w:val="37"/>
        </w:rPr>
        <w:t xml:space="preserve"> </w:t>
      </w:r>
      <w:r>
        <w:t>assess</w:t>
      </w:r>
      <w:r>
        <w:rPr>
          <w:spacing w:val="37"/>
        </w:rPr>
        <w:t xml:space="preserve"> </w:t>
      </w:r>
      <w:r>
        <w:t>any</w:t>
      </w:r>
      <w:r>
        <w:rPr>
          <w:spacing w:val="35"/>
        </w:rPr>
        <w:t xml:space="preserve"> </w:t>
      </w:r>
      <w:r>
        <w:rPr>
          <w:spacing w:val="-1"/>
        </w:rPr>
        <w:t>potential</w:t>
      </w:r>
      <w:r>
        <w:rPr>
          <w:spacing w:val="37"/>
        </w:rPr>
        <w:t xml:space="preserve"> </w:t>
      </w:r>
      <w:r>
        <w:rPr>
          <w:spacing w:val="-1"/>
        </w:rPr>
        <w:t>impacts</w:t>
      </w:r>
      <w:r>
        <w:rPr>
          <w:spacing w:val="36"/>
        </w:rPr>
        <w:t xml:space="preserve"> </w:t>
      </w:r>
      <w:r>
        <w:t>on</w:t>
      </w:r>
      <w:r>
        <w:rPr>
          <w:spacing w:val="36"/>
        </w:rPr>
        <w:t xml:space="preserve"> </w:t>
      </w:r>
      <w:r>
        <w:t>historic</w:t>
      </w:r>
      <w:r>
        <w:rPr>
          <w:spacing w:val="35"/>
          <w:w w:val="99"/>
        </w:rPr>
        <w:t xml:space="preserve"> </w:t>
      </w:r>
      <w:r>
        <w:t>resources.</w:t>
      </w:r>
      <w:r>
        <w:rPr>
          <w:spacing w:val="23"/>
        </w:rPr>
        <w:t xml:space="preserve"> </w:t>
      </w:r>
      <w:r>
        <w:t>No</w:t>
      </w:r>
      <w:r>
        <w:rPr>
          <w:spacing w:val="-13"/>
        </w:rPr>
        <w:t xml:space="preserve"> </w:t>
      </w:r>
      <w:r>
        <w:t>compliance</w:t>
      </w:r>
      <w:r>
        <w:rPr>
          <w:spacing w:val="-13"/>
        </w:rPr>
        <w:t xml:space="preserve"> </w:t>
      </w:r>
      <w:r>
        <w:t>issues</w:t>
      </w:r>
      <w:r>
        <w:rPr>
          <w:spacing w:val="-12"/>
        </w:rPr>
        <w:t xml:space="preserve"> </w:t>
      </w:r>
      <w:r>
        <w:t>were</w:t>
      </w:r>
      <w:r>
        <w:rPr>
          <w:spacing w:val="-13"/>
        </w:rPr>
        <w:t xml:space="preserve"> </w:t>
      </w:r>
      <w:r>
        <w:t>identified</w:t>
      </w:r>
      <w:r>
        <w:rPr>
          <w:spacing w:val="-13"/>
        </w:rPr>
        <w:t xml:space="preserve"> </w:t>
      </w:r>
      <w:r>
        <w:t>in</w:t>
      </w:r>
      <w:r>
        <w:rPr>
          <w:spacing w:val="-14"/>
        </w:rPr>
        <w:t xml:space="preserve"> </w:t>
      </w:r>
      <w:r>
        <w:t>2014.</w:t>
      </w:r>
      <w:r>
        <w:rPr>
          <w:spacing w:val="24"/>
        </w:rPr>
        <w:t xml:space="preserve"> </w:t>
      </w:r>
      <w:r>
        <w:rPr>
          <w:spacing w:val="-1"/>
        </w:rPr>
        <w:t>Additionally,</w:t>
      </w:r>
      <w:r>
        <w:rPr>
          <w:spacing w:val="-13"/>
        </w:rPr>
        <w:t xml:space="preserve"> </w:t>
      </w:r>
      <w:r>
        <w:rPr>
          <w:spacing w:val="-1"/>
        </w:rPr>
        <w:t>the</w:t>
      </w:r>
      <w:r>
        <w:rPr>
          <w:spacing w:val="-12"/>
        </w:rPr>
        <w:t xml:space="preserve"> </w:t>
      </w:r>
      <w:r>
        <w:t>DOE</w:t>
      </w:r>
      <w:r>
        <w:rPr>
          <w:spacing w:val="-14"/>
        </w:rPr>
        <w:t xml:space="preserve"> </w:t>
      </w:r>
      <w:r>
        <w:t>required</w:t>
      </w:r>
      <w:r>
        <w:rPr>
          <w:spacing w:val="-13"/>
        </w:rPr>
        <w:t xml:space="preserve"> </w:t>
      </w:r>
      <w:r>
        <w:t>Cultural</w:t>
      </w:r>
      <w:r>
        <w:rPr>
          <w:spacing w:val="-13"/>
        </w:rPr>
        <w:t xml:space="preserve"> </w:t>
      </w:r>
      <w:r>
        <w:t>Resources</w:t>
      </w:r>
      <w:r>
        <w:rPr>
          <w:spacing w:val="-12"/>
        </w:rPr>
        <w:t xml:space="preserve"> </w:t>
      </w:r>
      <w:r>
        <w:rPr>
          <w:spacing w:val="-1"/>
        </w:rPr>
        <w:t>Management</w:t>
      </w:r>
      <w:r>
        <w:rPr>
          <w:spacing w:val="36"/>
          <w:w w:val="99"/>
        </w:rPr>
        <w:t xml:space="preserve"> </w:t>
      </w:r>
      <w:r>
        <w:t>Plan</w:t>
      </w:r>
      <w:r>
        <w:rPr>
          <w:spacing w:val="3"/>
        </w:rPr>
        <w:t xml:space="preserve"> </w:t>
      </w:r>
      <w:r>
        <w:rPr>
          <w:spacing w:val="-1"/>
        </w:rPr>
        <w:t>(CRMP),</w:t>
      </w:r>
      <w:r>
        <w:rPr>
          <w:spacing w:val="5"/>
        </w:rPr>
        <w:t xml:space="preserve"> </w:t>
      </w:r>
      <w:r>
        <w:t>following</w:t>
      </w:r>
      <w:r>
        <w:rPr>
          <w:spacing w:val="4"/>
        </w:rPr>
        <w:t xml:space="preserve"> </w:t>
      </w:r>
      <w:r>
        <w:rPr>
          <w:spacing w:val="-1"/>
        </w:rPr>
        <w:t>guidelines</w:t>
      </w:r>
      <w:r>
        <w:rPr>
          <w:spacing w:val="5"/>
        </w:rPr>
        <w:t xml:space="preserve"> </w:t>
      </w:r>
      <w:r>
        <w:t>outlined</w:t>
      </w:r>
      <w:r>
        <w:rPr>
          <w:spacing w:val="5"/>
        </w:rPr>
        <w:t xml:space="preserve"> </w:t>
      </w:r>
      <w:r>
        <w:rPr>
          <w:spacing w:val="-1"/>
        </w:rPr>
        <w:t>in</w:t>
      </w:r>
      <w:r>
        <w:rPr>
          <w:spacing w:val="5"/>
        </w:rPr>
        <w:t xml:space="preserve"> </w:t>
      </w:r>
      <w:r>
        <w:t>DOE</w:t>
      </w:r>
      <w:r>
        <w:rPr>
          <w:spacing w:val="5"/>
        </w:rPr>
        <w:t xml:space="preserve"> </w:t>
      </w:r>
      <w:r>
        <w:t>Publication</w:t>
      </w:r>
      <w:r>
        <w:rPr>
          <w:spacing w:val="4"/>
        </w:rPr>
        <w:t xml:space="preserve"> </w:t>
      </w:r>
      <w:r>
        <w:t>DOE/EH</w:t>
      </w:r>
      <w:r>
        <w:rPr>
          <w:rFonts w:ascii="Calibri" w:eastAsia="Calibri" w:hAnsi="Calibri" w:cs="Calibri"/>
        </w:rPr>
        <w:t>‐</w:t>
      </w:r>
      <w:r>
        <w:t>0501,</w:t>
      </w:r>
      <w:r>
        <w:rPr>
          <w:spacing w:val="5"/>
        </w:rPr>
        <w:t xml:space="preserve"> </w:t>
      </w:r>
      <w:r>
        <w:t>was</w:t>
      </w:r>
      <w:r>
        <w:rPr>
          <w:spacing w:val="4"/>
        </w:rPr>
        <w:t xml:space="preserve"> </w:t>
      </w:r>
      <w:r>
        <w:t>revised</w:t>
      </w:r>
      <w:r>
        <w:rPr>
          <w:spacing w:val="3"/>
        </w:rPr>
        <w:t xml:space="preserve"> </w:t>
      </w:r>
      <w:r>
        <w:t>(originally</w:t>
      </w:r>
      <w:r>
        <w:rPr>
          <w:spacing w:val="5"/>
        </w:rPr>
        <w:t xml:space="preserve"> </w:t>
      </w:r>
      <w:r>
        <w:t>issued</w:t>
      </w:r>
      <w:r>
        <w:rPr>
          <w:spacing w:val="6"/>
        </w:rPr>
        <w:t xml:space="preserve"> </w:t>
      </w:r>
      <w:r>
        <w:rPr>
          <w:spacing w:val="-1"/>
        </w:rPr>
        <w:t>in</w:t>
      </w:r>
      <w:r>
        <w:rPr>
          <w:spacing w:val="4"/>
        </w:rPr>
        <w:t xml:space="preserve"> </w:t>
      </w:r>
      <w:r>
        <w:t>2002)</w:t>
      </w:r>
      <w:r>
        <w:rPr>
          <w:spacing w:val="4"/>
        </w:rPr>
        <w:t xml:space="preserve"> </w:t>
      </w:r>
      <w:r>
        <w:t>and</w:t>
      </w:r>
      <w:r>
        <w:rPr>
          <w:spacing w:val="31"/>
          <w:w w:val="99"/>
        </w:rPr>
        <w:t xml:space="preserve"> </w:t>
      </w:r>
      <w:r>
        <w:rPr>
          <w:spacing w:val="-1"/>
        </w:rPr>
        <w:t>finalized</w:t>
      </w:r>
      <w:r>
        <w:rPr>
          <w:spacing w:val="20"/>
        </w:rPr>
        <w:t xml:space="preserve"> </w:t>
      </w:r>
      <w:r>
        <w:rPr>
          <w:spacing w:val="-1"/>
        </w:rPr>
        <w:t>in</w:t>
      </w:r>
      <w:r>
        <w:rPr>
          <w:spacing w:val="19"/>
        </w:rPr>
        <w:t xml:space="preserve"> </w:t>
      </w:r>
      <w:r>
        <w:t>2014.</w:t>
      </w:r>
      <w:r>
        <w:rPr>
          <w:spacing w:val="39"/>
        </w:rPr>
        <w:t xml:space="preserve"> </w:t>
      </w:r>
      <w:r>
        <w:rPr>
          <w:spacing w:val="-1"/>
        </w:rPr>
        <w:t>The</w:t>
      </w:r>
      <w:r>
        <w:rPr>
          <w:spacing w:val="19"/>
        </w:rPr>
        <w:t xml:space="preserve"> </w:t>
      </w:r>
      <w:r>
        <w:t>CRMP</w:t>
      </w:r>
      <w:r>
        <w:rPr>
          <w:spacing w:val="20"/>
        </w:rPr>
        <w:t xml:space="preserve"> </w:t>
      </w:r>
      <w:r>
        <w:t>assures</w:t>
      </w:r>
      <w:r>
        <w:rPr>
          <w:spacing w:val="20"/>
        </w:rPr>
        <w:t xml:space="preserve"> </w:t>
      </w:r>
      <w:r>
        <w:t>continued</w:t>
      </w:r>
      <w:r>
        <w:rPr>
          <w:spacing w:val="20"/>
        </w:rPr>
        <w:t xml:space="preserve"> </w:t>
      </w:r>
      <w:r>
        <w:t>compliance</w:t>
      </w:r>
      <w:r>
        <w:rPr>
          <w:spacing w:val="20"/>
        </w:rPr>
        <w:t xml:space="preserve"> </w:t>
      </w:r>
      <w:r>
        <w:t>with</w:t>
      </w:r>
      <w:r>
        <w:rPr>
          <w:spacing w:val="19"/>
        </w:rPr>
        <w:t xml:space="preserve"> </w:t>
      </w:r>
      <w:r>
        <w:rPr>
          <w:spacing w:val="-1"/>
        </w:rPr>
        <w:t>the</w:t>
      </w:r>
      <w:r>
        <w:rPr>
          <w:spacing w:val="19"/>
        </w:rPr>
        <w:t xml:space="preserve"> </w:t>
      </w:r>
      <w:r>
        <w:t>above</w:t>
      </w:r>
      <w:r>
        <w:rPr>
          <w:spacing w:val="20"/>
        </w:rPr>
        <w:t xml:space="preserve"> </w:t>
      </w:r>
      <w:r>
        <w:rPr>
          <w:spacing w:val="-1"/>
        </w:rPr>
        <w:t>listed</w:t>
      </w:r>
      <w:r>
        <w:rPr>
          <w:spacing w:val="20"/>
        </w:rPr>
        <w:t xml:space="preserve"> </w:t>
      </w:r>
      <w:r>
        <w:rPr>
          <w:spacing w:val="-1"/>
        </w:rPr>
        <w:t>Acts</w:t>
      </w:r>
      <w:r>
        <w:rPr>
          <w:spacing w:val="20"/>
        </w:rPr>
        <w:t xml:space="preserve"> </w:t>
      </w:r>
      <w:r>
        <w:t>by</w:t>
      </w:r>
      <w:r>
        <w:rPr>
          <w:spacing w:val="19"/>
        </w:rPr>
        <w:t xml:space="preserve"> </w:t>
      </w:r>
      <w:r>
        <w:t>providing</w:t>
      </w:r>
      <w:r>
        <w:rPr>
          <w:spacing w:val="20"/>
        </w:rPr>
        <w:t xml:space="preserve"> </w:t>
      </w:r>
      <w:r>
        <w:t>a</w:t>
      </w:r>
      <w:r>
        <w:rPr>
          <w:spacing w:val="21"/>
        </w:rPr>
        <w:t xml:space="preserve"> </w:t>
      </w:r>
      <w:r>
        <w:rPr>
          <w:spacing w:val="-1"/>
        </w:rPr>
        <w:t>comprehensive</w:t>
      </w:r>
      <w:r>
        <w:rPr>
          <w:spacing w:val="42"/>
          <w:w w:val="99"/>
        </w:rPr>
        <w:t xml:space="preserve"> </w:t>
      </w:r>
      <w:r>
        <w:t>overview</w:t>
      </w:r>
      <w:r>
        <w:rPr>
          <w:spacing w:val="18"/>
        </w:rPr>
        <w:t xml:space="preserve"> </w:t>
      </w:r>
      <w:r>
        <w:t>for</w:t>
      </w:r>
      <w:r>
        <w:rPr>
          <w:spacing w:val="19"/>
        </w:rPr>
        <w:t xml:space="preserve"> </w:t>
      </w:r>
      <w:r>
        <w:rPr>
          <w:spacing w:val="-1"/>
        </w:rPr>
        <w:t>the</w:t>
      </w:r>
      <w:r>
        <w:rPr>
          <w:spacing w:val="19"/>
        </w:rPr>
        <w:t xml:space="preserve"> </w:t>
      </w:r>
      <w:r>
        <w:rPr>
          <w:spacing w:val="-1"/>
        </w:rPr>
        <w:t>locations</w:t>
      </w:r>
      <w:r>
        <w:rPr>
          <w:spacing w:val="20"/>
        </w:rPr>
        <w:t xml:space="preserve"> </w:t>
      </w:r>
      <w:r>
        <w:t>and</w:t>
      </w:r>
      <w:r>
        <w:rPr>
          <w:spacing w:val="19"/>
        </w:rPr>
        <w:t xml:space="preserve"> </w:t>
      </w:r>
      <w:r>
        <w:t>status</w:t>
      </w:r>
      <w:r>
        <w:rPr>
          <w:spacing w:val="19"/>
        </w:rPr>
        <w:t xml:space="preserve"> </w:t>
      </w:r>
      <w:r>
        <w:t>of</w:t>
      </w:r>
      <w:r>
        <w:rPr>
          <w:spacing w:val="17"/>
        </w:rPr>
        <w:t xml:space="preserve"> </w:t>
      </w:r>
      <w:r>
        <w:t>all</w:t>
      </w:r>
      <w:r>
        <w:rPr>
          <w:spacing w:val="19"/>
        </w:rPr>
        <w:t xml:space="preserve"> </w:t>
      </w:r>
      <w:r>
        <w:rPr>
          <w:spacing w:val="-1"/>
        </w:rPr>
        <w:t>cultural</w:t>
      </w:r>
      <w:r>
        <w:rPr>
          <w:spacing w:val="20"/>
        </w:rPr>
        <w:t xml:space="preserve"> </w:t>
      </w:r>
      <w:r>
        <w:t>resources</w:t>
      </w:r>
      <w:r>
        <w:rPr>
          <w:spacing w:val="18"/>
        </w:rPr>
        <w:t xml:space="preserve"> </w:t>
      </w:r>
      <w:r>
        <w:t>within</w:t>
      </w:r>
      <w:r>
        <w:rPr>
          <w:spacing w:val="18"/>
        </w:rPr>
        <w:t xml:space="preserve"> </w:t>
      </w:r>
      <w:r>
        <w:rPr>
          <w:spacing w:val="-1"/>
        </w:rPr>
        <w:t>the</w:t>
      </w:r>
      <w:r>
        <w:rPr>
          <w:spacing w:val="19"/>
        </w:rPr>
        <w:t xml:space="preserve"> </w:t>
      </w:r>
      <w:r>
        <w:t>Fermilab</w:t>
      </w:r>
      <w:r>
        <w:rPr>
          <w:spacing w:val="19"/>
        </w:rPr>
        <w:t xml:space="preserve"> </w:t>
      </w:r>
      <w:r>
        <w:t>site</w:t>
      </w:r>
      <w:r>
        <w:rPr>
          <w:spacing w:val="18"/>
        </w:rPr>
        <w:t xml:space="preserve"> </w:t>
      </w:r>
      <w:r>
        <w:t>boundaries</w:t>
      </w:r>
      <w:r>
        <w:rPr>
          <w:spacing w:val="20"/>
        </w:rPr>
        <w:t xml:space="preserve"> </w:t>
      </w:r>
      <w:r>
        <w:rPr>
          <w:spacing w:val="-1"/>
        </w:rPr>
        <w:t>thereby</w:t>
      </w:r>
      <w:r>
        <w:rPr>
          <w:spacing w:val="18"/>
        </w:rPr>
        <w:t xml:space="preserve"> </w:t>
      </w:r>
      <w:r>
        <w:t>facilitating</w:t>
      </w:r>
      <w:r>
        <w:rPr>
          <w:spacing w:val="25"/>
          <w:w w:val="99"/>
        </w:rPr>
        <w:t xml:space="preserve"> </w:t>
      </w:r>
      <w:r>
        <w:rPr>
          <w:spacing w:val="-1"/>
        </w:rPr>
        <w:t>future</w:t>
      </w:r>
      <w:r>
        <w:rPr>
          <w:spacing w:val="-9"/>
        </w:rPr>
        <w:t xml:space="preserve"> </w:t>
      </w:r>
      <w:r>
        <w:t>NEPA</w:t>
      </w:r>
      <w:r>
        <w:rPr>
          <w:spacing w:val="-9"/>
        </w:rPr>
        <w:t xml:space="preserve"> </w:t>
      </w:r>
      <w:r>
        <w:rPr>
          <w:spacing w:val="-1"/>
        </w:rPr>
        <w:t>reviews</w:t>
      </w:r>
    </w:p>
    <w:p w:rsidR="00B2747A" w:rsidRPr="00B2747A" w:rsidRDefault="00B2747A" w:rsidP="00B2747A">
      <w:pPr>
        <w:ind w:left="0" w:right="122"/>
        <w:jc w:val="both"/>
        <w:rPr>
          <w:rFonts w:eastAsia="Calibri" w:cs="Arial"/>
        </w:rPr>
      </w:pPr>
      <w:r w:rsidRPr="00B2747A">
        <w:rPr>
          <w:rFonts w:cs="Arial"/>
        </w:rPr>
        <w:t xml:space="preserve">A </w:t>
      </w:r>
      <w:r w:rsidRPr="00B2747A">
        <w:rPr>
          <w:rFonts w:cs="Arial"/>
          <w:spacing w:val="-1"/>
        </w:rPr>
        <w:t>site</w:t>
      </w:r>
      <w:r w:rsidRPr="00B2747A">
        <w:rPr>
          <w:rFonts w:cs="Arial"/>
        </w:rPr>
        <w:t xml:space="preserve"> </w:t>
      </w:r>
      <w:r w:rsidRPr="00B2747A">
        <w:rPr>
          <w:rFonts w:cs="Arial"/>
          <w:spacing w:val="-1"/>
        </w:rPr>
        <w:t>visit</w:t>
      </w:r>
      <w:r w:rsidRPr="00B2747A">
        <w:rPr>
          <w:rFonts w:cs="Arial"/>
        </w:rPr>
        <w:t xml:space="preserve"> </w:t>
      </w:r>
      <w:r w:rsidRPr="00B2747A">
        <w:rPr>
          <w:rFonts w:cs="Arial"/>
          <w:spacing w:val="-1"/>
        </w:rPr>
        <w:t>was conducted</w:t>
      </w:r>
      <w:r w:rsidRPr="00B2747A">
        <w:rPr>
          <w:rFonts w:cs="Arial"/>
        </w:rPr>
        <w:t xml:space="preserve"> </w:t>
      </w:r>
      <w:r w:rsidRPr="00B2747A">
        <w:rPr>
          <w:rFonts w:cs="Arial"/>
          <w:spacing w:val="-1"/>
        </w:rPr>
        <w:t xml:space="preserve">by </w:t>
      </w:r>
      <w:r w:rsidRPr="00B2747A">
        <w:rPr>
          <w:rFonts w:cs="Arial"/>
        </w:rPr>
        <w:t xml:space="preserve">the </w:t>
      </w:r>
      <w:r w:rsidRPr="00B2747A">
        <w:rPr>
          <w:rFonts w:cs="Arial"/>
          <w:spacing w:val="-1"/>
        </w:rPr>
        <w:t>Illinois Historic</w:t>
      </w:r>
      <w:r w:rsidRPr="00B2747A">
        <w:rPr>
          <w:rFonts w:cs="Arial"/>
        </w:rPr>
        <w:t xml:space="preserve"> </w:t>
      </w:r>
      <w:r w:rsidRPr="00B2747A">
        <w:rPr>
          <w:rFonts w:cs="Arial"/>
          <w:spacing w:val="-1"/>
        </w:rPr>
        <w:t>Preservation Agency</w:t>
      </w:r>
      <w:r w:rsidRPr="00B2747A">
        <w:rPr>
          <w:rFonts w:cs="Arial"/>
        </w:rPr>
        <w:t xml:space="preserve"> </w:t>
      </w:r>
      <w:r w:rsidRPr="00B2747A">
        <w:rPr>
          <w:rFonts w:cs="Arial"/>
          <w:spacing w:val="-1"/>
        </w:rPr>
        <w:t>(IHPA)</w:t>
      </w:r>
      <w:r w:rsidRPr="00B2747A">
        <w:rPr>
          <w:rFonts w:cs="Arial"/>
        </w:rPr>
        <w:t xml:space="preserve"> </w:t>
      </w:r>
      <w:r w:rsidRPr="00B2747A">
        <w:rPr>
          <w:rFonts w:cs="Arial"/>
          <w:spacing w:val="-1"/>
        </w:rPr>
        <w:t>and Kane County</w:t>
      </w:r>
      <w:r w:rsidRPr="00B2747A">
        <w:rPr>
          <w:rFonts w:cs="Arial"/>
          <w:spacing w:val="1"/>
        </w:rPr>
        <w:t xml:space="preserve"> </w:t>
      </w:r>
      <w:r w:rsidRPr="00B2747A">
        <w:rPr>
          <w:rFonts w:cs="Arial"/>
          <w:spacing w:val="-1"/>
        </w:rPr>
        <w:t>Historical</w:t>
      </w:r>
      <w:r w:rsidRPr="00B2747A">
        <w:rPr>
          <w:rFonts w:cs="Arial"/>
        </w:rPr>
        <w:t xml:space="preserve"> </w:t>
      </w:r>
      <w:r w:rsidRPr="00B2747A">
        <w:rPr>
          <w:rFonts w:cs="Arial"/>
          <w:spacing w:val="-1"/>
        </w:rPr>
        <w:t>Society Representatives</w:t>
      </w:r>
      <w:r w:rsidRPr="00B2747A">
        <w:rPr>
          <w:rFonts w:cs="Arial"/>
        </w:rPr>
        <w:t xml:space="preserve"> </w:t>
      </w:r>
      <w:r w:rsidRPr="00B2747A">
        <w:rPr>
          <w:rFonts w:cs="Arial"/>
          <w:spacing w:val="-2"/>
        </w:rPr>
        <w:t>on</w:t>
      </w:r>
      <w:r w:rsidRPr="00B2747A">
        <w:rPr>
          <w:rFonts w:cs="Arial"/>
          <w:spacing w:val="55"/>
        </w:rPr>
        <w:t xml:space="preserve"> </w:t>
      </w:r>
      <w:r w:rsidRPr="00B2747A">
        <w:rPr>
          <w:rFonts w:cs="Arial"/>
        </w:rPr>
        <w:t>May</w:t>
      </w:r>
      <w:r w:rsidRPr="00B2747A">
        <w:rPr>
          <w:rFonts w:cs="Arial"/>
          <w:spacing w:val="-1"/>
        </w:rPr>
        <w:t xml:space="preserve"> 7,</w:t>
      </w:r>
      <w:r w:rsidRPr="00B2747A">
        <w:rPr>
          <w:rFonts w:cs="Arial"/>
        </w:rPr>
        <w:t xml:space="preserve"> </w:t>
      </w:r>
      <w:r w:rsidRPr="00B2747A">
        <w:rPr>
          <w:rFonts w:cs="Arial"/>
          <w:spacing w:val="-1"/>
        </w:rPr>
        <w:t>2014</w:t>
      </w:r>
      <w:r w:rsidRPr="00B2747A">
        <w:rPr>
          <w:rFonts w:cs="Arial"/>
        </w:rPr>
        <w:t xml:space="preserve"> </w:t>
      </w:r>
      <w:r w:rsidRPr="00B2747A">
        <w:rPr>
          <w:rFonts w:cs="Arial"/>
          <w:spacing w:val="-1"/>
        </w:rPr>
        <w:t>to determine eligibility</w:t>
      </w:r>
      <w:r w:rsidRPr="00B2747A">
        <w:rPr>
          <w:rFonts w:cs="Arial"/>
        </w:rPr>
        <w:t xml:space="preserve"> </w:t>
      </w:r>
      <w:r w:rsidRPr="00B2747A">
        <w:rPr>
          <w:rFonts w:cs="Arial"/>
          <w:spacing w:val="-1"/>
        </w:rPr>
        <w:t>of</w:t>
      </w:r>
      <w:r w:rsidRPr="00B2747A">
        <w:rPr>
          <w:rFonts w:cs="Arial"/>
        </w:rPr>
        <w:t xml:space="preserve"> </w:t>
      </w:r>
      <w:r w:rsidRPr="00B2747A">
        <w:rPr>
          <w:rFonts w:cs="Arial"/>
          <w:spacing w:val="-1"/>
        </w:rPr>
        <w:t>four</w:t>
      </w:r>
      <w:r w:rsidRPr="00B2747A">
        <w:rPr>
          <w:rFonts w:cs="Arial"/>
        </w:rPr>
        <w:t xml:space="preserve"> </w:t>
      </w:r>
      <w:r w:rsidRPr="00B2747A">
        <w:rPr>
          <w:rFonts w:cs="Arial"/>
          <w:spacing w:val="-1"/>
        </w:rPr>
        <w:t>Fermilab</w:t>
      </w:r>
      <w:r w:rsidRPr="00B2747A">
        <w:rPr>
          <w:rFonts w:cs="Arial"/>
          <w:spacing w:val="1"/>
        </w:rPr>
        <w:t xml:space="preserve"> </w:t>
      </w:r>
      <w:r w:rsidRPr="00B2747A">
        <w:rPr>
          <w:rFonts w:cs="Arial"/>
          <w:spacing w:val="-1"/>
        </w:rPr>
        <w:t>properties</w:t>
      </w:r>
      <w:r w:rsidRPr="00B2747A">
        <w:rPr>
          <w:rFonts w:cs="Arial"/>
        </w:rPr>
        <w:t xml:space="preserve"> </w:t>
      </w:r>
      <w:r w:rsidRPr="00B2747A">
        <w:rPr>
          <w:rFonts w:cs="Arial"/>
          <w:spacing w:val="-1"/>
        </w:rPr>
        <w:t>for</w:t>
      </w:r>
      <w:r w:rsidRPr="00B2747A">
        <w:rPr>
          <w:rFonts w:cs="Arial"/>
        </w:rPr>
        <w:t xml:space="preserve"> </w:t>
      </w:r>
      <w:r w:rsidRPr="00B2747A">
        <w:rPr>
          <w:rFonts w:cs="Arial"/>
          <w:spacing w:val="-1"/>
        </w:rPr>
        <w:t>listing</w:t>
      </w:r>
      <w:r w:rsidRPr="00B2747A">
        <w:rPr>
          <w:rFonts w:cs="Arial"/>
        </w:rPr>
        <w:t xml:space="preserve"> </w:t>
      </w:r>
      <w:r w:rsidRPr="00B2747A">
        <w:rPr>
          <w:rFonts w:cs="Arial"/>
          <w:spacing w:val="-1"/>
        </w:rPr>
        <w:t>on</w:t>
      </w:r>
      <w:r w:rsidRPr="00B2747A">
        <w:rPr>
          <w:rFonts w:cs="Arial"/>
        </w:rPr>
        <w:t xml:space="preserve"> </w:t>
      </w:r>
      <w:r w:rsidRPr="00B2747A">
        <w:rPr>
          <w:rFonts w:cs="Arial"/>
          <w:spacing w:val="-1"/>
        </w:rPr>
        <w:t>the</w:t>
      </w:r>
      <w:r w:rsidRPr="00B2747A">
        <w:rPr>
          <w:rFonts w:cs="Arial"/>
        </w:rPr>
        <w:t xml:space="preserve"> </w:t>
      </w:r>
      <w:r w:rsidRPr="00B2747A">
        <w:rPr>
          <w:rFonts w:cs="Arial"/>
          <w:spacing w:val="-1"/>
        </w:rPr>
        <w:t xml:space="preserve">National </w:t>
      </w:r>
      <w:r w:rsidRPr="00B2747A">
        <w:rPr>
          <w:rFonts w:cs="Arial"/>
        </w:rPr>
        <w:t xml:space="preserve">Register </w:t>
      </w:r>
      <w:r w:rsidRPr="00B2747A">
        <w:rPr>
          <w:rFonts w:cs="Arial"/>
          <w:spacing w:val="-1"/>
        </w:rPr>
        <w:t>of</w:t>
      </w:r>
      <w:r w:rsidRPr="00B2747A">
        <w:rPr>
          <w:rFonts w:cs="Arial"/>
        </w:rPr>
        <w:t xml:space="preserve"> </w:t>
      </w:r>
      <w:r w:rsidRPr="00B2747A">
        <w:rPr>
          <w:rFonts w:cs="Arial"/>
          <w:spacing w:val="-1"/>
        </w:rPr>
        <w:t>Historic</w:t>
      </w:r>
      <w:r w:rsidRPr="00B2747A">
        <w:rPr>
          <w:rFonts w:cs="Arial"/>
          <w:spacing w:val="1"/>
        </w:rPr>
        <w:t xml:space="preserve"> </w:t>
      </w:r>
      <w:r w:rsidRPr="00B2747A">
        <w:rPr>
          <w:rFonts w:cs="Arial"/>
        </w:rPr>
        <w:t>Places</w:t>
      </w:r>
      <w:r w:rsidRPr="00B2747A">
        <w:rPr>
          <w:rFonts w:cs="Arial"/>
          <w:spacing w:val="-2"/>
        </w:rPr>
        <w:t xml:space="preserve"> </w:t>
      </w:r>
      <w:r w:rsidRPr="00B2747A">
        <w:rPr>
          <w:rFonts w:cs="Arial"/>
          <w:spacing w:val="-1"/>
        </w:rPr>
        <w:t>(NRHP).</w:t>
      </w:r>
      <w:r w:rsidRPr="00B2747A">
        <w:rPr>
          <w:rFonts w:cs="Arial"/>
          <w:spacing w:val="44"/>
        </w:rPr>
        <w:t xml:space="preserve"> </w:t>
      </w:r>
      <w:r w:rsidRPr="00B2747A">
        <w:rPr>
          <w:rFonts w:cs="Arial"/>
          <w:spacing w:val="-1"/>
        </w:rPr>
        <w:t>IHPA</w:t>
      </w:r>
      <w:r w:rsidRPr="00B2747A">
        <w:rPr>
          <w:rFonts w:cs="Arial"/>
          <w:spacing w:val="41"/>
        </w:rPr>
        <w:t xml:space="preserve"> </w:t>
      </w:r>
      <w:r w:rsidRPr="00B2747A">
        <w:rPr>
          <w:rFonts w:cs="Arial"/>
        </w:rPr>
        <w:t>concurred</w:t>
      </w:r>
      <w:r w:rsidRPr="00B2747A">
        <w:rPr>
          <w:rFonts w:cs="Arial"/>
          <w:spacing w:val="-1"/>
        </w:rPr>
        <w:t xml:space="preserve"> with</w:t>
      </w:r>
      <w:r w:rsidRPr="00B2747A">
        <w:rPr>
          <w:rFonts w:cs="Arial"/>
        </w:rPr>
        <w:t xml:space="preserve"> the</w:t>
      </w:r>
      <w:r w:rsidRPr="00B2747A">
        <w:rPr>
          <w:rFonts w:cs="Arial"/>
          <w:spacing w:val="-1"/>
        </w:rPr>
        <w:t xml:space="preserve"> conclusions in Appendix</w:t>
      </w:r>
      <w:r w:rsidRPr="00B2747A">
        <w:rPr>
          <w:rFonts w:cs="Arial"/>
          <w:spacing w:val="-2"/>
        </w:rPr>
        <w:t xml:space="preserve"> </w:t>
      </w:r>
      <w:r w:rsidRPr="00B2747A">
        <w:rPr>
          <w:rFonts w:cs="Arial"/>
        </w:rPr>
        <w:t xml:space="preserve">F </w:t>
      </w:r>
      <w:r w:rsidRPr="00B2747A">
        <w:rPr>
          <w:rFonts w:cs="Arial"/>
          <w:spacing w:val="-1"/>
        </w:rPr>
        <w:t xml:space="preserve">of </w:t>
      </w:r>
      <w:r w:rsidRPr="00B2747A">
        <w:rPr>
          <w:rFonts w:cs="Arial"/>
        </w:rPr>
        <w:t>the</w:t>
      </w:r>
      <w:r w:rsidRPr="00B2747A">
        <w:rPr>
          <w:rFonts w:cs="Arial"/>
          <w:spacing w:val="-1"/>
        </w:rPr>
        <w:t xml:space="preserve"> </w:t>
      </w:r>
      <w:r w:rsidRPr="00B2747A">
        <w:rPr>
          <w:rFonts w:cs="Arial"/>
          <w:i/>
          <w:spacing w:val="-1"/>
        </w:rPr>
        <w:t>Archaeological</w:t>
      </w:r>
      <w:r w:rsidRPr="00B2747A">
        <w:rPr>
          <w:rFonts w:cs="Arial"/>
          <w:i/>
          <w:spacing w:val="-2"/>
        </w:rPr>
        <w:t xml:space="preserve"> </w:t>
      </w:r>
      <w:r w:rsidRPr="00B2747A">
        <w:rPr>
          <w:rFonts w:cs="Arial"/>
          <w:i/>
        </w:rPr>
        <w:t>and</w:t>
      </w:r>
      <w:r w:rsidRPr="00B2747A">
        <w:rPr>
          <w:rFonts w:cs="Arial"/>
          <w:i/>
          <w:spacing w:val="-1"/>
        </w:rPr>
        <w:t xml:space="preserve"> </w:t>
      </w:r>
      <w:r w:rsidRPr="00B2747A">
        <w:rPr>
          <w:rFonts w:cs="Arial"/>
          <w:i/>
        </w:rPr>
        <w:t>Architectural</w:t>
      </w:r>
      <w:r w:rsidRPr="00B2747A">
        <w:rPr>
          <w:rFonts w:cs="Arial"/>
          <w:i/>
          <w:spacing w:val="-3"/>
        </w:rPr>
        <w:t xml:space="preserve"> </w:t>
      </w:r>
      <w:r w:rsidRPr="00B2747A">
        <w:rPr>
          <w:rFonts w:cs="Arial"/>
          <w:i/>
          <w:spacing w:val="-1"/>
        </w:rPr>
        <w:t>Assessment</w:t>
      </w:r>
      <w:r w:rsidRPr="00B2747A">
        <w:rPr>
          <w:rFonts w:cs="Arial"/>
          <w:i/>
          <w:spacing w:val="-2"/>
        </w:rPr>
        <w:t xml:space="preserve"> </w:t>
      </w:r>
      <w:r w:rsidRPr="00B2747A">
        <w:rPr>
          <w:rFonts w:cs="Arial"/>
          <w:i/>
        </w:rPr>
        <w:t xml:space="preserve">of </w:t>
      </w:r>
      <w:r w:rsidRPr="00B2747A">
        <w:rPr>
          <w:rFonts w:cs="Arial"/>
          <w:i/>
          <w:spacing w:val="-1"/>
        </w:rPr>
        <w:t>Historic Properties</w:t>
      </w:r>
      <w:r w:rsidRPr="00B2747A">
        <w:rPr>
          <w:rFonts w:cs="Arial"/>
          <w:i/>
        </w:rPr>
        <w:t xml:space="preserve"> </w:t>
      </w:r>
      <w:r w:rsidRPr="00B2747A">
        <w:rPr>
          <w:rFonts w:cs="Arial"/>
          <w:i/>
          <w:spacing w:val="-1"/>
        </w:rPr>
        <w:t xml:space="preserve">within </w:t>
      </w:r>
      <w:r w:rsidRPr="00B2747A">
        <w:rPr>
          <w:rFonts w:cs="Arial"/>
          <w:i/>
        </w:rPr>
        <w:t>the</w:t>
      </w:r>
      <w:r w:rsidRPr="00B2747A">
        <w:rPr>
          <w:rFonts w:cs="Arial"/>
          <w:i/>
          <w:spacing w:val="83"/>
        </w:rPr>
        <w:t xml:space="preserve"> </w:t>
      </w:r>
      <w:r w:rsidRPr="00B2747A">
        <w:rPr>
          <w:rFonts w:cs="Arial"/>
          <w:i/>
          <w:spacing w:val="-1"/>
        </w:rPr>
        <w:t xml:space="preserve">Fermi </w:t>
      </w:r>
      <w:r w:rsidRPr="00B2747A">
        <w:rPr>
          <w:rFonts w:cs="Arial"/>
          <w:i/>
        </w:rPr>
        <w:t>National</w:t>
      </w:r>
      <w:r w:rsidRPr="00B2747A">
        <w:rPr>
          <w:rFonts w:cs="Arial"/>
          <w:i/>
          <w:spacing w:val="-3"/>
        </w:rPr>
        <w:t xml:space="preserve"> </w:t>
      </w:r>
      <w:r w:rsidRPr="00B2747A">
        <w:rPr>
          <w:rFonts w:cs="Arial"/>
          <w:i/>
          <w:spacing w:val="-1"/>
        </w:rPr>
        <w:t>Accelerator Laboratory,</w:t>
      </w:r>
      <w:r w:rsidRPr="00B2747A">
        <w:rPr>
          <w:rFonts w:cs="Arial"/>
          <w:i/>
        </w:rPr>
        <w:t xml:space="preserve"> </w:t>
      </w:r>
      <w:r w:rsidRPr="00B2747A">
        <w:rPr>
          <w:rFonts w:cs="Arial"/>
          <w:i/>
          <w:spacing w:val="-2"/>
        </w:rPr>
        <w:t>Batavia</w:t>
      </w:r>
      <w:r w:rsidRPr="00B2747A">
        <w:rPr>
          <w:rFonts w:cs="Arial"/>
          <w:i/>
        </w:rPr>
        <w:t xml:space="preserve"> </w:t>
      </w:r>
      <w:r w:rsidRPr="00B2747A">
        <w:rPr>
          <w:rFonts w:cs="Arial"/>
          <w:i/>
          <w:spacing w:val="-1"/>
        </w:rPr>
        <w:t>Township,</w:t>
      </w:r>
      <w:r w:rsidRPr="00B2747A">
        <w:rPr>
          <w:rFonts w:cs="Arial"/>
          <w:i/>
          <w:spacing w:val="-2"/>
        </w:rPr>
        <w:t xml:space="preserve"> </w:t>
      </w:r>
      <w:r w:rsidRPr="00B2747A">
        <w:rPr>
          <w:rFonts w:cs="Arial"/>
          <w:i/>
        </w:rPr>
        <w:t>Kane</w:t>
      </w:r>
      <w:r w:rsidRPr="00B2747A">
        <w:rPr>
          <w:rFonts w:cs="Arial"/>
          <w:i/>
          <w:spacing w:val="-1"/>
        </w:rPr>
        <w:t xml:space="preserve"> County and Winfield</w:t>
      </w:r>
      <w:r w:rsidRPr="00B2747A">
        <w:rPr>
          <w:rFonts w:cs="Arial"/>
          <w:i/>
          <w:spacing w:val="1"/>
        </w:rPr>
        <w:t xml:space="preserve"> </w:t>
      </w:r>
      <w:r w:rsidRPr="00B2747A">
        <w:rPr>
          <w:rFonts w:cs="Arial"/>
          <w:i/>
          <w:spacing w:val="-1"/>
        </w:rPr>
        <w:t>Township, DuPage</w:t>
      </w:r>
      <w:r w:rsidRPr="00B2747A">
        <w:rPr>
          <w:rFonts w:cs="Arial"/>
          <w:i/>
        </w:rPr>
        <w:t xml:space="preserve"> </w:t>
      </w:r>
      <w:r w:rsidRPr="00B2747A">
        <w:rPr>
          <w:rFonts w:cs="Arial"/>
          <w:i/>
          <w:spacing w:val="-1"/>
        </w:rPr>
        <w:t>County,</w:t>
      </w:r>
      <w:r w:rsidRPr="00B2747A">
        <w:rPr>
          <w:rFonts w:cs="Arial"/>
          <w:i/>
          <w:spacing w:val="1"/>
        </w:rPr>
        <w:t xml:space="preserve"> </w:t>
      </w:r>
      <w:r w:rsidRPr="00B2747A">
        <w:rPr>
          <w:rFonts w:cs="Arial"/>
          <w:i/>
          <w:spacing w:val="-1"/>
        </w:rPr>
        <w:t>Illinois</w:t>
      </w:r>
      <w:r w:rsidRPr="00B2747A">
        <w:rPr>
          <w:rFonts w:cs="Arial"/>
          <w:i/>
        </w:rPr>
        <w:t xml:space="preserve"> </w:t>
      </w:r>
      <w:r w:rsidRPr="00B2747A">
        <w:rPr>
          <w:rFonts w:cs="Arial"/>
        </w:rPr>
        <w:t>report,</w:t>
      </w:r>
      <w:r w:rsidRPr="00B2747A">
        <w:rPr>
          <w:rFonts w:cs="Arial"/>
          <w:spacing w:val="-1"/>
        </w:rPr>
        <w:t xml:space="preserve"> issued</w:t>
      </w:r>
      <w:r w:rsidRPr="00B2747A">
        <w:rPr>
          <w:rFonts w:cs="Arial"/>
          <w:spacing w:val="42"/>
        </w:rPr>
        <w:t xml:space="preserve"> </w:t>
      </w:r>
      <w:r w:rsidRPr="00B2747A">
        <w:rPr>
          <w:rFonts w:cs="Arial"/>
          <w:spacing w:val="-1"/>
        </w:rPr>
        <w:t>in</w:t>
      </w:r>
      <w:r w:rsidRPr="00B2747A">
        <w:rPr>
          <w:rFonts w:cs="Arial"/>
        </w:rPr>
        <w:t xml:space="preserve"> </w:t>
      </w:r>
      <w:r w:rsidRPr="00B2747A">
        <w:rPr>
          <w:rFonts w:cs="Arial"/>
          <w:spacing w:val="-1"/>
        </w:rPr>
        <w:t xml:space="preserve">2013, </w:t>
      </w:r>
      <w:r w:rsidRPr="00B2747A">
        <w:rPr>
          <w:rFonts w:cs="Arial"/>
        </w:rPr>
        <w:t>that</w:t>
      </w:r>
      <w:r w:rsidRPr="00B2747A">
        <w:rPr>
          <w:rFonts w:cs="Arial"/>
          <w:spacing w:val="-1"/>
        </w:rPr>
        <w:t xml:space="preserve"> Site</w:t>
      </w:r>
      <w:r w:rsidRPr="00B2747A">
        <w:rPr>
          <w:rFonts w:cs="Arial"/>
        </w:rPr>
        <w:t xml:space="preserve"> </w:t>
      </w:r>
      <w:r w:rsidRPr="00B2747A">
        <w:rPr>
          <w:rFonts w:cs="Arial"/>
          <w:spacing w:val="-1"/>
        </w:rPr>
        <w:t>65</w:t>
      </w:r>
      <w:r w:rsidRPr="00B2747A">
        <w:rPr>
          <w:rFonts w:cs="Arial"/>
        </w:rPr>
        <w:t xml:space="preserve"> </w:t>
      </w:r>
      <w:r w:rsidRPr="00B2747A">
        <w:rPr>
          <w:rFonts w:cs="Arial"/>
          <w:spacing w:val="-1"/>
        </w:rPr>
        <w:t xml:space="preserve">and Site </w:t>
      </w:r>
      <w:r w:rsidRPr="00B2747A">
        <w:rPr>
          <w:rFonts w:cs="Arial"/>
        </w:rPr>
        <w:t>67</w:t>
      </w:r>
      <w:r w:rsidRPr="00B2747A">
        <w:rPr>
          <w:rFonts w:cs="Arial"/>
          <w:spacing w:val="-1"/>
        </w:rPr>
        <w:t xml:space="preserve"> </w:t>
      </w:r>
      <w:r w:rsidRPr="00B2747A">
        <w:rPr>
          <w:rFonts w:cs="Arial"/>
        </w:rPr>
        <w:t>barns</w:t>
      </w:r>
      <w:r w:rsidRPr="00B2747A">
        <w:rPr>
          <w:rFonts w:cs="Arial"/>
          <w:spacing w:val="-1"/>
        </w:rPr>
        <w:t xml:space="preserve"> and</w:t>
      </w:r>
      <w:r w:rsidRPr="00B2747A">
        <w:rPr>
          <w:rFonts w:cs="Arial"/>
        </w:rPr>
        <w:t xml:space="preserve"> </w:t>
      </w:r>
      <w:r w:rsidRPr="00B2747A">
        <w:rPr>
          <w:rFonts w:cs="Arial"/>
          <w:spacing w:val="-1"/>
        </w:rPr>
        <w:t>the</w:t>
      </w:r>
      <w:r w:rsidRPr="00B2747A">
        <w:rPr>
          <w:rFonts w:cs="Arial"/>
        </w:rPr>
        <w:t xml:space="preserve"> </w:t>
      </w:r>
      <w:r w:rsidRPr="00B2747A">
        <w:rPr>
          <w:rFonts w:cs="Arial"/>
          <w:spacing w:val="-1"/>
        </w:rPr>
        <w:t>residences</w:t>
      </w:r>
      <w:r w:rsidRPr="00B2747A">
        <w:rPr>
          <w:rFonts w:cs="Arial"/>
          <w:spacing w:val="-2"/>
        </w:rPr>
        <w:t xml:space="preserve"> </w:t>
      </w:r>
      <w:r w:rsidRPr="00B2747A">
        <w:rPr>
          <w:rFonts w:cs="Arial"/>
        </w:rPr>
        <w:t xml:space="preserve">at </w:t>
      </w:r>
      <w:r w:rsidRPr="00B2747A">
        <w:rPr>
          <w:rFonts w:cs="Arial"/>
          <w:spacing w:val="-1"/>
        </w:rPr>
        <w:t xml:space="preserve">Site </w:t>
      </w:r>
      <w:r w:rsidRPr="00B2747A">
        <w:rPr>
          <w:rFonts w:cs="Arial"/>
        </w:rPr>
        <w:t>29</w:t>
      </w:r>
      <w:r w:rsidRPr="00B2747A">
        <w:rPr>
          <w:rFonts w:cs="Arial"/>
          <w:spacing w:val="-1"/>
        </w:rPr>
        <w:t xml:space="preserve"> and Site</w:t>
      </w:r>
      <w:r w:rsidRPr="00B2747A">
        <w:rPr>
          <w:rFonts w:cs="Arial"/>
        </w:rPr>
        <w:t xml:space="preserve"> </w:t>
      </w:r>
      <w:r w:rsidRPr="00B2747A">
        <w:rPr>
          <w:rFonts w:cs="Arial"/>
          <w:spacing w:val="-1"/>
        </w:rPr>
        <w:t>58</w:t>
      </w:r>
      <w:r w:rsidRPr="00B2747A">
        <w:rPr>
          <w:rFonts w:cs="Arial"/>
        </w:rPr>
        <w:t xml:space="preserve"> </w:t>
      </w:r>
      <w:r w:rsidRPr="00B2747A">
        <w:rPr>
          <w:rFonts w:cs="Arial"/>
          <w:spacing w:val="-1"/>
        </w:rPr>
        <w:t>were not</w:t>
      </w:r>
      <w:r w:rsidRPr="00B2747A">
        <w:rPr>
          <w:rFonts w:cs="Arial"/>
        </w:rPr>
        <w:t xml:space="preserve"> </w:t>
      </w:r>
      <w:r w:rsidRPr="00B2747A">
        <w:rPr>
          <w:rFonts w:cs="Arial"/>
          <w:spacing w:val="-1"/>
        </w:rPr>
        <w:t>eligible for the</w:t>
      </w:r>
      <w:r w:rsidRPr="00B2747A">
        <w:rPr>
          <w:rFonts w:cs="Arial"/>
        </w:rPr>
        <w:t xml:space="preserve"> </w:t>
      </w:r>
      <w:r w:rsidRPr="00B2747A">
        <w:rPr>
          <w:rFonts w:cs="Arial"/>
          <w:spacing w:val="-1"/>
        </w:rPr>
        <w:t>NRHP.</w:t>
      </w:r>
    </w:p>
    <w:p w:rsidR="00B2747A" w:rsidRDefault="00B2747A" w:rsidP="00B2747A">
      <w:pPr>
        <w:spacing w:before="9"/>
        <w:ind w:left="0"/>
        <w:jc w:val="both"/>
        <w:rPr>
          <w:rFonts w:ascii="Calibri" w:eastAsia="Calibri" w:hAnsi="Calibri" w:cs="Calibri"/>
          <w:sz w:val="19"/>
          <w:szCs w:val="19"/>
        </w:rPr>
      </w:pPr>
    </w:p>
    <w:p w:rsidR="001E2DD7" w:rsidRPr="0029394F" w:rsidRDefault="00B2747A" w:rsidP="004C7D0C">
      <w:pPr>
        <w:pStyle w:val="BodyText"/>
        <w:ind w:left="0" w:right="67" w:hanging="1"/>
      </w:pPr>
      <w:r>
        <w:t>Annually,</w:t>
      </w:r>
      <w:r>
        <w:rPr>
          <w:spacing w:val="9"/>
        </w:rPr>
        <w:t xml:space="preserve"> </w:t>
      </w:r>
      <w:r>
        <w:t>a</w:t>
      </w:r>
      <w:r>
        <w:rPr>
          <w:spacing w:val="9"/>
        </w:rPr>
        <w:t xml:space="preserve"> </w:t>
      </w:r>
      <w:r>
        <w:rPr>
          <w:spacing w:val="-1"/>
        </w:rPr>
        <w:t>questionnaire</w:t>
      </w:r>
      <w:r>
        <w:rPr>
          <w:spacing w:val="10"/>
        </w:rPr>
        <w:t xml:space="preserve"> </w:t>
      </w:r>
      <w:r>
        <w:t>on</w:t>
      </w:r>
      <w:r>
        <w:rPr>
          <w:spacing w:val="7"/>
        </w:rPr>
        <w:t xml:space="preserve"> </w:t>
      </w:r>
      <w:r>
        <w:rPr>
          <w:spacing w:val="-1"/>
        </w:rPr>
        <w:t>Federal</w:t>
      </w:r>
      <w:r>
        <w:rPr>
          <w:spacing w:val="10"/>
        </w:rPr>
        <w:t xml:space="preserve"> </w:t>
      </w:r>
      <w:r>
        <w:t>archaeological</w:t>
      </w:r>
      <w:r>
        <w:rPr>
          <w:spacing w:val="10"/>
        </w:rPr>
        <w:t xml:space="preserve"> </w:t>
      </w:r>
      <w:r>
        <w:rPr>
          <w:spacing w:val="-1"/>
        </w:rPr>
        <w:t>activities</w:t>
      </w:r>
      <w:r>
        <w:rPr>
          <w:spacing w:val="10"/>
        </w:rPr>
        <w:t xml:space="preserve"> </w:t>
      </w:r>
      <w:r>
        <w:rPr>
          <w:spacing w:val="-1"/>
        </w:rPr>
        <w:t>is</w:t>
      </w:r>
      <w:r>
        <w:rPr>
          <w:spacing w:val="9"/>
        </w:rPr>
        <w:t xml:space="preserve"> </w:t>
      </w:r>
      <w:r>
        <w:rPr>
          <w:spacing w:val="-1"/>
        </w:rPr>
        <w:t>requested</w:t>
      </w:r>
      <w:r>
        <w:rPr>
          <w:spacing w:val="9"/>
        </w:rPr>
        <w:t xml:space="preserve"> </w:t>
      </w:r>
      <w:r>
        <w:rPr>
          <w:spacing w:val="-1"/>
        </w:rPr>
        <w:t>by</w:t>
      </w:r>
      <w:r>
        <w:rPr>
          <w:spacing w:val="10"/>
        </w:rPr>
        <w:t xml:space="preserve"> </w:t>
      </w:r>
      <w:r>
        <w:rPr>
          <w:spacing w:val="-1"/>
        </w:rPr>
        <w:t>the</w:t>
      </w:r>
      <w:r>
        <w:rPr>
          <w:spacing w:val="9"/>
        </w:rPr>
        <w:t xml:space="preserve"> </w:t>
      </w:r>
      <w:r>
        <w:t>Department</w:t>
      </w:r>
      <w:r>
        <w:rPr>
          <w:spacing w:val="10"/>
        </w:rPr>
        <w:t xml:space="preserve"> </w:t>
      </w:r>
      <w:r>
        <w:t>of</w:t>
      </w:r>
      <w:r>
        <w:rPr>
          <w:spacing w:val="9"/>
        </w:rPr>
        <w:t xml:space="preserve"> </w:t>
      </w:r>
      <w:r>
        <w:rPr>
          <w:spacing w:val="-1"/>
        </w:rPr>
        <w:t>the</w:t>
      </w:r>
      <w:r>
        <w:rPr>
          <w:spacing w:val="10"/>
        </w:rPr>
        <w:t xml:space="preserve"> </w:t>
      </w:r>
      <w:r>
        <w:rPr>
          <w:spacing w:val="-1"/>
        </w:rPr>
        <w:t>Interior.</w:t>
      </w:r>
      <w:r>
        <w:rPr>
          <w:spacing w:val="6"/>
        </w:rPr>
        <w:t xml:space="preserve"> </w:t>
      </w:r>
      <w:r>
        <w:rPr>
          <w:spacing w:val="-1"/>
        </w:rPr>
        <w:t>Fermilab</w:t>
      </w:r>
      <w:r>
        <w:rPr>
          <w:spacing w:val="81"/>
          <w:w w:val="99"/>
        </w:rPr>
        <w:t xml:space="preserve"> </w:t>
      </w:r>
      <w:r>
        <w:t>submitted</w:t>
      </w:r>
      <w:r>
        <w:rPr>
          <w:spacing w:val="-7"/>
        </w:rPr>
        <w:t xml:space="preserve"> </w:t>
      </w:r>
      <w:r>
        <w:rPr>
          <w:spacing w:val="-1"/>
        </w:rPr>
        <w:t>its</w:t>
      </w:r>
      <w:r>
        <w:t xml:space="preserve"> responses</w:t>
      </w:r>
      <w:r>
        <w:rPr>
          <w:spacing w:val="-7"/>
        </w:rPr>
        <w:t xml:space="preserve"> </w:t>
      </w:r>
      <w:r>
        <w:rPr>
          <w:spacing w:val="-1"/>
        </w:rPr>
        <w:t>in</w:t>
      </w:r>
      <w:r>
        <w:rPr>
          <w:spacing w:val="-6"/>
        </w:rPr>
        <w:t xml:space="preserve"> </w:t>
      </w:r>
      <w:r>
        <w:t>February</w:t>
      </w:r>
      <w:r>
        <w:rPr>
          <w:spacing w:val="-6"/>
        </w:rPr>
        <w:t xml:space="preserve"> </w:t>
      </w:r>
      <w:r>
        <w:t>of</w:t>
      </w:r>
      <w:r>
        <w:rPr>
          <w:spacing w:val="-7"/>
        </w:rPr>
        <w:t xml:space="preserve"> </w:t>
      </w:r>
      <w:r>
        <w:t>2014.</w:t>
      </w:r>
    </w:p>
    <w:p w:rsidR="00E40625" w:rsidRPr="0029394F" w:rsidRDefault="000368D1" w:rsidP="006F195B">
      <w:pPr>
        <w:pStyle w:val="Heading2"/>
        <w:jc w:val="both"/>
      </w:pPr>
      <w:bookmarkStart w:id="48" w:name="_Toc426529667"/>
      <w:r w:rsidRPr="0029394F">
        <w:t>7</w:t>
      </w:r>
      <w:r w:rsidR="00FD64A0" w:rsidRPr="0029394F">
        <w:t>.12</w:t>
      </w:r>
      <w:r w:rsidR="00E40625" w:rsidRPr="0029394F">
        <w:t xml:space="preserve"> National Pollutant Discharge Elimination System (NPDES)</w:t>
      </w:r>
      <w:bookmarkEnd w:id="48"/>
    </w:p>
    <w:p w:rsidR="005071BA" w:rsidRPr="005071BA" w:rsidRDefault="005071BA" w:rsidP="005071BA">
      <w:pPr>
        <w:spacing w:after="240" w:line="240" w:lineRule="atLeast"/>
        <w:ind w:left="0"/>
        <w:jc w:val="both"/>
        <w:rPr>
          <w:rFonts w:cs="Arial"/>
        </w:rPr>
      </w:pPr>
      <w:r>
        <w:rPr>
          <w:rFonts w:cs="Arial"/>
        </w:rPr>
        <w:t>The</w:t>
      </w:r>
      <w:r w:rsidRPr="00C72B8A">
        <w:rPr>
          <w:rFonts w:eastAsia="Calibri" w:cs="Arial"/>
          <w:spacing w:val="0"/>
        </w:rPr>
        <w:t xml:space="preserve"> </w:t>
      </w:r>
      <w:r w:rsidRPr="005071BA">
        <w:rPr>
          <w:rFonts w:cs="Arial"/>
        </w:rPr>
        <w:t xml:space="preserve">IEPA has issued Fermilab three National Pollutant Discharge Elimination System (NPDES) </w:t>
      </w:r>
      <w:r w:rsidR="0025688A">
        <w:rPr>
          <w:rFonts w:cs="Arial"/>
        </w:rPr>
        <w:t>permits that were active in 2014</w:t>
      </w:r>
      <w:r w:rsidRPr="005071BA">
        <w:rPr>
          <w:rFonts w:cs="Arial"/>
        </w:rPr>
        <w:t xml:space="preserve">.  In addition, Fermilab holds three industrial wastewater pretreatment operating permits issued by IEPA (also covered under NPDES regulations and are described under Releases to Sanitary Sewers).  The permits are listed below. </w:t>
      </w:r>
    </w:p>
    <w:p w:rsidR="005071BA" w:rsidRPr="005071BA" w:rsidRDefault="005071BA" w:rsidP="005071BA">
      <w:pPr>
        <w:numPr>
          <w:ilvl w:val="0"/>
          <w:numId w:val="5"/>
        </w:numPr>
        <w:spacing w:after="240" w:line="240" w:lineRule="atLeast"/>
        <w:jc w:val="both"/>
        <w:rPr>
          <w:rFonts w:cs="Arial"/>
        </w:rPr>
      </w:pPr>
      <w:r w:rsidRPr="005071BA">
        <w:rPr>
          <w:rFonts w:cs="Arial"/>
        </w:rPr>
        <w:t>Illinois General NPDES Storm Water Permit for Construction Activities is required for all projects that disturb</w:t>
      </w:r>
      <w:r w:rsidR="004C7D0C">
        <w:rPr>
          <w:rFonts w:cs="Arial"/>
        </w:rPr>
        <w:t xml:space="preserve"> greater than one acre.  In 2014</w:t>
      </w:r>
      <w:r w:rsidRPr="005071BA">
        <w:rPr>
          <w:rFonts w:cs="Arial"/>
        </w:rPr>
        <w:t xml:space="preserve"> there were four projects requiring such a permit to be in place:</w:t>
      </w:r>
    </w:p>
    <w:p w:rsidR="005071BA" w:rsidRPr="005071BA" w:rsidRDefault="005071BA" w:rsidP="005071BA">
      <w:pPr>
        <w:numPr>
          <w:ilvl w:val="1"/>
          <w:numId w:val="5"/>
        </w:numPr>
        <w:spacing w:after="240" w:line="240" w:lineRule="atLeast"/>
        <w:jc w:val="both"/>
        <w:rPr>
          <w:rFonts w:cs="Arial"/>
        </w:rPr>
      </w:pPr>
      <w:proofErr w:type="spellStart"/>
      <w:r w:rsidRPr="005071BA">
        <w:rPr>
          <w:rFonts w:cs="Arial"/>
        </w:rPr>
        <w:lastRenderedPageBreak/>
        <w:t>NoVA</w:t>
      </w:r>
      <w:proofErr w:type="spellEnd"/>
      <w:r w:rsidRPr="005071BA">
        <w:rPr>
          <w:rFonts w:cs="Arial"/>
        </w:rPr>
        <w:t xml:space="preserve"> Near Detector</w:t>
      </w:r>
    </w:p>
    <w:p w:rsidR="005071BA" w:rsidRPr="005071BA" w:rsidRDefault="005071BA" w:rsidP="005071BA">
      <w:pPr>
        <w:numPr>
          <w:ilvl w:val="1"/>
          <w:numId w:val="5"/>
        </w:numPr>
        <w:spacing w:after="240" w:line="240" w:lineRule="atLeast"/>
        <w:jc w:val="both"/>
        <w:rPr>
          <w:rFonts w:cs="Arial"/>
        </w:rPr>
      </w:pPr>
      <w:r w:rsidRPr="005071BA">
        <w:rPr>
          <w:rFonts w:cs="Arial"/>
        </w:rPr>
        <w:t>Liquid Argon Test Facility</w:t>
      </w:r>
    </w:p>
    <w:p w:rsidR="005071BA" w:rsidRPr="005071BA" w:rsidRDefault="005071BA" w:rsidP="005071BA">
      <w:pPr>
        <w:numPr>
          <w:ilvl w:val="1"/>
          <w:numId w:val="5"/>
        </w:numPr>
        <w:spacing w:after="240" w:line="240" w:lineRule="atLeast"/>
        <w:jc w:val="both"/>
        <w:rPr>
          <w:rFonts w:cs="Arial"/>
        </w:rPr>
      </w:pPr>
      <w:r w:rsidRPr="005071BA">
        <w:rPr>
          <w:rFonts w:cs="Arial"/>
        </w:rPr>
        <w:t>Muon Campus Project</w:t>
      </w:r>
    </w:p>
    <w:p w:rsidR="005071BA" w:rsidRPr="005071BA" w:rsidRDefault="005071BA" w:rsidP="005071BA">
      <w:pPr>
        <w:numPr>
          <w:ilvl w:val="1"/>
          <w:numId w:val="5"/>
        </w:numPr>
        <w:spacing w:after="240" w:line="240" w:lineRule="atLeast"/>
        <w:jc w:val="both"/>
        <w:rPr>
          <w:rFonts w:cs="Arial"/>
        </w:rPr>
      </w:pPr>
      <w:r w:rsidRPr="005071BA">
        <w:rPr>
          <w:rFonts w:cs="Arial"/>
        </w:rPr>
        <w:t>OTE IARC Building</w:t>
      </w:r>
    </w:p>
    <w:p w:rsidR="005071BA" w:rsidRPr="005071BA" w:rsidRDefault="005071BA" w:rsidP="005071BA">
      <w:pPr>
        <w:numPr>
          <w:ilvl w:val="0"/>
          <w:numId w:val="5"/>
        </w:numPr>
        <w:spacing w:after="240" w:line="240" w:lineRule="atLeast"/>
        <w:jc w:val="both"/>
        <w:rPr>
          <w:rFonts w:cs="Arial"/>
        </w:rPr>
      </w:pPr>
      <w:r w:rsidRPr="005071BA">
        <w:rPr>
          <w:rFonts w:cs="Arial"/>
        </w:rPr>
        <w:t>An individual (specifically tailored to an individual facility) NPDES permit covers combined storm water and non-contact cooling water discharges associated with industrial activities. Six outfalls are associated with this permit: Outfall 001 to Ferry Creek, Outfall 002 to Kress Creek, and Outfalls 003, 004, 005, and 006 to Indian Creek. Outfalls 004, 005 and 006 were added to the permit during the last permit renewal.  Outfall 004 covers potentia</w:t>
      </w:r>
      <w:r w:rsidR="0025688A">
        <w:rPr>
          <w:rFonts w:cs="Arial"/>
        </w:rPr>
        <w:t>l discharges from the MINOS ICW holding tank</w:t>
      </w:r>
      <w:r w:rsidRPr="005071BA">
        <w:rPr>
          <w:rFonts w:cs="Arial"/>
        </w:rPr>
        <w:t xml:space="preserve"> and Outfalls 005 and 006 cover storm water overflow discharges from the Main Injector pond system. The NPDES permit dictates that water temperature, pH, flow, and tritium is to be monitored at all six outfalls; chlorine concentration is monitored at the Kress and Indian Creek outfalls.  The monitoring results are reported to the IEPA on a monthly basis.  A new permit was issued in April 2014 from the IEPA.  </w:t>
      </w:r>
    </w:p>
    <w:p w:rsidR="003C2E31" w:rsidRPr="0029394F" w:rsidRDefault="005071BA" w:rsidP="006A20A3">
      <w:pPr>
        <w:numPr>
          <w:ilvl w:val="0"/>
          <w:numId w:val="5"/>
        </w:numPr>
        <w:spacing w:after="240" w:line="240" w:lineRule="atLeast"/>
        <w:jc w:val="both"/>
      </w:pPr>
      <w:r w:rsidRPr="006A20A3">
        <w:rPr>
          <w:rFonts w:cs="Arial"/>
        </w:rPr>
        <w:t>Illinois NPDES General Permit for Pesticide Application Point Source Discharges covers pesticide applications performed by Fermilab personnel.  This includes any algae or weed control applications near ditches or ponds.  This is a newer permit for the IEPA and Fermilab received coverage in July 2012.</w:t>
      </w:r>
    </w:p>
    <w:p w:rsidR="00E40625" w:rsidRPr="00555B90" w:rsidRDefault="000368D1" w:rsidP="006F195B">
      <w:pPr>
        <w:pStyle w:val="Heading2"/>
        <w:jc w:val="both"/>
        <w:rPr>
          <w:color w:val="00B050"/>
        </w:rPr>
      </w:pPr>
      <w:bookmarkStart w:id="49" w:name="_Toc426529668"/>
      <w:r w:rsidRPr="0029394F">
        <w:t>7</w:t>
      </w:r>
      <w:r w:rsidR="00FD64A0" w:rsidRPr="0029394F">
        <w:t>.13</w:t>
      </w:r>
      <w:r w:rsidR="00E40625" w:rsidRPr="0029394F">
        <w:t xml:space="preserve"> Resource Conservation and Recovery Act of 1976 (RCRA</w:t>
      </w:r>
      <w:r w:rsidR="00E40625" w:rsidRPr="00555B90">
        <w:rPr>
          <w:color w:val="00B050"/>
        </w:rPr>
        <w:t>)</w:t>
      </w:r>
      <w:bookmarkEnd w:id="49"/>
    </w:p>
    <w:p w:rsidR="003C2E31" w:rsidRDefault="005D1DA8" w:rsidP="007111D6">
      <w:pPr>
        <w:pStyle w:val="BodyText"/>
        <w:ind w:left="0"/>
      </w:pPr>
      <w:r w:rsidRPr="005D1DA8">
        <w:rPr>
          <w:rFonts w:eastAsia="Calibri" w:cs="Arial"/>
          <w:spacing w:val="0"/>
          <w:szCs w:val="22"/>
          <w:lang w:bidi="en-US"/>
        </w:rPr>
        <w:t>RCRA governs the management of hazardous waste.  Fermilab maintains a permit under RCRA to manage for disposal or reclamation hazardous waste generated at the laboratory. Radioactive waste is not governed under RCRA and is managed following DOE requirements.   Fermilab does not treat, or dispose of regulated waste on site. All wastes are properly disposed though licensed waste handling, transport or disposal facilities.  An annual Hazardous Waste Report is transmitted to IEPA and radioactive waste summaries are provided to DOE Fermi Site Office.</w:t>
      </w:r>
    </w:p>
    <w:p w:rsidR="00E40625" w:rsidRPr="0029394F" w:rsidRDefault="000368D1" w:rsidP="006F195B">
      <w:pPr>
        <w:pStyle w:val="Heading3"/>
        <w:jc w:val="both"/>
      </w:pPr>
      <w:bookmarkStart w:id="50" w:name="_Toc426529669"/>
      <w:r w:rsidRPr="0029394F">
        <w:t>7</w:t>
      </w:r>
      <w:r w:rsidR="003716C8" w:rsidRPr="0029394F">
        <w:t>.13.1 Regulated Waste Disposal and Reclamation</w:t>
      </w:r>
      <w:bookmarkEnd w:id="50"/>
    </w:p>
    <w:p w:rsidR="003C2E31" w:rsidRPr="0086157D" w:rsidRDefault="00DB2ADF" w:rsidP="006F195B">
      <w:pPr>
        <w:pStyle w:val="BodyText"/>
        <w:rPr>
          <w:rFonts w:eastAsia="Calibri" w:cs="Arial"/>
          <w:spacing w:val="0"/>
          <w:lang w:bidi="en-US"/>
        </w:rPr>
      </w:pPr>
      <w:r w:rsidRPr="0086157D">
        <w:rPr>
          <w:rFonts w:eastAsia="Calibri" w:cs="Arial"/>
          <w:spacing w:val="0"/>
          <w:lang w:bidi="en-US"/>
        </w:rPr>
        <w:t xml:space="preserve">The following volumes of regulated waste including radioactive waste and non-radioactive waste were managed for disposal by Fermilab’s Hazard Control Technology Team (HCTT) </w:t>
      </w:r>
      <w:r w:rsidR="00282DA5">
        <w:rPr>
          <w:rFonts w:eastAsia="Calibri" w:cs="Arial"/>
          <w:spacing w:val="0"/>
          <w:lang w:bidi="en-US"/>
        </w:rPr>
        <w:t xml:space="preserve">in </w:t>
      </w:r>
      <w:r w:rsidRPr="0086157D">
        <w:rPr>
          <w:rFonts w:eastAsia="Calibri" w:cs="Arial"/>
          <w:spacing w:val="0"/>
          <w:lang w:bidi="en-US"/>
        </w:rPr>
        <w:t>201</w:t>
      </w:r>
      <w:r w:rsidR="00406CAD">
        <w:rPr>
          <w:rFonts w:eastAsia="Calibri" w:cs="Arial"/>
          <w:spacing w:val="0"/>
          <w:lang w:bidi="en-US"/>
        </w:rPr>
        <w:t>4</w:t>
      </w:r>
      <w:r w:rsidR="005D1DA8">
        <w:rPr>
          <w:rFonts w:eastAsia="Calibri" w:cs="Arial"/>
          <w:spacing w:val="0"/>
          <w:lang w:bidi="en-US"/>
        </w:rPr>
        <w:t>.</w:t>
      </w:r>
    </w:p>
    <w:tbl>
      <w:tblPr>
        <w:tblW w:w="0" w:type="auto"/>
        <w:tblInd w:w="118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65"/>
        <w:gridCol w:w="3683"/>
      </w:tblGrid>
      <w:tr w:rsidR="005D1DA8" w:rsidRPr="005D1DA8" w:rsidTr="003C2E31">
        <w:trPr>
          <w:trHeight w:val="576"/>
        </w:trPr>
        <w:tc>
          <w:tcPr>
            <w:tcW w:w="2765" w:type="dxa"/>
            <w:shd w:val="clear" w:color="auto" w:fill="548DD4" w:themeFill="text2" w:themeFillTint="99"/>
            <w:vAlign w:val="center"/>
          </w:tcPr>
          <w:p w:rsidR="005D1DA8" w:rsidRPr="00406CAD" w:rsidRDefault="005D1DA8" w:rsidP="005D1DA8">
            <w:pPr>
              <w:ind w:left="0"/>
              <w:rPr>
                <w:rFonts w:cs="Arial"/>
                <w:b/>
                <w:bCs/>
                <w:sz w:val="22"/>
                <w:szCs w:val="22"/>
              </w:rPr>
            </w:pPr>
            <w:r w:rsidRPr="00406CAD">
              <w:rPr>
                <w:rFonts w:cs="Arial"/>
                <w:b/>
                <w:bCs/>
                <w:sz w:val="22"/>
                <w:szCs w:val="22"/>
              </w:rPr>
              <w:t xml:space="preserve">     Waste Material</w:t>
            </w:r>
          </w:p>
        </w:tc>
        <w:tc>
          <w:tcPr>
            <w:tcW w:w="3683" w:type="dxa"/>
            <w:shd w:val="clear" w:color="auto" w:fill="548DD4" w:themeFill="text2" w:themeFillTint="99"/>
            <w:vAlign w:val="center"/>
          </w:tcPr>
          <w:p w:rsidR="005D1DA8" w:rsidRPr="00406CAD" w:rsidRDefault="005D1DA8" w:rsidP="005D1DA8">
            <w:pPr>
              <w:ind w:left="0"/>
              <w:jc w:val="center"/>
              <w:rPr>
                <w:rFonts w:cs="Arial"/>
                <w:b/>
                <w:bCs/>
                <w:sz w:val="22"/>
                <w:szCs w:val="22"/>
              </w:rPr>
            </w:pPr>
            <w:r w:rsidRPr="00406CAD">
              <w:rPr>
                <w:rFonts w:cs="Arial"/>
                <w:b/>
                <w:bCs/>
                <w:sz w:val="22"/>
                <w:szCs w:val="22"/>
              </w:rPr>
              <w:t>Cubic Meters</w:t>
            </w:r>
          </w:p>
        </w:tc>
      </w:tr>
      <w:tr w:rsidR="00406CAD" w:rsidRPr="005D1DA8" w:rsidTr="003C2E31">
        <w:trPr>
          <w:trHeight w:val="576"/>
        </w:trPr>
        <w:tc>
          <w:tcPr>
            <w:tcW w:w="2765" w:type="dxa"/>
            <w:tcBorders>
              <w:top w:val="single" w:sz="8" w:space="0" w:color="4F81BD"/>
              <w:left w:val="single" w:sz="8" w:space="0" w:color="4F81BD"/>
              <w:bottom w:val="single" w:sz="8" w:space="0" w:color="4F81BD"/>
            </w:tcBorders>
            <w:shd w:val="clear" w:color="auto" w:fill="auto"/>
            <w:vAlign w:val="center"/>
          </w:tcPr>
          <w:p w:rsidR="00406CAD" w:rsidRPr="005D1DA8" w:rsidRDefault="00406CAD" w:rsidP="00406CAD">
            <w:pPr>
              <w:ind w:left="252"/>
              <w:rPr>
                <w:rFonts w:cs="Arial"/>
                <w:b/>
                <w:bCs/>
              </w:rPr>
            </w:pPr>
            <w:r w:rsidRPr="005D1DA8">
              <w:rPr>
                <w:rFonts w:cs="Arial"/>
                <w:b/>
                <w:bCs/>
              </w:rPr>
              <w:t>Non-Routine Hazardous Waste (RCRA + TSCA)</w:t>
            </w:r>
          </w:p>
        </w:tc>
        <w:tc>
          <w:tcPr>
            <w:tcW w:w="3683"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406CAD">
            <w:pPr>
              <w:ind w:left="0"/>
              <w:jc w:val="center"/>
              <w:rPr>
                <w:rFonts w:cs="Arial"/>
              </w:rPr>
            </w:pPr>
            <w:r>
              <w:rPr>
                <w:rFonts w:cs="Arial"/>
              </w:rPr>
              <w:t>13.0</w:t>
            </w:r>
          </w:p>
        </w:tc>
      </w:tr>
      <w:tr w:rsidR="00406CAD" w:rsidRPr="005D1DA8" w:rsidTr="003C2E31">
        <w:trPr>
          <w:trHeight w:val="576"/>
        </w:trPr>
        <w:tc>
          <w:tcPr>
            <w:tcW w:w="2765" w:type="dxa"/>
            <w:shd w:val="clear" w:color="auto" w:fill="auto"/>
            <w:vAlign w:val="center"/>
          </w:tcPr>
          <w:p w:rsidR="00406CAD" w:rsidRPr="005D1DA8" w:rsidRDefault="00406CAD" w:rsidP="00406CAD">
            <w:pPr>
              <w:ind w:left="252"/>
              <w:rPr>
                <w:rFonts w:cs="Arial"/>
                <w:b/>
                <w:bCs/>
              </w:rPr>
            </w:pPr>
            <w:r w:rsidRPr="005D1DA8">
              <w:rPr>
                <w:rFonts w:cs="Arial"/>
                <w:b/>
                <w:bCs/>
              </w:rPr>
              <w:t>Routine Hazardous Waste (RCRA + TSCA)</w:t>
            </w:r>
          </w:p>
        </w:tc>
        <w:tc>
          <w:tcPr>
            <w:tcW w:w="3683" w:type="dxa"/>
            <w:shd w:val="clear" w:color="auto" w:fill="auto"/>
            <w:vAlign w:val="center"/>
          </w:tcPr>
          <w:p w:rsidR="00406CAD" w:rsidRPr="005D1DA8" w:rsidRDefault="00406CAD" w:rsidP="00406CAD">
            <w:pPr>
              <w:ind w:left="0"/>
              <w:jc w:val="center"/>
              <w:rPr>
                <w:rFonts w:cs="Arial"/>
              </w:rPr>
            </w:pPr>
            <w:r>
              <w:rPr>
                <w:rFonts w:cs="Arial"/>
              </w:rPr>
              <w:t>4.8</w:t>
            </w:r>
          </w:p>
        </w:tc>
      </w:tr>
      <w:tr w:rsidR="00406CAD" w:rsidRPr="005D1DA8" w:rsidTr="003C2E31">
        <w:trPr>
          <w:trHeight w:val="576"/>
        </w:trPr>
        <w:tc>
          <w:tcPr>
            <w:tcW w:w="2765" w:type="dxa"/>
            <w:tcBorders>
              <w:top w:val="single" w:sz="8" w:space="0" w:color="4F81BD"/>
              <w:left w:val="single" w:sz="8" w:space="0" w:color="4F81BD"/>
              <w:bottom w:val="single" w:sz="8" w:space="0" w:color="4F81BD"/>
            </w:tcBorders>
            <w:shd w:val="clear" w:color="auto" w:fill="auto"/>
            <w:vAlign w:val="center"/>
          </w:tcPr>
          <w:p w:rsidR="00406CAD" w:rsidRPr="005D1DA8" w:rsidRDefault="00406CAD" w:rsidP="00406CAD">
            <w:pPr>
              <w:ind w:left="252"/>
              <w:rPr>
                <w:rFonts w:cs="Arial"/>
                <w:b/>
                <w:bCs/>
              </w:rPr>
            </w:pPr>
            <w:r w:rsidRPr="005D1DA8">
              <w:rPr>
                <w:rFonts w:cs="Arial"/>
                <w:b/>
                <w:bCs/>
              </w:rPr>
              <w:t>Non-Routine Non-Hazardous Special Waste</w:t>
            </w:r>
          </w:p>
        </w:tc>
        <w:tc>
          <w:tcPr>
            <w:tcW w:w="3683"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406CAD">
            <w:pPr>
              <w:ind w:left="0"/>
              <w:jc w:val="center"/>
              <w:rPr>
                <w:rFonts w:cs="Arial"/>
              </w:rPr>
            </w:pPr>
            <w:r>
              <w:rPr>
                <w:rFonts w:cs="Arial"/>
              </w:rPr>
              <w:t>20.3</w:t>
            </w:r>
          </w:p>
        </w:tc>
      </w:tr>
      <w:tr w:rsidR="00406CAD" w:rsidRPr="005D1DA8" w:rsidTr="003C2E31">
        <w:trPr>
          <w:trHeight w:val="576"/>
        </w:trPr>
        <w:tc>
          <w:tcPr>
            <w:tcW w:w="2765" w:type="dxa"/>
            <w:shd w:val="clear" w:color="auto" w:fill="auto"/>
            <w:vAlign w:val="center"/>
          </w:tcPr>
          <w:p w:rsidR="00406CAD" w:rsidRPr="005D1DA8" w:rsidRDefault="00406CAD" w:rsidP="00406CAD">
            <w:pPr>
              <w:ind w:left="252"/>
              <w:rPr>
                <w:rFonts w:cs="Arial"/>
                <w:b/>
                <w:bCs/>
              </w:rPr>
            </w:pPr>
            <w:r w:rsidRPr="005D1DA8">
              <w:rPr>
                <w:rFonts w:cs="Arial"/>
                <w:b/>
                <w:bCs/>
              </w:rPr>
              <w:t>Routine Non-Hazardous Special Waste</w:t>
            </w:r>
          </w:p>
        </w:tc>
        <w:tc>
          <w:tcPr>
            <w:tcW w:w="3683" w:type="dxa"/>
            <w:shd w:val="clear" w:color="auto" w:fill="auto"/>
            <w:vAlign w:val="center"/>
          </w:tcPr>
          <w:p w:rsidR="00406CAD" w:rsidRPr="005D1DA8" w:rsidRDefault="00406CAD" w:rsidP="00406CAD">
            <w:pPr>
              <w:ind w:left="0"/>
              <w:jc w:val="center"/>
              <w:rPr>
                <w:rFonts w:cs="Arial"/>
              </w:rPr>
            </w:pPr>
            <w:r>
              <w:rPr>
                <w:rFonts w:cs="Arial"/>
              </w:rPr>
              <w:t>17.3</w:t>
            </w:r>
          </w:p>
        </w:tc>
      </w:tr>
      <w:tr w:rsidR="00406CAD" w:rsidRPr="005D1DA8" w:rsidTr="003C2E31">
        <w:trPr>
          <w:trHeight w:val="576"/>
        </w:trPr>
        <w:tc>
          <w:tcPr>
            <w:tcW w:w="2765" w:type="dxa"/>
            <w:tcBorders>
              <w:top w:val="single" w:sz="8" w:space="0" w:color="4F81BD"/>
              <w:left w:val="single" w:sz="8" w:space="0" w:color="4F81BD"/>
              <w:bottom w:val="single" w:sz="8" w:space="0" w:color="4F81BD"/>
            </w:tcBorders>
            <w:shd w:val="clear" w:color="auto" w:fill="auto"/>
            <w:vAlign w:val="center"/>
          </w:tcPr>
          <w:p w:rsidR="00406CAD" w:rsidRPr="005D1DA8" w:rsidRDefault="00406CAD" w:rsidP="00406CAD">
            <w:pPr>
              <w:ind w:left="252"/>
              <w:rPr>
                <w:rFonts w:cs="Arial"/>
                <w:b/>
                <w:bCs/>
              </w:rPr>
            </w:pPr>
            <w:r w:rsidRPr="005D1DA8">
              <w:rPr>
                <w:rFonts w:cs="Arial"/>
                <w:b/>
                <w:bCs/>
              </w:rPr>
              <w:t>De-Classified Special Wastes</w:t>
            </w:r>
          </w:p>
        </w:tc>
        <w:tc>
          <w:tcPr>
            <w:tcW w:w="3683"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406CAD">
            <w:pPr>
              <w:ind w:left="0"/>
              <w:jc w:val="center"/>
              <w:rPr>
                <w:rFonts w:cs="Arial"/>
              </w:rPr>
            </w:pPr>
            <w:r>
              <w:rPr>
                <w:rFonts w:cs="Arial"/>
              </w:rPr>
              <w:t>4.0</w:t>
            </w:r>
          </w:p>
        </w:tc>
      </w:tr>
      <w:tr w:rsidR="00406CAD" w:rsidRPr="005D1DA8" w:rsidTr="003C2E31">
        <w:trPr>
          <w:trHeight w:val="576"/>
        </w:trPr>
        <w:tc>
          <w:tcPr>
            <w:tcW w:w="2765" w:type="dxa"/>
            <w:shd w:val="clear" w:color="auto" w:fill="auto"/>
            <w:vAlign w:val="center"/>
          </w:tcPr>
          <w:p w:rsidR="00406CAD" w:rsidRPr="005D1DA8" w:rsidRDefault="00406CAD" w:rsidP="00406CAD">
            <w:pPr>
              <w:ind w:left="252"/>
              <w:rPr>
                <w:rFonts w:cs="Arial"/>
                <w:b/>
                <w:bCs/>
              </w:rPr>
            </w:pPr>
            <w:r w:rsidRPr="005D1DA8">
              <w:rPr>
                <w:rFonts w:cs="Arial"/>
                <w:b/>
                <w:bCs/>
              </w:rPr>
              <w:t>Dumpster/Landfill Waste</w:t>
            </w:r>
          </w:p>
        </w:tc>
        <w:tc>
          <w:tcPr>
            <w:tcW w:w="3683" w:type="dxa"/>
            <w:shd w:val="clear" w:color="auto" w:fill="auto"/>
            <w:vAlign w:val="center"/>
          </w:tcPr>
          <w:p w:rsidR="00406CAD" w:rsidRPr="005D1DA8" w:rsidRDefault="00406CAD" w:rsidP="00406CAD">
            <w:pPr>
              <w:ind w:left="0"/>
              <w:jc w:val="center"/>
              <w:rPr>
                <w:rFonts w:cs="Arial"/>
              </w:rPr>
            </w:pPr>
            <w:r>
              <w:rPr>
                <w:rFonts w:cs="Arial"/>
              </w:rPr>
              <w:t>6,152</w:t>
            </w:r>
          </w:p>
        </w:tc>
      </w:tr>
      <w:tr w:rsidR="00406CAD" w:rsidRPr="005D1DA8" w:rsidTr="003C2E31">
        <w:trPr>
          <w:trHeight w:val="576"/>
        </w:trPr>
        <w:tc>
          <w:tcPr>
            <w:tcW w:w="2765" w:type="dxa"/>
            <w:tcBorders>
              <w:top w:val="single" w:sz="8" w:space="0" w:color="4F81BD"/>
              <w:left w:val="single" w:sz="8" w:space="0" w:color="4F81BD"/>
              <w:bottom w:val="single" w:sz="8" w:space="0" w:color="4F81BD"/>
            </w:tcBorders>
            <w:shd w:val="clear" w:color="auto" w:fill="auto"/>
            <w:vAlign w:val="center"/>
          </w:tcPr>
          <w:p w:rsidR="00406CAD" w:rsidRPr="005D1DA8" w:rsidRDefault="00406CAD" w:rsidP="00406CAD">
            <w:pPr>
              <w:ind w:left="252"/>
              <w:rPr>
                <w:rFonts w:cs="Arial"/>
                <w:b/>
                <w:bCs/>
              </w:rPr>
            </w:pPr>
            <w:r w:rsidRPr="005D1DA8">
              <w:rPr>
                <w:rFonts w:cs="Arial"/>
                <w:b/>
                <w:bCs/>
              </w:rPr>
              <w:t>Radioactive Waste</w:t>
            </w:r>
            <w:r w:rsidR="003C2E31">
              <w:rPr>
                <w:rFonts w:cs="Arial"/>
                <w:b/>
                <w:bCs/>
              </w:rPr>
              <w:t xml:space="preserve">   </w:t>
            </w:r>
            <w:r w:rsidRPr="005D1DA8">
              <w:rPr>
                <w:rFonts w:cs="Arial"/>
                <w:b/>
                <w:bCs/>
              </w:rPr>
              <w:t xml:space="preserve"> (DOE regulated)</w:t>
            </w:r>
          </w:p>
        </w:tc>
        <w:tc>
          <w:tcPr>
            <w:tcW w:w="3683"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406CAD">
            <w:pPr>
              <w:ind w:left="0"/>
              <w:jc w:val="center"/>
              <w:rPr>
                <w:rFonts w:cs="Arial"/>
              </w:rPr>
            </w:pPr>
            <w:r>
              <w:rPr>
                <w:rFonts w:cs="Arial"/>
              </w:rPr>
              <w:t>103</w:t>
            </w:r>
          </w:p>
        </w:tc>
      </w:tr>
    </w:tbl>
    <w:p w:rsidR="00632DEC" w:rsidRDefault="00632DEC" w:rsidP="006F195B">
      <w:pPr>
        <w:spacing w:after="240" w:line="240" w:lineRule="atLeast"/>
        <w:ind w:left="720"/>
        <w:jc w:val="both"/>
        <w:rPr>
          <w:rFonts w:ascii="Times New Roman" w:hAnsi="Times New Roman"/>
          <w:sz w:val="22"/>
          <w:szCs w:val="22"/>
        </w:rPr>
      </w:pPr>
    </w:p>
    <w:p w:rsidR="003C2E31" w:rsidRDefault="003C2E31" w:rsidP="006F195B">
      <w:pPr>
        <w:tabs>
          <w:tab w:val="left" w:pos="1080"/>
        </w:tabs>
        <w:spacing w:after="240"/>
        <w:jc w:val="both"/>
        <w:rPr>
          <w:rFonts w:cs="Arial"/>
        </w:rPr>
      </w:pPr>
    </w:p>
    <w:p w:rsidR="003C2E31" w:rsidRDefault="003C2E31" w:rsidP="006F195B">
      <w:pPr>
        <w:tabs>
          <w:tab w:val="left" w:pos="1080"/>
        </w:tabs>
        <w:spacing w:after="240"/>
        <w:jc w:val="both"/>
        <w:rPr>
          <w:rFonts w:cs="Arial"/>
        </w:rPr>
      </w:pPr>
    </w:p>
    <w:p w:rsidR="003C2E31" w:rsidRPr="004C4227" w:rsidRDefault="00DB2ADF" w:rsidP="006F195B">
      <w:pPr>
        <w:tabs>
          <w:tab w:val="left" w:pos="1080"/>
        </w:tabs>
        <w:spacing w:after="240"/>
        <w:jc w:val="both"/>
        <w:rPr>
          <w:rFonts w:cs="Arial"/>
        </w:rPr>
      </w:pPr>
      <w:r w:rsidRPr="004C4227">
        <w:rPr>
          <w:rFonts w:cs="Arial"/>
        </w:rPr>
        <w:t>In addition the following volumes of waste were generated by Fermilab and managed for rec</w:t>
      </w:r>
      <w:r w:rsidR="005D1DA8" w:rsidRPr="004C4227">
        <w:rPr>
          <w:rFonts w:cs="Arial"/>
        </w:rPr>
        <w:t>lamation</w:t>
      </w:r>
      <w:r w:rsidR="00406CAD">
        <w:rPr>
          <w:rFonts w:cs="Arial"/>
        </w:rPr>
        <w:t>/recycling</w:t>
      </w:r>
      <w:r w:rsidR="005D1DA8" w:rsidRPr="004C4227">
        <w:rPr>
          <w:rFonts w:cs="Arial"/>
        </w:rPr>
        <w:t xml:space="preserve"> by the HCTT 201</w:t>
      </w:r>
      <w:r w:rsidR="00406CAD">
        <w:rPr>
          <w:rFonts w:cs="Arial"/>
        </w:rPr>
        <w:t>4.</w:t>
      </w:r>
    </w:p>
    <w:tbl>
      <w:tblPr>
        <w:tblW w:w="0" w:type="auto"/>
        <w:tblInd w:w="118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80"/>
        <w:gridCol w:w="3568"/>
      </w:tblGrid>
      <w:tr w:rsidR="00406CAD" w:rsidRPr="005D1DA8" w:rsidTr="003C2E31">
        <w:trPr>
          <w:trHeight w:val="576"/>
        </w:trPr>
        <w:tc>
          <w:tcPr>
            <w:tcW w:w="2880" w:type="dxa"/>
            <w:shd w:val="clear" w:color="auto" w:fill="4F81BD"/>
            <w:vAlign w:val="center"/>
          </w:tcPr>
          <w:p w:rsidR="00406CAD" w:rsidRPr="00406CAD" w:rsidRDefault="00406CAD" w:rsidP="00040355">
            <w:pPr>
              <w:ind w:left="0"/>
              <w:rPr>
                <w:rFonts w:cs="Arial"/>
                <w:b/>
                <w:bCs/>
                <w:sz w:val="22"/>
                <w:szCs w:val="22"/>
              </w:rPr>
            </w:pPr>
            <w:r w:rsidRPr="00406CAD">
              <w:rPr>
                <w:rFonts w:cs="Arial"/>
                <w:b/>
                <w:bCs/>
                <w:sz w:val="22"/>
                <w:szCs w:val="22"/>
              </w:rPr>
              <w:t xml:space="preserve">     Waste Material</w:t>
            </w:r>
          </w:p>
        </w:tc>
        <w:tc>
          <w:tcPr>
            <w:tcW w:w="3568" w:type="dxa"/>
            <w:tcBorders>
              <w:bottom w:val="single" w:sz="8" w:space="0" w:color="4F81BD"/>
            </w:tcBorders>
            <w:shd w:val="clear" w:color="auto" w:fill="4F81BD"/>
            <w:vAlign w:val="center"/>
          </w:tcPr>
          <w:p w:rsidR="00406CAD" w:rsidRPr="00406CAD" w:rsidRDefault="00406CAD" w:rsidP="00040355">
            <w:pPr>
              <w:ind w:left="0"/>
              <w:jc w:val="center"/>
              <w:rPr>
                <w:rFonts w:cs="Arial"/>
                <w:b/>
                <w:bCs/>
                <w:sz w:val="22"/>
                <w:szCs w:val="22"/>
              </w:rPr>
            </w:pPr>
            <w:r w:rsidRPr="00406CAD">
              <w:rPr>
                <w:rFonts w:cs="Arial"/>
                <w:b/>
                <w:bCs/>
                <w:sz w:val="22"/>
                <w:szCs w:val="22"/>
              </w:rPr>
              <w:t>Kilograms</w:t>
            </w:r>
          </w:p>
        </w:tc>
      </w:tr>
      <w:tr w:rsidR="00406CAD" w:rsidRPr="005D1DA8" w:rsidTr="003C2E31">
        <w:trPr>
          <w:trHeight w:val="576"/>
        </w:trPr>
        <w:tc>
          <w:tcPr>
            <w:tcW w:w="2880" w:type="dxa"/>
            <w:tcBorders>
              <w:top w:val="single" w:sz="8" w:space="0" w:color="4F81BD"/>
              <w:left w:val="single" w:sz="8" w:space="0" w:color="4F81BD"/>
              <w:bottom w:val="single" w:sz="8" w:space="0" w:color="4F81BD"/>
            </w:tcBorders>
            <w:shd w:val="clear" w:color="auto" w:fill="auto"/>
            <w:vAlign w:val="center"/>
          </w:tcPr>
          <w:p w:rsidR="00406CAD" w:rsidRPr="005D1DA8" w:rsidRDefault="00406CAD" w:rsidP="00040355">
            <w:pPr>
              <w:ind w:left="252"/>
              <w:rPr>
                <w:rFonts w:cs="Arial"/>
                <w:b/>
                <w:bCs/>
              </w:rPr>
            </w:pPr>
            <w:r>
              <w:rPr>
                <w:rFonts w:cs="Arial"/>
                <w:b/>
                <w:bCs/>
              </w:rPr>
              <w:t>Ethylene Glycol</w:t>
            </w:r>
          </w:p>
        </w:tc>
        <w:tc>
          <w:tcPr>
            <w:tcW w:w="3568"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040355">
            <w:pPr>
              <w:ind w:left="0"/>
              <w:jc w:val="center"/>
              <w:rPr>
                <w:rFonts w:cs="Arial"/>
              </w:rPr>
            </w:pPr>
            <w:r>
              <w:rPr>
                <w:rFonts w:cs="Arial"/>
              </w:rPr>
              <w:t>7,563</w:t>
            </w:r>
          </w:p>
        </w:tc>
      </w:tr>
      <w:tr w:rsidR="00406CAD" w:rsidRPr="005D1DA8" w:rsidTr="003C2E31">
        <w:trPr>
          <w:trHeight w:val="576"/>
        </w:trPr>
        <w:tc>
          <w:tcPr>
            <w:tcW w:w="2880" w:type="dxa"/>
            <w:tcBorders>
              <w:top w:val="single" w:sz="8" w:space="0" w:color="4F81BD"/>
              <w:left w:val="single" w:sz="8" w:space="0" w:color="4F81BD"/>
              <w:bottom w:val="single" w:sz="8" w:space="0" w:color="4F81BD"/>
            </w:tcBorders>
            <w:shd w:val="clear" w:color="auto" w:fill="auto"/>
            <w:vAlign w:val="center"/>
          </w:tcPr>
          <w:p w:rsidR="00406CAD" w:rsidRDefault="00406CAD" w:rsidP="00040355">
            <w:pPr>
              <w:ind w:left="252"/>
              <w:rPr>
                <w:rFonts w:cs="Arial"/>
                <w:b/>
                <w:bCs/>
              </w:rPr>
            </w:pPr>
            <w:r>
              <w:rPr>
                <w:rFonts w:cs="Arial"/>
                <w:b/>
                <w:bCs/>
              </w:rPr>
              <w:t>Lead Acid Batteries</w:t>
            </w:r>
          </w:p>
        </w:tc>
        <w:tc>
          <w:tcPr>
            <w:tcW w:w="3568"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040355">
            <w:pPr>
              <w:ind w:left="0"/>
              <w:jc w:val="center"/>
              <w:rPr>
                <w:rFonts w:cs="Arial"/>
              </w:rPr>
            </w:pPr>
            <w:r>
              <w:rPr>
                <w:rFonts w:cs="Arial"/>
              </w:rPr>
              <w:t>5,216</w:t>
            </w:r>
          </w:p>
        </w:tc>
      </w:tr>
      <w:tr w:rsidR="00406CAD" w:rsidRPr="005D1DA8" w:rsidTr="003C2E31">
        <w:trPr>
          <w:trHeight w:val="576"/>
        </w:trPr>
        <w:tc>
          <w:tcPr>
            <w:tcW w:w="2880" w:type="dxa"/>
            <w:tcBorders>
              <w:top w:val="single" w:sz="8" w:space="0" w:color="4F81BD"/>
              <w:left w:val="single" w:sz="8" w:space="0" w:color="4F81BD"/>
              <w:bottom w:val="single" w:sz="8" w:space="0" w:color="4F81BD"/>
            </w:tcBorders>
            <w:shd w:val="clear" w:color="auto" w:fill="auto"/>
            <w:vAlign w:val="center"/>
          </w:tcPr>
          <w:p w:rsidR="00406CAD" w:rsidRDefault="00406CAD" w:rsidP="00040355">
            <w:pPr>
              <w:ind w:left="252"/>
              <w:rPr>
                <w:rFonts w:cs="Arial"/>
                <w:b/>
                <w:bCs/>
              </w:rPr>
            </w:pPr>
            <w:r>
              <w:rPr>
                <w:rFonts w:cs="Arial"/>
                <w:b/>
                <w:bCs/>
              </w:rPr>
              <w:t>Non PCB Fluorescent Light Ballasts</w:t>
            </w:r>
          </w:p>
        </w:tc>
        <w:tc>
          <w:tcPr>
            <w:tcW w:w="3568" w:type="dxa"/>
            <w:tcBorders>
              <w:top w:val="single" w:sz="8" w:space="0" w:color="4F81BD"/>
              <w:bottom w:val="single" w:sz="8" w:space="0" w:color="4F81BD"/>
              <w:right w:val="single" w:sz="8" w:space="0" w:color="4F81BD"/>
            </w:tcBorders>
            <w:shd w:val="clear" w:color="auto" w:fill="auto"/>
            <w:vAlign w:val="center"/>
          </w:tcPr>
          <w:p w:rsidR="00406CAD" w:rsidRDefault="00406CAD" w:rsidP="00040355">
            <w:pPr>
              <w:ind w:left="0"/>
              <w:jc w:val="center"/>
              <w:rPr>
                <w:rFonts w:cs="Arial"/>
              </w:rPr>
            </w:pPr>
            <w:r>
              <w:rPr>
                <w:rFonts w:cs="Arial"/>
              </w:rPr>
              <w:t>640</w:t>
            </w:r>
          </w:p>
        </w:tc>
      </w:tr>
      <w:tr w:rsidR="00406CAD" w:rsidRPr="005D1DA8" w:rsidTr="003C2E31">
        <w:trPr>
          <w:trHeight w:val="576"/>
        </w:trPr>
        <w:tc>
          <w:tcPr>
            <w:tcW w:w="2880" w:type="dxa"/>
            <w:tcBorders>
              <w:top w:val="single" w:sz="8" w:space="0" w:color="4F81BD"/>
              <w:bottom w:val="single" w:sz="8" w:space="0" w:color="4F81BD"/>
              <w:right w:val="nil"/>
            </w:tcBorders>
            <w:shd w:val="clear" w:color="auto" w:fill="auto"/>
            <w:vAlign w:val="center"/>
          </w:tcPr>
          <w:p w:rsidR="00406CAD" w:rsidRPr="005D1DA8" w:rsidRDefault="00406CAD" w:rsidP="00040355">
            <w:pPr>
              <w:ind w:left="252"/>
              <w:rPr>
                <w:rFonts w:cs="Arial"/>
                <w:b/>
                <w:bCs/>
              </w:rPr>
            </w:pPr>
            <w:r>
              <w:rPr>
                <w:rFonts w:cs="Arial"/>
                <w:b/>
                <w:bCs/>
              </w:rPr>
              <w:t>Mercury Containing Lamps</w:t>
            </w:r>
          </w:p>
        </w:tc>
        <w:tc>
          <w:tcPr>
            <w:tcW w:w="3568" w:type="dxa"/>
            <w:tcBorders>
              <w:top w:val="single" w:sz="8" w:space="0" w:color="4F81BD"/>
              <w:left w:val="nil"/>
              <w:bottom w:val="single" w:sz="8" w:space="0" w:color="4F81BD"/>
            </w:tcBorders>
            <w:shd w:val="clear" w:color="auto" w:fill="auto"/>
            <w:vAlign w:val="center"/>
          </w:tcPr>
          <w:p w:rsidR="00406CAD" w:rsidRPr="005D1DA8" w:rsidRDefault="00406CAD" w:rsidP="00040355">
            <w:pPr>
              <w:ind w:left="0"/>
              <w:jc w:val="center"/>
              <w:rPr>
                <w:rFonts w:cs="Arial"/>
              </w:rPr>
            </w:pPr>
            <w:r>
              <w:rPr>
                <w:rFonts w:cs="Arial"/>
              </w:rPr>
              <w:t>14,572</w:t>
            </w:r>
          </w:p>
        </w:tc>
      </w:tr>
      <w:tr w:rsidR="00406CAD" w:rsidRPr="005D1DA8" w:rsidTr="003C2E31">
        <w:trPr>
          <w:trHeight w:val="576"/>
        </w:trPr>
        <w:tc>
          <w:tcPr>
            <w:tcW w:w="2880" w:type="dxa"/>
            <w:tcBorders>
              <w:top w:val="single" w:sz="8" w:space="0" w:color="4F81BD"/>
              <w:bottom w:val="single" w:sz="8" w:space="0" w:color="4F81BD"/>
              <w:right w:val="nil"/>
            </w:tcBorders>
            <w:shd w:val="clear" w:color="auto" w:fill="auto"/>
            <w:vAlign w:val="center"/>
          </w:tcPr>
          <w:p w:rsidR="00406CAD" w:rsidRDefault="00406CAD" w:rsidP="00040355">
            <w:pPr>
              <w:ind w:left="252"/>
              <w:rPr>
                <w:rFonts w:cs="Arial"/>
                <w:b/>
                <w:bCs/>
              </w:rPr>
            </w:pPr>
            <w:r>
              <w:rPr>
                <w:rFonts w:cs="Arial"/>
                <w:b/>
                <w:bCs/>
              </w:rPr>
              <w:t>Mercury Containing Equipment</w:t>
            </w:r>
          </w:p>
        </w:tc>
        <w:tc>
          <w:tcPr>
            <w:tcW w:w="3568" w:type="dxa"/>
            <w:tcBorders>
              <w:top w:val="single" w:sz="8" w:space="0" w:color="4F81BD"/>
              <w:left w:val="nil"/>
              <w:bottom w:val="single" w:sz="8" w:space="0" w:color="4F81BD"/>
            </w:tcBorders>
            <w:shd w:val="clear" w:color="auto" w:fill="auto"/>
            <w:vAlign w:val="center"/>
          </w:tcPr>
          <w:p w:rsidR="00406CAD" w:rsidRPr="005D1DA8" w:rsidRDefault="00406CAD" w:rsidP="00040355">
            <w:pPr>
              <w:ind w:left="0"/>
              <w:jc w:val="center"/>
              <w:rPr>
                <w:rFonts w:cs="Arial"/>
              </w:rPr>
            </w:pPr>
            <w:r>
              <w:rPr>
                <w:rFonts w:cs="Arial"/>
              </w:rPr>
              <w:t>6</w:t>
            </w:r>
          </w:p>
        </w:tc>
      </w:tr>
      <w:tr w:rsidR="00406CAD" w:rsidRPr="005D1DA8" w:rsidTr="003C2E31">
        <w:trPr>
          <w:trHeight w:val="576"/>
        </w:trPr>
        <w:tc>
          <w:tcPr>
            <w:tcW w:w="2880" w:type="dxa"/>
            <w:tcBorders>
              <w:top w:val="single" w:sz="8" w:space="0" w:color="4F81BD"/>
              <w:bottom w:val="single" w:sz="8" w:space="0" w:color="4F81BD"/>
              <w:right w:val="nil"/>
            </w:tcBorders>
            <w:shd w:val="clear" w:color="auto" w:fill="auto"/>
            <w:vAlign w:val="center"/>
          </w:tcPr>
          <w:p w:rsidR="00406CAD" w:rsidRDefault="00406CAD" w:rsidP="00040355">
            <w:pPr>
              <w:ind w:left="252"/>
              <w:rPr>
                <w:rFonts w:cs="Arial"/>
                <w:b/>
                <w:bCs/>
              </w:rPr>
            </w:pPr>
            <w:r>
              <w:rPr>
                <w:rFonts w:cs="Arial"/>
                <w:b/>
                <w:bCs/>
              </w:rPr>
              <w:t>Non PCB Capacitors</w:t>
            </w:r>
          </w:p>
        </w:tc>
        <w:tc>
          <w:tcPr>
            <w:tcW w:w="3568" w:type="dxa"/>
            <w:tcBorders>
              <w:top w:val="single" w:sz="8" w:space="0" w:color="4F81BD"/>
              <w:left w:val="nil"/>
              <w:bottom w:val="single" w:sz="8" w:space="0" w:color="4F81BD"/>
            </w:tcBorders>
            <w:shd w:val="clear" w:color="auto" w:fill="auto"/>
            <w:vAlign w:val="center"/>
          </w:tcPr>
          <w:p w:rsidR="00406CAD" w:rsidRPr="005D1DA8" w:rsidRDefault="00406CAD" w:rsidP="00040355">
            <w:pPr>
              <w:ind w:left="0"/>
              <w:jc w:val="center"/>
              <w:rPr>
                <w:rFonts w:cs="Arial"/>
              </w:rPr>
            </w:pPr>
            <w:r>
              <w:rPr>
                <w:rFonts w:cs="Arial"/>
              </w:rPr>
              <w:t>190</w:t>
            </w:r>
          </w:p>
        </w:tc>
      </w:tr>
      <w:tr w:rsidR="00406CAD" w:rsidRPr="005D1DA8" w:rsidTr="003C2E31">
        <w:trPr>
          <w:trHeight w:val="576"/>
        </w:trPr>
        <w:tc>
          <w:tcPr>
            <w:tcW w:w="2880" w:type="dxa"/>
            <w:tcBorders>
              <w:top w:val="single" w:sz="8" w:space="0" w:color="4F81BD"/>
              <w:bottom w:val="single" w:sz="8" w:space="0" w:color="4F81BD"/>
              <w:right w:val="nil"/>
            </w:tcBorders>
            <w:shd w:val="clear" w:color="auto" w:fill="auto"/>
            <w:vAlign w:val="center"/>
          </w:tcPr>
          <w:p w:rsidR="00406CAD" w:rsidRDefault="00406CAD" w:rsidP="00040355">
            <w:pPr>
              <w:ind w:left="252"/>
              <w:rPr>
                <w:rFonts w:cs="Arial"/>
                <w:b/>
                <w:bCs/>
              </w:rPr>
            </w:pPr>
            <w:r>
              <w:rPr>
                <w:rFonts w:cs="Arial"/>
                <w:b/>
                <w:bCs/>
              </w:rPr>
              <w:t>Oil Filters</w:t>
            </w:r>
          </w:p>
        </w:tc>
        <w:tc>
          <w:tcPr>
            <w:tcW w:w="3568" w:type="dxa"/>
            <w:tcBorders>
              <w:top w:val="single" w:sz="8" w:space="0" w:color="4F81BD"/>
              <w:left w:val="nil"/>
              <w:bottom w:val="single" w:sz="8" w:space="0" w:color="4F81BD"/>
            </w:tcBorders>
            <w:shd w:val="clear" w:color="auto" w:fill="auto"/>
            <w:vAlign w:val="center"/>
          </w:tcPr>
          <w:p w:rsidR="00406CAD" w:rsidRPr="005D1DA8" w:rsidRDefault="00406CAD" w:rsidP="00040355">
            <w:pPr>
              <w:ind w:left="0"/>
              <w:jc w:val="center"/>
              <w:rPr>
                <w:rFonts w:cs="Arial"/>
              </w:rPr>
            </w:pPr>
            <w:r>
              <w:rPr>
                <w:rFonts w:cs="Arial"/>
              </w:rPr>
              <w:t>272</w:t>
            </w:r>
          </w:p>
        </w:tc>
      </w:tr>
      <w:tr w:rsidR="00406CAD" w:rsidRPr="005D1DA8" w:rsidTr="003C2E31">
        <w:trPr>
          <w:trHeight w:val="576"/>
        </w:trPr>
        <w:tc>
          <w:tcPr>
            <w:tcW w:w="2880" w:type="dxa"/>
            <w:tcBorders>
              <w:top w:val="single" w:sz="8" w:space="0" w:color="4F81BD"/>
              <w:left w:val="single" w:sz="8" w:space="0" w:color="4F81BD"/>
              <w:bottom w:val="single" w:sz="8" w:space="0" w:color="4F81BD"/>
            </w:tcBorders>
            <w:shd w:val="clear" w:color="auto" w:fill="auto"/>
            <w:vAlign w:val="center"/>
          </w:tcPr>
          <w:p w:rsidR="00406CAD" w:rsidRPr="005D1DA8" w:rsidRDefault="00406CAD" w:rsidP="00040355">
            <w:pPr>
              <w:ind w:left="252"/>
              <w:rPr>
                <w:rFonts w:cs="Arial"/>
                <w:b/>
                <w:bCs/>
              </w:rPr>
            </w:pPr>
            <w:r>
              <w:rPr>
                <w:rFonts w:cs="Arial"/>
                <w:b/>
                <w:bCs/>
              </w:rPr>
              <w:t xml:space="preserve">Safety </w:t>
            </w:r>
            <w:proofErr w:type="spellStart"/>
            <w:r>
              <w:rPr>
                <w:rFonts w:cs="Arial"/>
                <w:b/>
                <w:bCs/>
              </w:rPr>
              <w:t>Kleen</w:t>
            </w:r>
            <w:proofErr w:type="spellEnd"/>
            <w:r>
              <w:rPr>
                <w:rFonts w:cs="Arial"/>
                <w:b/>
                <w:bCs/>
              </w:rPr>
              <w:t xml:space="preserve"> Solvent</w:t>
            </w:r>
          </w:p>
        </w:tc>
        <w:tc>
          <w:tcPr>
            <w:tcW w:w="3568" w:type="dxa"/>
            <w:tcBorders>
              <w:top w:val="single" w:sz="8" w:space="0" w:color="4F81BD"/>
              <w:bottom w:val="single" w:sz="8" w:space="0" w:color="4F81BD"/>
              <w:right w:val="single" w:sz="8" w:space="0" w:color="4F81BD"/>
            </w:tcBorders>
            <w:shd w:val="clear" w:color="auto" w:fill="auto"/>
            <w:vAlign w:val="center"/>
          </w:tcPr>
          <w:p w:rsidR="00406CAD" w:rsidRPr="005D1DA8" w:rsidRDefault="00406CAD" w:rsidP="00040355">
            <w:pPr>
              <w:ind w:left="0"/>
              <w:jc w:val="center"/>
              <w:rPr>
                <w:rFonts w:cs="Arial"/>
              </w:rPr>
            </w:pPr>
            <w:r>
              <w:rPr>
                <w:rFonts w:cs="Arial"/>
              </w:rPr>
              <w:t>1,033</w:t>
            </w:r>
          </w:p>
        </w:tc>
      </w:tr>
      <w:tr w:rsidR="00406CAD" w:rsidRPr="005D1DA8" w:rsidTr="003C2E31">
        <w:trPr>
          <w:trHeight w:val="576"/>
        </w:trPr>
        <w:tc>
          <w:tcPr>
            <w:tcW w:w="2880" w:type="dxa"/>
            <w:tcBorders>
              <w:bottom w:val="single" w:sz="8" w:space="0" w:color="4F81BD"/>
            </w:tcBorders>
            <w:shd w:val="clear" w:color="auto" w:fill="auto"/>
            <w:vAlign w:val="center"/>
          </w:tcPr>
          <w:p w:rsidR="00406CAD" w:rsidRPr="005D1DA8" w:rsidRDefault="00406CAD" w:rsidP="00040355">
            <w:pPr>
              <w:ind w:left="252"/>
              <w:rPr>
                <w:rFonts w:cs="Arial"/>
                <w:b/>
                <w:bCs/>
              </w:rPr>
            </w:pPr>
            <w:r>
              <w:rPr>
                <w:rFonts w:cs="Arial"/>
                <w:b/>
                <w:bCs/>
              </w:rPr>
              <w:t>Used Oil</w:t>
            </w:r>
          </w:p>
        </w:tc>
        <w:tc>
          <w:tcPr>
            <w:tcW w:w="3568" w:type="dxa"/>
            <w:tcBorders>
              <w:top w:val="single" w:sz="8" w:space="0" w:color="4F81BD"/>
              <w:bottom w:val="single" w:sz="8" w:space="0" w:color="4F81BD"/>
            </w:tcBorders>
            <w:shd w:val="clear" w:color="auto" w:fill="auto"/>
            <w:vAlign w:val="center"/>
          </w:tcPr>
          <w:p w:rsidR="00406CAD" w:rsidRPr="005D1DA8" w:rsidRDefault="00406CAD" w:rsidP="00040355">
            <w:pPr>
              <w:ind w:left="0"/>
              <w:jc w:val="center"/>
              <w:rPr>
                <w:rFonts w:cs="Arial"/>
              </w:rPr>
            </w:pPr>
            <w:r>
              <w:rPr>
                <w:rFonts w:cs="Arial"/>
              </w:rPr>
              <w:t>20,000</w:t>
            </w:r>
          </w:p>
        </w:tc>
      </w:tr>
      <w:tr w:rsidR="00406CAD" w:rsidRPr="005D1DA8" w:rsidTr="003C2E31">
        <w:trPr>
          <w:trHeight w:val="576"/>
        </w:trPr>
        <w:tc>
          <w:tcPr>
            <w:tcW w:w="2880" w:type="dxa"/>
            <w:tcBorders>
              <w:top w:val="single" w:sz="8" w:space="0" w:color="4F81BD"/>
              <w:bottom w:val="single" w:sz="8" w:space="0" w:color="4F81BD"/>
            </w:tcBorders>
            <w:shd w:val="clear" w:color="auto" w:fill="auto"/>
            <w:vAlign w:val="center"/>
          </w:tcPr>
          <w:p w:rsidR="00406CAD" w:rsidRPr="005D1DA8" w:rsidRDefault="00406CAD" w:rsidP="00040355">
            <w:pPr>
              <w:ind w:left="252"/>
              <w:rPr>
                <w:rFonts w:cs="Arial"/>
                <w:b/>
                <w:bCs/>
              </w:rPr>
            </w:pPr>
            <w:r>
              <w:rPr>
                <w:rFonts w:cs="Arial"/>
                <w:b/>
                <w:bCs/>
              </w:rPr>
              <w:t>Universal Waste Batteries</w:t>
            </w:r>
          </w:p>
        </w:tc>
        <w:tc>
          <w:tcPr>
            <w:tcW w:w="3568" w:type="dxa"/>
            <w:tcBorders>
              <w:top w:val="single" w:sz="8" w:space="0" w:color="4F81BD"/>
              <w:bottom w:val="single" w:sz="8" w:space="0" w:color="4F81BD"/>
            </w:tcBorders>
            <w:shd w:val="clear" w:color="auto" w:fill="auto"/>
            <w:vAlign w:val="center"/>
          </w:tcPr>
          <w:p w:rsidR="00406CAD" w:rsidRPr="005D1DA8" w:rsidRDefault="00406CAD" w:rsidP="00040355">
            <w:pPr>
              <w:ind w:left="0"/>
              <w:jc w:val="center"/>
              <w:rPr>
                <w:rFonts w:cs="Arial"/>
              </w:rPr>
            </w:pPr>
            <w:r>
              <w:rPr>
                <w:rFonts w:cs="Arial"/>
              </w:rPr>
              <w:t>271</w:t>
            </w:r>
          </w:p>
        </w:tc>
      </w:tr>
    </w:tbl>
    <w:p w:rsidR="00406CAD" w:rsidRPr="00406CAD" w:rsidRDefault="00406CAD" w:rsidP="00406CAD">
      <w:pPr>
        <w:pStyle w:val="BodyText"/>
      </w:pPr>
    </w:p>
    <w:p w:rsidR="003C2E31" w:rsidRPr="0029394F" w:rsidRDefault="003C2E31" w:rsidP="006F195B">
      <w:pPr>
        <w:pStyle w:val="Heading3"/>
        <w:jc w:val="both"/>
      </w:pPr>
      <w:bookmarkStart w:id="51" w:name="_Toc426529670"/>
    </w:p>
    <w:p w:rsidR="00563991" w:rsidRPr="0029394F" w:rsidRDefault="000368D1" w:rsidP="006F195B">
      <w:pPr>
        <w:pStyle w:val="Heading3"/>
        <w:jc w:val="both"/>
      </w:pPr>
      <w:r w:rsidRPr="0029394F">
        <w:t>7</w:t>
      </w:r>
      <w:r w:rsidR="00E40625" w:rsidRPr="0029394F">
        <w:t>.1</w:t>
      </w:r>
      <w:r w:rsidR="003716C8" w:rsidRPr="0029394F">
        <w:t>3</w:t>
      </w:r>
      <w:r w:rsidR="00E40625" w:rsidRPr="0029394F">
        <w:t>.</w:t>
      </w:r>
      <w:r w:rsidR="003716C8" w:rsidRPr="0029394F">
        <w:t>2</w:t>
      </w:r>
      <w:r w:rsidR="00E40625" w:rsidRPr="0029394F">
        <w:t xml:space="preserve"> R</w:t>
      </w:r>
      <w:r w:rsidR="00CB38A2" w:rsidRPr="0029394F">
        <w:t>CRA Facility Investigation (R</w:t>
      </w:r>
      <w:r w:rsidR="00E40625" w:rsidRPr="0029394F">
        <w:t>FI</w:t>
      </w:r>
      <w:r w:rsidR="00CB38A2" w:rsidRPr="0029394F">
        <w:t>)</w:t>
      </w:r>
      <w:r w:rsidR="00E40625" w:rsidRPr="0029394F">
        <w:t xml:space="preserve"> Activities</w:t>
      </w:r>
      <w:bookmarkEnd w:id="51"/>
    </w:p>
    <w:p w:rsidR="00113770" w:rsidRPr="00113770" w:rsidRDefault="00747F13" w:rsidP="00113770">
      <w:pPr>
        <w:widowControl w:val="0"/>
        <w:autoSpaceDE w:val="0"/>
        <w:autoSpaceDN w:val="0"/>
        <w:adjustRightInd w:val="0"/>
        <w:spacing w:after="240" w:line="238" w:lineRule="atLeast"/>
        <w:rPr>
          <w:rFonts w:cs="Arial"/>
          <w:spacing w:val="0"/>
        </w:rPr>
      </w:pPr>
      <w:r w:rsidRPr="00747F13">
        <w:rPr>
          <w:rFonts w:cs="Arial"/>
          <w:spacing w:val="0"/>
        </w:rPr>
        <w:t xml:space="preserve"> </w:t>
      </w:r>
      <w:r w:rsidR="00113770" w:rsidRPr="00113770">
        <w:rPr>
          <w:rFonts w:cs="Arial"/>
          <w:b/>
          <w:bCs/>
          <w:spacing w:val="0"/>
        </w:rPr>
        <w:t>CUB Pipe and Clay Tile Field (SWMU 12)</w:t>
      </w: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 xml:space="preserve">At SWMU 12, the pipes and clay tiles, along with all chromate-contaminated soil and gravel, have previously been removed. Contaminated soil was disposed of properly and the surrounding soil was sampled and analyzed. On a semi-annual frequency, Fermilab continues to sample monitoring wells installed at this unit. All ten monitoring wells at SWMU 12 were sampled during </w:t>
      </w:r>
      <w:r>
        <w:rPr>
          <w:rFonts w:cs="Arial"/>
          <w:spacing w:val="0"/>
        </w:rPr>
        <w:t>the 2nd and 4th quarters of 2014</w:t>
      </w:r>
      <w:r w:rsidRPr="00113770">
        <w:rPr>
          <w:rFonts w:cs="Arial"/>
          <w:spacing w:val="0"/>
        </w:rPr>
        <w:t>.</w:t>
      </w: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The following table summarizes the 201</w:t>
      </w:r>
      <w:r>
        <w:rPr>
          <w:rFonts w:cs="Arial"/>
          <w:spacing w:val="0"/>
        </w:rPr>
        <w:t>4</w:t>
      </w:r>
      <w:r w:rsidRPr="00113770">
        <w:rPr>
          <w:rFonts w:cs="Arial"/>
          <w:spacing w:val="0"/>
        </w:rPr>
        <w:t xml:space="preserve"> results at SWMU 12 from wells with results above either the Class I or Class II Groundwater Quality Standards.</w:t>
      </w:r>
    </w:p>
    <w:p w:rsidR="005731E9"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Glacial deposit well MWD1 produced 2</w:t>
      </w:r>
      <w:r w:rsidRPr="00B87B04">
        <w:rPr>
          <w:rFonts w:cs="Arial"/>
          <w:spacing w:val="0"/>
          <w:vertAlign w:val="superscript"/>
        </w:rPr>
        <w:t>nd</w:t>
      </w:r>
      <w:r>
        <w:rPr>
          <w:rFonts w:cs="Arial"/>
          <w:spacing w:val="0"/>
        </w:rPr>
        <w:t xml:space="preserve"> and 4</w:t>
      </w:r>
      <w:r w:rsidRPr="00B87B04">
        <w:rPr>
          <w:rFonts w:cs="Arial"/>
          <w:spacing w:val="0"/>
          <w:vertAlign w:val="superscript"/>
        </w:rPr>
        <w:t>th</w:t>
      </w:r>
      <w:r w:rsidRPr="00113770">
        <w:rPr>
          <w:rFonts w:cs="Arial"/>
          <w:spacing w:val="0"/>
        </w:rPr>
        <w:t xml:space="preserve"> quarter total chloride results of 1</w:t>
      </w:r>
      <w:r>
        <w:rPr>
          <w:rFonts w:cs="Arial"/>
          <w:spacing w:val="0"/>
        </w:rPr>
        <w:t>160</w:t>
      </w:r>
      <w:r w:rsidRPr="00113770">
        <w:rPr>
          <w:rFonts w:cs="Arial"/>
          <w:spacing w:val="0"/>
        </w:rPr>
        <w:t xml:space="preserve"> mg/L and </w:t>
      </w:r>
      <w:r>
        <w:rPr>
          <w:rFonts w:cs="Arial"/>
          <w:spacing w:val="0"/>
        </w:rPr>
        <w:t>122</w:t>
      </w:r>
      <w:r w:rsidRPr="00113770">
        <w:rPr>
          <w:rFonts w:cs="Arial"/>
          <w:spacing w:val="0"/>
        </w:rPr>
        <w:t>0 mg/L, respectively. The Class II Groundwater Quality Standard is 200 mg/L.</w:t>
      </w:r>
    </w:p>
    <w:p w:rsidR="003C2E31" w:rsidRDefault="003C2E31" w:rsidP="005731E9">
      <w:pPr>
        <w:widowControl w:val="0"/>
        <w:autoSpaceDE w:val="0"/>
        <w:autoSpaceDN w:val="0"/>
        <w:adjustRightInd w:val="0"/>
        <w:spacing w:after="240" w:line="238" w:lineRule="atLeast"/>
        <w:jc w:val="both"/>
        <w:rPr>
          <w:rFonts w:cs="Arial"/>
          <w:spacing w:val="0"/>
        </w:rPr>
      </w:pPr>
    </w:p>
    <w:p w:rsidR="003C2E31" w:rsidRDefault="003C2E31" w:rsidP="005731E9">
      <w:pPr>
        <w:widowControl w:val="0"/>
        <w:autoSpaceDE w:val="0"/>
        <w:autoSpaceDN w:val="0"/>
        <w:adjustRightInd w:val="0"/>
        <w:spacing w:after="240" w:line="238" w:lineRule="atLeast"/>
        <w:jc w:val="both"/>
        <w:rPr>
          <w:rFonts w:cs="Arial"/>
          <w:spacing w:val="0"/>
        </w:rPr>
      </w:pPr>
    </w:p>
    <w:tbl>
      <w:tblPr>
        <w:tblW w:w="6590" w:type="dxa"/>
        <w:jc w:val="center"/>
        <w:tblLook w:val="04A0" w:firstRow="1" w:lastRow="0" w:firstColumn="1" w:lastColumn="0" w:noHBand="0" w:noVBand="1"/>
      </w:tblPr>
      <w:tblGrid>
        <w:gridCol w:w="879"/>
        <w:gridCol w:w="2196"/>
        <w:gridCol w:w="909"/>
        <w:gridCol w:w="879"/>
        <w:gridCol w:w="879"/>
        <w:gridCol w:w="848"/>
      </w:tblGrid>
      <w:tr w:rsidR="005731E9" w:rsidRPr="00113770" w:rsidTr="002975F8">
        <w:trPr>
          <w:trHeight w:val="229"/>
          <w:jc w:val="center"/>
        </w:trPr>
        <w:tc>
          <w:tcPr>
            <w:tcW w:w="3075" w:type="dxa"/>
            <w:gridSpan w:val="2"/>
            <w:tcBorders>
              <w:top w:val="single" w:sz="8"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b/>
                <w:bCs/>
                <w:spacing w:val="0"/>
                <w:sz w:val="16"/>
                <w:szCs w:val="16"/>
              </w:rPr>
            </w:pPr>
            <w:r w:rsidRPr="00113770">
              <w:rPr>
                <w:rFonts w:cs="Arial"/>
                <w:b/>
                <w:bCs/>
                <w:spacing w:val="0"/>
                <w:sz w:val="16"/>
                <w:szCs w:val="16"/>
              </w:rPr>
              <w:t>Glacial Deposit Monitoring Wells</w:t>
            </w:r>
          </w:p>
        </w:tc>
        <w:tc>
          <w:tcPr>
            <w:tcW w:w="909" w:type="dxa"/>
            <w:tcBorders>
              <w:top w:val="single" w:sz="8"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c>
          <w:tcPr>
            <w:tcW w:w="879" w:type="dxa"/>
            <w:tcBorders>
              <w:top w:val="single" w:sz="8" w:space="0" w:color="auto"/>
              <w:left w:val="nil"/>
              <w:bottom w:val="single" w:sz="4" w:space="0" w:color="auto"/>
              <w:right w:val="single" w:sz="8" w:space="0" w:color="auto"/>
            </w:tcBorders>
          </w:tcPr>
          <w:p w:rsidR="005731E9" w:rsidRPr="00113770" w:rsidRDefault="005731E9" w:rsidP="002975F8">
            <w:pPr>
              <w:ind w:left="0"/>
              <w:jc w:val="center"/>
              <w:rPr>
                <w:rFonts w:cs="Arial"/>
                <w:color w:val="000000"/>
                <w:spacing w:val="0"/>
                <w:sz w:val="16"/>
                <w:szCs w:val="16"/>
              </w:rPr>
            </w:pPr>
          </w:p>
        </w:tc>
        <w:tc>
          <w:tcPr>
            <w:tcW w:w="8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2Q1</w:t>
            </w:r>
            <w:r>
              <w:rPr>
                <w:rFonts w:cs="Arial"/>
                <w:color w:val="000000"/>
                <w:spacing w:val="0"/>
                <w:sz w:val="16"/>
                <w:szCs w:val="16"/>
              </w:rPr>
              <w:t>4</w:t>
            </w:r>
          </w:p>
        </w:tc>
        <w:tc>
          <w:tcPr>
            <w:tcW w:w="848" w:type="dxa"/>
            <w:tcBorders>
              <w:top w:val="single" w:sz="8" w:space="0" w:color="auto"/>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4Q1</w:t>
            </w:r>
            <w:r>
              <w:rPr>
                <w:rFonts w:cs="Arial"/>
                <w:color w:val="000000"/>
                <w:spacing w:val="0"/>
                <w:sz w:val="16"/>
                <w:szCs w:val="16"/>
              </w:rPr>
              <w:t>4</w:t>
            </w:r>
          </w:p>
        </w:tc>
      </w:tr>
      <w:tr w:rsidR="005731E9" w:rsidRPr="00113770" w:rsidTr="002975F8">
        <w:trPr>
          <w:trHeight w:val="958"/>
          <w:jc w:val="center"/>
        </w:trPr>
        <w:tc>
          <w:tcPr>
            <w:tcW w:w="3075" w:type="dxa"/>
            <w:gridSpan w:val="2"/>
            <w:tcBorders>
              <w:top w:val="nil"/>
              <w:left w:val="nil"/>
              <w:bottom w:val="single" w:sz="8"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PARAMETER</w:t>
            </w:r>
          </w:p>
        </w:tc>
        <w:tc>
          <w:tcPr>
            <w:tcW w:w="909" w:type="dxa"/>
            <w:tcBorders>
              <w:top w:val="nil"/>
              <w:left w:val="nil"/>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 xml:space="preserve">Class II GW Quality Standard </w:t>
            </w:r>
          </w:p>
        </w:tc>
        <w:tc>
          <w:tcPr>
            <w:tcW w:w="879" w:type="dxa"/>
            <w:tcBorders>
              <w:top w:val="nil"/>
              <w:left w:val="nil"/>
              <w:bottom w:val="single" w:sz="8" w:space="0" w:color="auto"/>
              <w:right w:val="single" w:sz="8" w:space="0" w:color="auto"/>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single" w:sz="8" w:space="0" w:color="auto"/>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Well CUBD1 MWD1</w:t>
            </w:r>
          </w:p>
        </w:tc>
        <w:tc>
          <w:tcPr>
            <w:tcW w:w="848" w:type="dxa"/>
            <w:tcBorders>
              <w:top w:val="nil"/>
              <w:left w:val="nil"/>
              <w:bottom w:val="single" w:sz="8" w:space="0" w:color="auto"/>
              <w:right w:val="nil"/>
            </w:tcBorders>
            <w:shd w:val="clear" w:color="auto" w:fill="auto"/>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 xml:space="preserve">Well CUBD1 MWD1 </w:t>
            </w:r>
          </w:p>
        </w:tc>
      </w:tr>
      <w:tr w:rsidR="005731E9" w:rsidRPr="00113770" w:rsidTr="002975F8">
        <w:trPr>
          <w:trHeight w:val="229"/>
          <w:jc w:val="center"/>
        </w:trPr>
        <w:tc>
          <w:tcPr>
            <w:tcW w:w="3075" w:type="dxa"/>
            <w:gridSpan w:val="2"/>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INORGANIC (mg/L)</w:t>
            </w:r>
          </w:p>
        </w:tc>
        <w:tc>
          <w:tcPr>
            <w:tcW w:w="909"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c>
          <w:tcPr>
            <w:tcW w:w="879" w:type="dxa"/>
            <w:tcBorders>
              <w:top w:val="nil"/>
              <w:left w:val="nil"/>
              <w:bottom w:val="single" w:sz="4" w:space="0" w:color="auto"/>
              <w:right w:val="single" w:sz="8" w:space="0" w:color="auto"/>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single" w:sz="8"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 </w:t>
            </w:r>
          </w:p>
        </w:tc>
        <w:tc>
          <w:tcPr>
            <w:tcW w:w="848"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r>
      <w:tr w:rsidR="005731E9" w:rsidRPr="00113770" w:rsidTr="002975F8">
        <w:trPr>
          <w:trHeight w:val="229"/>
          <w:jc w:val="center"/>
        </w:trPr>
        <w:tc>
          <w:tcPr>
            <w:tcW w:w="3075" w:type="dxa"/>
            <w:gridSpan w:val="2"/>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Chloride, Total</w:t>
            </w:r>
          </w:p>
        </w:tc>
        <w:tc>
          <w:tcPr>
            <w:tcW w:w="909"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200</w:t>
            </w:r>
          </w:p>
        </w:tc>
        <w:tc>
          <w:tcPr>
            <w:tcW w:w="879" w:type="dxa"/>
            <w:tcBorders>
              <w:top w:val="nil"/>
              <w:left w:val="nil"/>
              <w:bottom w:val="single" w:sz="4" w:space="0" w:color="auto"/>
              <w:right w:val="single" w:sz="8" w:space="0" w:color="auto"/>
            </w:tcBorders>
          </w:tcPr>
          <w:p w:rsidR="005731E9" w:rsidRDefault="005731E9" w:rsidP="002975F8">
            <w:pPr>
              <w:ind w:left="0"/>
              <w:jc w:val="center"/>
              <w:rPr>
                <w:rFonts w:cs="Arial"/>
                <w:color w:val="000000"/>
                <w:spacing w:val="0"/>
                <w:sz w:val="16"/>
                <w:szCs w:val="16"/>
              </w:rPr>
            </w:pPr>
          </w:p>
        </w:tc>
        <w:tc>
          <w:tcPr>
            <w:tcW w:w="879" w:type="dxa"/>
            <w:tcBorders>
              <w:top w:val="nil"/>
              <w:left w:val="single" w:sz="8" w:space="0" w:color="auto"/>
              <w:bottom w:val="single" w:sz="4" w:space="0" w:color="auto"/>
              <w:right w:val="single" w:sz="4" w:space="0" w:color="auto"/>
            </w:tcBorders>
            <w:shd w:val="clear" w:color="000000" w:fill="BFBFBF"/>
            <w:noWrap/>
            <w:vAlign w:val="bottom"/>
            <w:hideMark/>
          </w:tcPr>
          <w:p w:rsidR="005731E9" w:rsidRPr="00113770" w:rsidRDefault="005731E9" w:rsidP="002975F8">
            <w:pPr>
              <w:ind w:left="0"/>
              <w:jc w:val="center"/>
              <w:rPr>
                <w:rFonts w:cs="Arial"/>
                <w:color w:val="000000"/>
                <w:spacing w:val="0"/>
                <w:sz w:val="16"/>
                <w:szCs w:val="16"/>
              </w:rPr>
            </w:pPr>
            <w:r>
              <w:rPr>
                <w:rFonts w:cs="Arial"/>
                <w:color w:val="000000"/>
                <w:spacing w:val="0"/>
                <w:sz w:val="16"/>
                <w:szCs w:val="16"/>
              </w:rPr>
              <w:t>1160</w:t>
            </w:r>
          </w:p>
        </w:tc>
        <w:tc>
          <w:tcPr>
            <w:tcW w:w="848" w:type="dxa"/>
            <w:tcBorders>
              <w:top w:val="nil"/>
              <w:left w:val="nil"/>
              <w:bottom w:val="single" w:sz="4" w:space="0" w:color="auto"/>
              <w:right w:val="nil"/>
            </w:tcBorders>
            <w:shd w:val="clear" w:color="000000" w:fill="BFBFBF"/>
            <w:noWrap/>
            <w:vAlign w:val="bottom"/>
            <w:hideMark/>
          </w:tcPr>
          <w:p w:rsidR="005731E9" w:rsidRPr="00113770" w:rsidRDefault="005731E9" w:rsidP="002975F8">
            <w:pPr>
              <w:ind w:left="0"/>
              <w:jc w:val="center"/>
              <w:rPr>
                <w:rFonts w:cs="Arial"/>
                <w:color w:val="000000"/>
                <w:spacing w:val="0"/>
                <w:sz w:val="16"/>
                <w:szCs w:val="16"/>
              </w:rPr>
            </w:pPr>
            <w:r>
              <w:rPr>
                <w:rFonts w:cs="Arial"/>
                <w:color w:val="000000"/>
                <w:spacing w:val="0"/>
                <w:sz w:val="16"/>
                <w:szCs w:val="16"/>
              </w:rPr>
              <w:t>122</w:t>
            </w:r>
            <w:r w:rsidRPr="00113770">
              <w:rPr>
                <w:rFonts w:cs="Arial"/>
                <w:color w:val="000000"/>
                <w:spacing w:val="0"/>
                <w:sz w:val="16"/>
                <w:szCs w:val="16"/>
              </w:rPr>
              <w:t>0</w:t>
            </w:r>
          </w:p>
        </w:tc>
      </w:tr>
      <w:tr w:rsidR="005731E9" w:rsidRPr="00113770" w:rsidTr="002975F8">
        <w:trPr>
          <w:trHeight w:val="243"/>
          <w:jc w:val="center"/>
        </w:trPr>
        <w:tc>
          <w:tcPr>
            <w:tcW w:w="3075" w:type="dxa"/>
            <w:gridSpan w:val="2"/>
            <w:tcBorders>
              <w:top w:val="nil"/>
              <w:left w:val="nil"/>
              <w:bottom w:val="single" w:sz="8"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Lead, Total</w:t>
            </w:r>
          </w:p>
        </w:tc>
        <w:tc>
          <w:tcPr>
            <w:tcW w:w="909" w:type="dxa"/>
            <w:tcBorders>
              <w:top w:val="nil"/>
              <w:left w:val="nil"/>
              <w:bottom w:val="single" w:sz="8"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0.1</w:t>
            </w:r>
          </w:p>
        </w:tc>
        <w:tc>
          <w:tcPr>
            <w:tcW w:w="879" w:type="dxa"/>
            <w:tcBorders>
              <w:top w:val="nil"/>
              <w:left w:val="nil"/>
              <w:bottom w:val="single" w:sz="8" w:space="0" w:color="auto"/>
              <w:right w:val="single" w:sz="8" w:space="0" w:color="auto"/>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single" w:sz="8" w:space="0" w:color="auto"/>
              <w:bottom w:val="single" w:sz="8"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U</w:t>
            </w:r>
          </w:p>
        </w:tc>
        <w:tc>
          <w:tcPr>
            <w:tcW w:w="848" w:type="dxa"/>
            <w:tcBorders>
              <w:top w:val="nil"/>
              <w:left w:val="nil"/>
              <w:bottom w:val="single" w:sz="8" w:space="0" w:color="auto"/>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U</w:t>
            </w:r>
          </w:p>
        </w:tc>
      </w:tr>
      <w:tr w:rsidR="005731E9" w:rsidRPr="00113770" w:rsidTr="002975F8">
        <w:trPr>
          <w:trHeight w:val="229"/>
          <w:jc w:val="center"/>
        </w:trPr>
        <w:tc>
          <w:tcPr>
            <w:tcW w:w="3075" w:type="dxa"/>
            <w:gridSpan w:val="2"/>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c>
          <w:tcPr>
            <w:tcW w:w="909"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c>
          <w:tcPr>
            <w:tcW w:w="879" w:type="dxa"/>
            <w:tcBorders>
              <w:top w:val="nil"/>
              <w:left w:val="nil"/>
              <w:bottom w:val="nil"/>
              <w:right w:val="nil"/>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r>
      <w:tr w:rsidR="005731E9" w:rsidRPr="00113770" w:rsidTr="002975F8">
        <w:trPr>
          <w:trHeight w:val="229"/>
          <w:jc w:val="center"/>
        </w:trPr>
        <w:tc>
          <w:tcPr>
            <w:tcW w:w="879" w:type="dxa"/>
            <w:tcBorders>
              <w:top w:val="nil"/>
              <w:left w:val="nil"/>
              <w:bottom w:val="nil"/>
              <w:right w:val="nil"/>
            </w:tcBorders>
            <w:shd w:val="clear" w:color="000000" w:fill="BFBFBF"/>
          </w:tcPr>
          <w:p w:rsidR="005731E9" w:rsidRPr="00113770" w:rsidRDefault="005731E9" w:rsidP="002975F8">
            <w:pPr>
              <w:ind w:left="0"/>
              <w:rPr>
                <w:rFonts w:cs="Arial"/>
                <w:color w:val="000000"/>
                <w:spacing w:val="0"/>
                <w:sz w:val="16"/>
                <w:szCs w:val="16"/>
              </w:rPr>
            </w:pPr>
          </w:p>
        </w:tc>
        <w:tc>
          <w:tcPr>
            <w:tcW w:w="4863" w:type="dxa"/>
            <w:gridSpan w:val="4"/>
            <w:tcBorders>
              <w:top w:val="nil"/>
              <w:left w:val="nil"/>
              <w:bottom w:val="nil"/>
              <w:right w:val="nil"/>
            </w:tcBorders>
            <w:shd w:val="clear" w:color="000000" w:fill="BFBFBF"/>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Grey Shading = Above the Class II GW Quality Standard</w:t>
            </w: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r>
      <w:tr w:rsidR="005731E9" w:rsidRPr="00113770" w:rsidTr="002975F8">
        <w:trPr>
          <w:trHeight w:val="229"/>
          <w:jc w:val="center"/>
        </w:trPr>
        <w:tc>
          <w:tcPr>
            <w:tcW w:w="3075" w:type="dxa"/>
            <w:gridSpan w:val="2"/>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U = Undetected</w:t>
            </w:r>
          </w:p>
        </w:tc>
        <w:tc>
          <w:tcPr>
            <w:tcW w:w="909"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c>
          <w:tcPr>
            <w:tcW w:w="879" w:type="dxa"/>
            <w:tcBorders>
              <w:top w:val="nil"/>
              <w:left w:val="nil"/>
              <w:bottom w:val="nil"/>
              <w:right w:val="nil"/>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r>
      <w:tr w:rsidR="005731E9" w:rsidRPr="00113770" w:rsidTr="002975F8">
        <w:trPr>
          <w:trHeight w:val="243"/>
          <w:jc w:val="center"/>
        </w:trPr>
        <w:tc>
          <w:tcPr>
            <w:tcW w:w="3984" w:type="dxa"/>
            <w:gridSpan w:val="3"/>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c>
          <w:tcPr>
            <w:tcW w:w="879" w:type="dxa"/>
            <w:tcBorders>
              <w:top w:val="nil"/>
              <w:left w:val="nil"/>
              <w:bottom w:val="nil"/>
              <w:right w:val="nil"/>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nil"/>
              <w:bottom w:val="single" w:sz="8" w:space="0" w:color="auto"/>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r>
      <w:tr w:rsidR="005731E9" w:rsidRPr="00113770" w:rsidTr="002975F8">
        <w:trPr>
          <w:trHeight w:val="229"/>
          <w:jc w:val="center"/>
        </w:trPr>
        <w:tc>
          <w:tcPr>
            <w:tcW w:w="3075" w:type="dxa"/>
            <w:gridSpan w:val="2"/>
            <w:tcBorders>
              <w:top w:val="single" w:sz="8"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b/>
                <w:bCs/>
                <w:spacing w:val="0"/>
                <w:sz w:val="16"/>
                <w:szCs w:val="16"/>
              </w:rPr>
            </w:pPr>
            <w:r w:rsidRPr="00113770">
              <w:rPr>
                <w:rFonts w:cs="Arial"/>
                <w:b/>
                <w:bCs/>
                <w:spacing w:val="0"/>
                <w:sz w:val="16"/>
                <w:szCs w:val="16"/>
              </w:rPr>
              <w:t>Bedrock Monitoring Wells</w:t>
            </w:r>
          </w:p>
        </w:tc>
        <w:tc>
          <w:tcPr>
            <w:tcW w:w="909" w:type="dxa"/>
            <w:tcBorders>
              <w:top w:val="single" w:sz="8"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c>
          <w:tcPr>
            <w:tcW w:w="879" w:type="dxa"/>
            <w:tcBorders>
              <w:top w:val="single" w:sz="8" w:space="0" w:color="auto"/>
              <w:left w:val="nil"/>
              <w:bottom w:val="single" w:sz="4" w:space="0" w:color="auto"/>
              <w:right w:val="single" w:sz="8" w:space="0" w:color="auto"/>
            </w:tcBorders>
            <w:vAlign w:val="bottom"/>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2Q1</w:t>
            </w:r>
            <w:r>
              <w:rPr>
                <w:rFonts w:cs="Arial"/>
                <w:color w:val="000000"/>
                <w:spacing w:val="0"/>
                <w:sz w:val="16"/>
                <w:szCs w:val="16"/>
              </w:rPr>
              <w:t>4</w:t>
            </w:r>
          </w:p>
        </w:tc>
        <w:tc>
          <w:tcPr>
            <w:tcW w:w="8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2Q1</w:t>
            </w:r>
            <w:r>
              <w:rPr>
                <w:rFonts w:cs="Arial"/>
                <w:color w:val="000000"/>
                <w:spacing w:val="0"/>
                <w:sz w:val="16"/>
                <w:szCs w:val="16"/>
              </w:rPr>
              <w:t>4</w:t>
            </w:r>
          </w:p>
        </w:tc>
        <w:tc>
          <w:tcPr>
            <w:tcW w:w="848" w:type="dxa"/>
            <w:tcBorders>
              <w:top w:val="single" w:sz="8" w:space="0" w:color="auto"/>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4Q1</w:t>
            </w:r>
            <w:r>
              <w:rPr>
                <w:rFonts w:cs="Arial"/>
                <w:color w:val="000000"/>
                <w:spacing w:val="0"/>
                <w:sz w:val="16"/>
                <w:szCs w:val="16"/>
              </w:rPr>
              <w:t>4</w:t>
            </w:r>
          </w:p>
        </w:tc>
      </w:tr>
      <w:tr w:rsidR="005731E9" w:rsidRPr="00113770" w:rsidTr="002975F8">
        <w:trPr>
          <w:trHeight w:val="931"/>
          <w:jc w:val="center"/>
        </w:trPr>
        <w:tc>
          <w:tcPr>
            <w:tcW w:w="3075" w:type="dxa"/>
            <w:gridSpan w:val="2"/>
            <w:tcBorders>
              <w:top w:val="nil"/>
              <w:left w:val="nil"/>
              <w:bottom w:val="single" w:sz="8"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PARAMETER</w:t>
            </w:r>
          </w:p>
        </w:tc>
        <w:tc>
          <w:tcPr>
            <w:tcW w:w="909" w:type="dxa"/>
            <w:tcBorders>
              <w:top w:val="nil"/>
              <w:left w:val="nil"/>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 xml:space="preserve">Class I GW Quality Standard </w:t>
            </w:r>
          </w:p>
        </w:tc>
        <w:tc>
          <w:tcPr>
            <w:tcW w:w="879" w:type="dxa"/>
            <w:tcBorders>
              <w:top w:val="nil"/>
              <w:left w:val="nil"/>
              <w:bottom w:val="single" w:sz="8" w:space="0" w:color="auto"/>
              <w:right w:val="single" w:sz="8" w:space="0" w:color="auto"/>
            </w:tcBorders>
            <w:vAlign w:val="bottom"/>
          </w:tcPr>
          <w:p w:rsidR="005731E9" w:rsidRPr="00113770" w:rsidRDefault="005731E9" w:rsidP="002975F8">
            <w:pPr>
              <w:ind w:left="0"/>
              <w:jc w:val="center"/>
              <w:rPr>
                <w:rFonts w:cs="Arial"/>
                <w:color w:val="000000"/>
                <w:spacing w:val="0"/>
                <w:sz w:val="16"/>
                <w:szCs w:val="16"/>
              </w:rPr>
            </w:pPr>
            <w:r>
              <w:rPr>
                <w:rFonts w:cs="Arial"/>
                <w:color w:val="000000"/>
                <w:spacing w:val="0"/>
                <w:sz w:val="16"/>
                <w:szCs w:val="16"/>
              </w:rPr>
              <w:t>Well CUBBd3 MW7</w:t>
            </w:r>
            <w:r w:rsidRPr="00113770">
              <w:rPr>
                <w:rFonts w:cs="Arial"/>
                <w:color w:val="000000"/>
                <w:spacing w:val="0"/>
                <w:sz w:val="16"/>
                <w:szCs w:val="16"/>
              </w:rPr>
              <w:t>B</w:t>
            </w:r>
          </w:p>
        </w:tc>
        <w:tc>
          <w:tcPr>
            <w:tcW w:w="879" w:type="dxa"/>
            <w:tcBorders>
              <w:top w:val="nil"/>
              <w:left w:val="single" w:sz="8" w:space="0" w:color="auto"/>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Well CUBBd4 MW6B</w:t>
            </w:r>
          </w:p>
        </w:tc>
        <w:tc>
          <w:tcPr>
            <w:tcW w:w="848" w:type="dxa"/>
            <w:tcBorders>
              <w:top w:val="nil"/>
              <w:left w:val="nil"/>
              <w:bottom w:val="single" w:sz="8" w:space="0" w:color="auto"/>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None</w:t>
            </w:r>
          </w:p>
        </w:tc>
      </w:tr>
      <w:tr w:rsidR="005731E9" w:rsidRPr="00113770" w:rsidTr="002975F8">
        <w:trPr>
          <w:trHeight w:val="229"/>
          <w:jc w:val="center"/>
        </w:trPr>
        <w:tc>
          <w:tcPr>
            <w:tcW w:w="3075" w:type="dxa"/>
            <w:gridSpan w:val="2"/>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INORGANIC (mg/L)</w:t>
            </w:r>
          </w:p>
        </w:tc>
        <w:tc>
          <w:tcPr>
            <w:tcW w:w="909"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c>
          <w:tcPr>
            <w:tcW w:w="879" w:type="dxa"/>
            <w:tcBorders>
              <w:top w:val="nil"/>
              <w:left w:val="nil"/>
              <w:bottom w:val="single" w:sz="4" w:space="0" w:color="auto"/>
              <w:right w:val="single" w:sz="8" w:space="0" w:color="auto"/>
            </w:tcBorders>
          </w:tcPr>
          <w:p w:rsidR="005731E9" w:rsidRPr="00113770" w:rsidRDefault="005731E9" w:rsidP="002975F8">
            <w:pPr>
              <w:ind w:left="0"/>
              <w:rPr>
                <w:rFonts w:cs="Arial"/>
                <w:color w:val="000000"/>
                <w:spacing w:val="0"/>
                <w:sz w:val="16"/>
                <w:szCs w:val="16"/>
              </w:rPr>
            </w:pPr>
          </w:p>
        </w:tc>
        <w:tc>
          <w:tcPr>
            <w:tcW w:w="879" w:type="dxa"/>
            <w:tcBorders>
              <w:top w:val="nil"/>
              <w:left w:val="single" w:sz="8"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c>
          <w:tcPr>
            <w:tcW w:w="848"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r>
      <w:tr w:rsidR="005731E9" w:rsidRPr="00113770" w:rsidTr="002975F8">
        <w:trPr>
          <w:trHeight w:val="229"/>
          <w:jc w:val="center"/>
        </w:trPr>
        <w:tc>
          <w:tcPr>
            <w:tcW w:w="3075" w:type="dxa"/>
            <w:gridSpan w:val="2"/>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Chloride, Total</w:t>
            </w:r>
          </w:p>
        </w:tc>
        <w:tc>
          <w:tcPr>
            <w:tcW w:w="909"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200</w:t>
            </w:r>
          </w:p>
        </w:tc>
        <w:tc>
          <w:tcPr>
            <w:tcW w:w="879" w:type="dxa"/>
            <w:tcBorders>
              <w:top w:val="nil"/>
              <w:left w:val="nil"/>
              <w:bottom w:val="single" w:sz="4" w:space="0" w:color="auto"/>
              <w:right w:val="single" w:sz="8" w:space="0" w:color="auto"/>
            </w:tcBorders>
            <w:vAlign w:val="bottom"/>
          </w:tcPr>
          <w:p w:rsidR="005731E9" w:rsidRPr="00113770" w:rsidRDefault="005731E9" w:rsidP="002975F8">
            <w:pPr>
              <w:ind w:left="0"/>
              <w:jc w:val="center"/>
              <w:rPr>
                <w:rFonts w:cs="Arial"/>
                <w:color w:val="000000"/>
                <w:spacing w:val="0"/>
                <w:sz w:val="16"/>
                <w:szCs w:val="16"/>
              </w:rPr>
            </w:pPr>
            <w:r>
              <w:rPr>
                <w:rFonts w:cs="Arial"/>
                <w:color w:val="000000"/>
                <w:spacing w:val="0"/>
                <w:sz w:val="16"/>
                <w:szCs w:val="16"/>
              </w:rPr>
              <w:t>3</w:t>
            </w:r>
          </w:p>
        </w:tc>
        <w:tc>
          <w:tcPr>
            <w:tcW w:w="879" w:type="dxa"/>
            <w:tcBorders>
              <w:top w:val="nil"/>
              <w:left w:val="single" w:sz="8"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Pr>
                <w:rFonts w:cs="Arial"/>
                <w:color w:val="000000"/>
                <w:spacing w:val="0"/>
                <w:sz w:val="16"/>
                <w:szCs w:val="16"/>
              </w:rPr>
              <w:t>2</w:t>
            </w:r>
            <w:r w:rsidRPr="00113770">
              <w:rPr>
                <w:rFonts w:cs="Arial"/>
                <w:color w:val="000000"/>
                <w:spacing w:val="0"/>
                <w:sz w:val="16"/>
                <w:szCs w:val="16"/>
              </w:rPr>
              <w:t>4</w:t>
            </w:r>
          </w:p>
        </w:tc>
        <w:tc>
          <w:tcPr>
            <w:tcW w:w="848"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r>
      <w:tr w:rsidR="005731E9" w:rsidRPr="00113770" w:rsidTr="002975F8">
        <w:trPr>
          <w:trHeight w:val="243"/>
          <w:jc w:val="center"/>
        </w:trPr>
        <w:tc>
          <w:tcPr>
            <w:tcW w:w="3075" w:type="dxa"/>
            <w:gridSpan w:val="2"/>
            <w:tcBorders>
              <w:top w:val="nil"/>
              <w:left w:val="nil"/>
              <w:bottom w:val="single" w:sz="8" w:space="0" w:color="auto"/>
              <w:right w:val="single" w:sz="4" w:space="0" w:color="auto"/>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Lead, Total</w:t>
            </w:r>
          </w:p>
        </w:tc>
        <w:tc>
          <w:tcPr>
            <w:tcW w:w="909" w:type="dxa"/>
            <w:tcBorders>
              <w:top w:val="nil"/>
              <w:left w:val="nil"/>
              <w:bottom w:val="single" w:sz="8" w:space="0" w:color="auto"/>
              <w:right w:val="single" w:sz="4" w:space="0" w:color="auto"/>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0.0075</w:t>
            </w:r>
          </w:p>
        </w:tc>
        <w:tc>
          <w:tcPr>
            <w:tcW w:w="879" w:type="dxa"/>
            <w:tcBorders>
              <w:top w:val="single" w:sz="4" w:space="0" w:color="auto"/>
              <w:left w:val="nil"/>
              <w:bottom w:val="single" w:sz="8" w:space="0" w:color="auto"/>
              <w:right w:val="single" w:sz="8" w:space="0" w:color="auto"/>
            </w:tcBorders>
            <w:shd w:val="clear" w:color="auto" w:fill="BFBFBF" w:themeFill="background1" w:themeFillShade="BF"/>
            <w:vAlign w:val="bottom"/>
          </w:tcPr>
          <w:p w:rsidR="005731E9" w:rsidRPr="00113770" w:rsidRDefault="005731E9" w:rsidP="002975F8">
            <w:pPr>
              <w:ind w:left="0"/>
              <w:jc w:val="center"/>
              <w:rPr>
                <w:rFonts w:cs="Arial"/>
                <w:color w:val="000000"/>
                <w:spacing w:val="0"/>
                <w:sz w:val="16"/>
                <w:szCs w:val="16"/>
              </w:rPr>
            </w:pPr>
            <w:r>
              <w:rPr>
                <w:rFonts w:cs="Arial"/>
                <w:color w:val="000000"/>
                <w:spacing w:val="0"/>
                <w:sz w:val="16"/>
                <w:szCs w:val="16"/>
              </w:rPr>
              <w:t>0.009</w:t>
            </w:r>
          </w:p>
        </w:tc>
        <w:tc>
          <w:tcPr>
            <w:tcW w:w="879" w:type="dxa"/>
            <w:tcBorders>
              <w:top w:val="nil"/>
              <w:left w:val="single" w:sz="8" w:space="0" w:color="auto"/>
              <w:bottom w:val="single" w:sz="8" w:space="0" w:color="auto"/>
              <w:right w:val="single" w:sz="4" w:space="0" w:color="auto"/>
            </w:tcBorders>
            <w:shd w:val="clear" w:color="000000" w:fill="BFBFBF"/>
            <w:noWrap/>
            <w:vAlign w:val="bottom"/>
            <w:hideMark/>
          </w:tcPr>
          <w:p w:rsidR="005731E9" w:rsidRPr="00113770" w:rsidRDefault="005731E9" w:rsidP="002975F8">
            <w:pPr>
              <w:ind w:left="0"/>
              <w:jc w:val="center"/>
              <w:rPr>
                <w:rFonts w:cs="Arial"/>
                <w:color w:val="000000"/>
                <w:spacing w:val="0"/>
                <w:sz w:val="16"/>
                <w:szCs w:val="16"/>
              </w:rPr>
            </w:pPr>
            <w:r w:rsidRPr="00113770">
              <w:rPr>
                <w:rFonts w:cs="Arial"/>
                <w:color w:val="000000"/>
                <w:spacing w:val="0"/>
                <w:sz w:val="16"/>
                <w:szCs w:val="16"/>
              </w:rPr>
              <w:t>0.011</w:t>
            </w:r>
          </w:p>
        </w:tc>
        <w:tc>
          <w:tcPr>
            <w:tcW w:w="848" w:type="dxa"/>
            <w:tcBorders>
              <w:top w:val="nil"/>
              <w:left w:val="nil"/>
              <w:bottom w:val="single" w:sz="8" w:space="0" w:color="auto"/>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 </w:t>
            </w:r>
          </w:p>
        </w:tc>
      </w:tr>
      <w:tr w:rsidR="005731E9" w:rsidRPr="00113770" w:rsidTr="002975F8">
        <w:trPr>
          <w:trHeight w:val="229"/>
          <w:jc w:val="center"/>
        </w:trPr>
        <w:tc>
          <w:tcPr>
            <w:tcW w:w="3075" w:type="dxa"/>
            <w:gridSpan w:val="2"/>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c>
          <w:tcPr>
            <w:tcW w:w="909"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c>
          <w:tcPr>
            <w:tcW w:w="879" w:type="dxa"/>
            <w:tcBorders>
              <w:top w:val="nil"/>
              <w:left w:val="nil"/>
              <w:bottom w:val="nil"/>
              <w:right w:val="nil"/>
            </w:tcBorders>
          </w:tcPr>
          <w:p w:rsidR="005731E9" w:rsidRPr="00113770" w:rsidRDefault="005731E9" w:rsidP="002975F8">
            <w:pPr>
              <w:ind w:left="0"/>
              <w:jc w:val="center"/>
              <w:rPr>
                <w:rFonts w:cs="Arial"/>
                <w:color w:val="000000"/>
                <w:spacing w:val="0"/>
                <w:sz w:val="16"/>
                <w:szCs w:val="16"/>
              </w:rPr>
            </w:pPr>
          </w:p>
        </w:tc>
        <w:tc>
          <w:tcPr>
            <w:tcW w:w="879"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color w:val="000000"/>
                <w:spacing w:val="0"/>
                <w:sz w:val="16"/>
                <w:szCs w:val="16"/>
              </w:rPr>
            </w:pP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r>
      <w:tr w:rsidR="005731E9" w:rsidRPr="00113770" w:rsidTr="002975F8">
        <w:trPr>
          <w:trHeight w:val="229"/>
          <w:jc w:val="center"/>
        </w:trPr>
        <w:tc>
          <w:tcPr>
            <w:tcW w:w="879" w:type="dxa"/>
            <w:tcBorders>
              <w:top w:val="nil"/>
              <w:left w:val="nil"/>
              <w:bottom w:val="nil"/>
              <w:right w:val="nil"/>
            </w:tcBorders>
            <w:shd w:val="clear" w:color="000000" w:fill="BFBFBF"/>
          </w:tcPr>
          <w:p w:rsidR="005731E9" w:rsidRPr="00113770" w:rsidRDefault="005731E9" w:rsidP="002975F8">
            <w:pPr>
              <w:ind w:left="0"/>
              <w:rPr>
                <w:rFonts w:cs="Arial"/>
                <w:color w:val="000000"/>
                <w:spacing w:val="0"/>
                <w:sz w:val="16"/>
                <w:szCs w:val="16"/>
              </w:rPr>
            </w:pPr>
          </w:p>
        </w:tc>
        <w:tc>
          <w:tcPr>
            <w:tcW w:w="4863" w:type="dxa"/>
            <w:gridSpan w:val="4"/>
            <w:tcBorders>
              <w:top w:val="nil"/>
              <w:left w:val="nil"/>
              <w:bottom w:val="nil"/>
              <w:right w:val="nil"/>
            </w:tcBorders>
            <w:shd w:val="clear" w:color="000000" w:fill="BFBFBF"/>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Grey Shading = Above the Class I GW Quality Standard</w:t>
            </w: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r>
      <w:tr w:rsidR="005731E9" w:rsidRPr="00113770" w:rsidTr="002975F8">
        <w:trPr>
          <w:trHeight w:val="229"/>
          <w:jc w:val="center"/>
        </w:trPr>
        <w:tc>
          <w:tcPr>
            <w:tcW w:w="3075" w:type="dxa"/>
            <w:gridSpan w:val="2"/>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r w:rsidRPr="00113770">
              <w:rPr>
                <w:rFonts w:cs="Arial"/>
                <w:color w:val="000000"/>
                <w:spacing w:val="0"/>
                <w:sz w:val="16"/>
                <w:szCs w:val="16"/>
              </w:rPr>
              <w:t>U = Undetected</w:t>
            </w:r>
          </w:p>
        </w:tc>
        <w:tc>
          <w:tcPr>
            <w:tcW w:w="909"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c>
          <w:tcPr>
            <w:tcW w:w="879" w:type="dxa"/>
            <w:tcBorders>
              <w:top w:val="nil"/>
              <w:left w:val="nil"/>
              <w:bottom w:val="nil"/>
              <w:right w:val="nil"/>
            </w:tcBorders>
          </w:tcPr>
          <w:p w:rsidR="005731E9" w:rsidRPr="00113770" w:rsidRDefault="005731E9" w:rsidP="002975F8">
            <w:pPr>
              <w:ind w:left="0"/>
              <w:rPr>
                <w:rFonts w:cs="Arial"/>
                <w:color w:val="000000"/>
                <w:spacing w:val="0"/>
                <w:sz w:val="16"/>
                <w:szCs w:val="16"/>
              </w:rPr>
            </w:pPr>
          </w:p>
        </w:tc>
        <w:tc>
          <w:tcPr>
            <w:tcW w:w="879"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c>
          <w:tcPr>
            <w:tcW w:w="848"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color w:val="000000"/>
                <w:spacing w:val="0"/>
                <w:sz w:val="16"/>
                <w:szCs w:val="16"/>
              </w:rPr>
            </w:pPr>
          </w:p>
        </w:tc>
      </w:tr>
    </w:tbl>
    <w:p w:rsidR="005731E9" w:rsidRDefault="005731E9" w:rsidP="005731E9">
      <w:pPr>
        <w:widowControl w:val="0"/>
        <w:autoSpaceDE w:val="0"/>
        <w:autoSpaceDN w:val="0"/>
        <w:adjustRightInd w:val="0"/>
        <w:spacing w:after="240" w:line="238" w:lineRule="atLeast"/>
        <w:jc w:val="both"/>
        <w:rPr>
          <w:rFonts w:cs="Arial"/>
          <w:spacing w:val="0"/>
        </w:rPr>
      </w:pP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Bedrock well</w:t>
      </w:r>
      <w:r>
        <w:rPr>
          <w:rFonts w:cs="Arial"/>
          <w:spacing w:val="0"/>
        </w:rPr>
        <w:t>s</w:t>
      </w:r>
      <w:r w:rsidRPr="00113770">
        <w:rPr>
          <w:rFonts w:cs="Arial"/>
          <w:spacing w:val="0"/>
        </w:rPr>
        <w:t xml:space="preserve"> MW6B</w:t>
      </w:r>
      <w:r>
        <w:rPr>
          <w:rFonts w:cs="Arial"/>
          <w:spacing w:val="0"/>
        </w:rPr>
        <w:t xml:space="preserve"> and MW7B produced 2</w:t>
      </w:r>
      <w:r w:rsidRPr="005D39ED">
        <w:rPr>
          <w:rFonts w:cs="Arial"/>
          <w:spacing w:val="0"/>
          <w:vertAlign w:val="superscript"/>
        </w:rPr>
        <w:t>nd</w:t>
      </w:r>
      <w:r w:rsidRPr="00113770">
        <w:rPr>
          <w:rFonts w:cs="Arial"/>
          <w:spacing w:val="0"/>
        </w:rPr>
        <w:t xml:space="preserve"> quarter total lead result</w:t>
      </w:r>
      <w:r>
        <w:rPr>
          <w:rFonts w:cs="Arial"/>
          <w:spacing w:val="0"/>
        </w:rPr>
        <w:t>s</w:t>
      </w:r>
      <w:r w:rsidRPr="00113770">
        <w:rPr>
          <w:rFonts w:cs="Arial"/>
          <w:spacing w:val="0"/>
        </w:rPr>
        <w:t xml:space="preserve"> of 0.011 mg/L</w:t>
      </w:r>
      <w:r>
        <w:rPr>
          <w:rFonts w:cs="Arial"/>
          <w:spacing w:val="0"/>
        </w:rPr>
        <w:t xml:space="preserve"> and 0.009 mg/L</w:t>
      </w:r>
      <w:r w:rsidRPr="00113770">
        <w:rPr>
          <w:rFonts w:cs="Arial"/>
          <w:spacing w:val="0"/>
        </w:rPr>
        <w:t>,</w:t>
      </w:r>
      <w:r>
        <w:rPr>
          <w:rFonts w:cs="Arial"/>
          <w:spacing w:val="0"/>
        </w:rPr>
        <w:t xml:space="preserve"> respectively. The Class I groundwater quality standard is 0.0075 mg/L. There were no lead results above the Class I groundwater quality standard in 4</w:t>
      </w:r>
      <w:r w:rsidRPr="005D39ED">
        <w:rPr>
          <w:rFonts w:cs="Arial"/>
          <w:spacing w:val="0"/>
          <w:vertAlign w:val="superscript"/>
        </w:rPr>
        <w:t>th</w:t>
      </w:r>
      <w:r>
        <w:rPr>
          <w:rFonts w:cs="Arial"/>
          <w:spacing w:val="0"/>
        </w:rPr>
        <w:t xml:space="preserve"> quarter.</w:t>
      </w: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b/>
          <w:bCs/>
          <w:spacing w:val="0"/>
        </w:rPr>
        <w:t>Meson Hill (SWMU 13)</w:t>
      </w: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Closure activities for Meson Hill were completed in 1998. This included moving concrete, grading, installing a clay cap and a layer of topsoil, hydro-seeding, and a site inspection. Fermilab continues sampling all monitoring wells installed at this unit on a semi-annual frequency</w:t>
      </w:r>
      <w:r>
        <w:rPr>
          <w:rFonts w:cs="Arial"/>
          <w:spacing w:val="0"/>
        </w:rPr>
        <w:t>, but an additional quarterly round was collected during 1</w:t>
      </w:r>
      <w:r w:rsidRPr="002568A7">
        <w:rPr>
          <w:rFonts w:cs="Arial"/>
          <w:spacing w:val="0"/>
          <w:vertAlign w:val="superscript"/>
        </w:rPr>
        <w:t>st</w:t>
      </w:r>
      <w:r>
        <w:rPr>
          <w:rFonts w:cs="Arial"/>
          <w:spacing w:val="0"/>
        </w:rPr>
        <w:t xml:space="preserve"> Quarter 2014 to support data analysis efforts to prepare an affidavit to cease groundwater monitoring at Meson Hill (SWMU 13)</w:t>
      </w:r>
      <w:r w:rsidRPr="00113770">
        <w:rPr>
          <w:rFonts w:cs="Arial"/>
          <w:spacing w:val="0"/>
        </w:rPr>
        <w:t xml:space="preserve">. Analysis of groundwater from the monitoring wells screened within the upper Quaternary deposits has </w:t>
      </w:r>
      <w:r>
        <w:rPr>
          <w:rFonts w:cs="Arial"/>
          <w:spacing w:val="0"/>
        </w:rPr>
        <w:t xml:space="preserve">previously </w:t>
      </w:r>
      <w:r w:rsidRPr="00113770">
        <w:rPr>
          <w:rFonts w:cs="Arial"/>
          <w:spacing w:val="0"/>
        </w:rPr>
        <w:t>shown elevated concentrations of total dissolved sulfate and associated total dissolved solids above the 99% confidence level an</w:t>
      </w:r>
      <w:r>
        <w:rPr>
          <w:rFonts w:cs="Arial"/>
          <w:spacing w:val="0"/>
        </w:rPr>
        <w:t>d Class II groundwater standard</w:t>
      </w:r>
      <w:r w:rsidRPr="00113770">
        <w:rPr>
          <w:rFonts w:cs="Arial"/>
          <w:spacing w:val="0"/>
        </w:rPr>
        <w:t>.</w:t>
      </w: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An Assessment Monitoring Plan was developed, reviewed and accepted by the IEPA in 2001 as a result of the continued monitoring results of elevated concentrations of total dissolved sulfates and associated total dissolved solids, and implemented and reported to the IEPA during 2002. The plan was developed to determine the source of the increase, concentrations and extent of sulfate migration, and assess any potential threat to human health and the environment. Results from the study indicated natural conditions were the source of the detected sulfate concentrations and that there was no potential threat to human health and the environment.</w:t>
      </w:r>
    </w:p>
    <w:p w:rsidR="005731E9" w:rsidRPr="00113770"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 xml:space="preserve">A directive was received from IEPA in August 2002 requiring the replacement of the background monitoring well at the RCRA unit. A post closure modification request was developed and forwarded to IEPA detailing the investigation, installation and sample process for the proposed background-monitoring well. IEPA responded in January 2003 approving the post closure modification request with conditions and modifications. The new background monitoring well was installed on May 22, 2003.  Sampling of this monitoring point began with </w:t>
      </w:r>
      <w:r w:rsidRPr="00113770">
        <w:rPr>
          <w:rFonts w:cs="Arial"/>
          <w:spacing w:val="0"/>
        </w:rPr>
        <w:lastRenderedPageBreak/>
        <w:t xml:space="preserve">the 2nd quarter 2003 semi-annual monitoring and continued through the 4th quarter 2004. New 99% confidence levels were proposed in a modification request for Fermilab’s post- closure care plan during 2005. New 99% confidence levels were received from IEPA in a directive </w:t>
      </w:r>
      <w:r>
        <w:rPr>
          <w:rFonts w:cs="Arial"/>
          <w:spacing w:val="0"/>
        </w:rPr>
        <w:t>to Fermilab during 2006. All eight</w:t>
      </w:r>
      <w:r w:rsidRPr="00113770">
        <w:rPr>
          <w:rFonts w:cs="Arial"/>
          <w:spacing w:val="0"/>
        </w:rPr>
        <w:t xml:space="preserve"> of the monitoring wells at SWMU 13 were sampled during the </w:t>
      </w:r>
      <w:r>
        <w:rPr>
          <w:rFonts w:cs="Arial"/>
          <w:spacing w:val="0"/>
        </w:rPr>
        <w:t>1</w:t>
      </w:r>
      <w:r w:rsidRPr="002568A7">
        <w:rPr>
          <w:rFonts w:cs="Arial"/>
          <w:spacing w:val="0"/>
          <w:vertAlign w:val="superscript"/>
        </w:rPr>
        <w:t>st</w:t>
      </w:r>
      <w:r>
        <w:rPr>
          <w:rFonts w:cs="Arial"/>
          <w:spacing w:val="0"/>
        </w:rPr>
        <w:t xml:space="preserve">, </w:t>
      </w:r>
      <w:r w:rsidRPr="00113770">
        <w:rPr>
          <w:rFonts w:cs="Arial"/>
          <w:spacing w:val="0"/>
        </w:rPr>
        <w:t>2</w:t>
      </w:r>
      <w:r w:rsidRPr="002568A7">
        <w:rPr>
          <w:rFonts w:cs="Arial"/>
          <w:spacing w:val="0"/>
          <w:vertAlign w:val="superscript"/>
        </w:rPr>
        <w:t>nd</w:t>
      </w:r>
      <w:r>
        <w:rPr>
          <w:rFonts w:cs="Arial"/>
          <w:spacing w:val="0"/>
        </w:rPr>
        <w:t xml:space="preserve"> </w:t>
      </w:r>
      <w:r w:rsidRPr="00113770">
        <w:rPr>
          <w:rFonts w:cs="Arial"/>
          <w:spacing w:val="0"/>
        </w:rPr>
        <w:t>and 4</w:t>
      </w:r>
      <w:r w:rsidRPr="002568A7">
        <w:rPr>
          <w:rFonts w:cs="Arial"/>
          <w:spacing w:val="0"/>
          <w:vertAlign w:val="superscript"/>
        </w:rPr>
        <w:t>th</w:t>
      </w:r>
      <w:r>
        <w:rPr>
          <w:rFonts w:cs="Arial"/>
          <w:spacing w:val="0"/>
        </w:rPr>
        <w:t xml:space="preserve"> </w:t>
      </w:r>
      <w:r w:rsidRPr="00113770">
        <w:rPr>
          <w:rFonts w:cs="Arial"/>
          <w:spacing w:val="0"/>
        </w:rPr>
        <w:t>quarters of 201</w:t>
      </w:r>
      <w:r>
        <w:rPr>
          <w:rFonts w:cs="Arial"/>
          <w:spacing w:val="0"/>
        </w:rPr>
        <w:t>4</w:t>
      </w:r>
      <w:r w:rsidRPr="00113770">
        <w:rPr>
          <w:rFonts w:cs="Arial"/>
          <w:spacing w:val="0"/>
        </w:rPr>
        <w:t>.</w:t>
      </w:r>
    </w:p>
    <w:p w:rsidR="005731E9" w:rsidRDefault="005731E9" w:rsidP="005731E9">
      <w:pPr>
        <w:widowControl w:val="0"/>
        <w:autoSpaceDE w:val="0"/>
        <w:autoSpaceDN w:val="0"/>
        <w:adjustRightInd w:val="0"/>
        <w:spacing w:after="240" w:line="238" w:lineRule="atLeast"/>
        <w:jc w:val="both"/>
        <w:rPr>
          <w:rFonts w:cs="Arial"/>
          <w:spacing w:val="0"/>
        </w:rPr>
      </w:pPr>
      <w:r w:rsidRPr="00113770">
        <w:rPr>
          <w:rFonts w:cs="Arial"/>
          <w:spacing w:val="0"/>
        </w:rPr>
        <w:t>The following table summarizes</w:t>
      </w:r>
      <w:r>
        <w:rPr>
          <w:rFonts w:cs="Arial"/>
          <w:spacing w:val="0"/>
        </w:rPr>
        <w:t xml:space="preserve"> the 2014</w:t>
      </w:r>
      <w:r w:rsidRPr="00113770">
        <w:rPr>
          <w:rFonts w:cs="Arial"/>
          <w:spacing w:val="0"/>
        </w:rPr>
        <w:t xml:space="preserve"> results at Meson Hill from wells with results above either the Class II Groundwater Quality Standards or site-specific 99% Upper Confidence Limits from the background well (G108).</w:t>
      </w:r>
    </w:p>
    <w:tbl>
      <w:tblPr>
        <w:tblW w:w="6979" w:type="dxa"/>
        <w:jc w:val="center"/>
        <w:tblLook w:val="04A0" w:firstRow="1" w:lastRow="0" w:firstColumn="1" w:lastColumn="0" w:noHBand="0" w:noVBand="1"/>
      </w:tblPr>
      <w:tblGrid>
        <w:gridCol w:w="2753"/>
        <w:gridCol w:w="897"/>
        <w:gridCol w:w="1107"/>
        <w:gridCol w:w="737"/>
        <w:gridCol w:w="806"/>
        <w:gridCol w:w="679"/>
      </w:tblGrid>
      <w:tr w:rsidR="005731E9" w:rsidRPr="00113770" w:rsidTr="002975F8">
        <w:trPr>
          <w:trHeight w:val="351"/>
          <w:jc w:val="center"/>
        </w:trPr>
        <w:tc>
          <w:tcPr>
            <w:tcW w:w="6979" w:type="dxa"/>
            <w:gridSpan w:val="6"/>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p>
        </w:tc>
      </w:tr>
      <w:tr w:rsidR="005731E9" w:rsidRPr="00113770" w:rsidTr="002975F8">
        <w:trPr>
          <w:gridAfter w:val="1"/>
          <w:wAfter w:w="679" w:type="dxa"/>
          <w:trHeight w:val="237"/>
          <w:jc w:val="center"/>
        </w:trPr>
        <w:tc>
          <w:tcPr>
            <w:tcW w:w="2753" w:type="dxa"/>
            <w:tcBorders>
              <w:top w:val="single" w:sz="8" w:space="0" w:color="auto"/>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 </w:t>
            </w:r>
          </w:p>
        </w:tc>
        <w:tc>
          <w:tcPr>
            <w:tcW w:w="2004"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Criteria</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w:t>
            </w:r>
            <w:r w:rsidRPr="00113770">
              <w:rPr>
                <w:rFonts w:cs="Arial"/>
                <w:spacing w:val="0"/>
                <w:sz w:val="16"/>
                <w:szCs w:val="16"/>
              </w:rPr>
              <w:t>Q1</w:t>
            </w:r>
            <w:r>
              <w:rPr>
                <w:rFonts w:cs="Arial"/>
                <w:spacing w:val="0"/>
                <w:sz w:val="16"/>
                <w:szCs w:val="16"/>
              </w:rPr>
              <w:t>4</w:t>
            </w:r>
          </w:p>
        </w:tc>
        <w:tc>
          <w:tcPr>
            <w:tcW w:w="806" w:type="dxa"/>
            <w:tcBorders>
              <w:top w:val="single" w:sz="8" w:space="0" w:color="auto"/>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4Q1</w:t>
            </w:r>
            <w:r>
              <w:rPr>
                <w:rFonts w:cs="Arial"/>
                <w:spacing w:val="0"/>
                <w:sz w:val="16"/>
                <w:szCs w:val="16"/>
              </w:rPr>
              <w:t>4</w:t>
            </w:r>
          </w:p>
        </w:tc>
      </w:tr>
      <w:tr w:rsidR="005731E9" w:rsidRPr="00113770" w:rsidTr="002975F8">
        <w:trPr>
          <w:gridAfter w:val="1"/>
          <w:wAfter w:w="679" w:type="dxa"/>
          <w:trHeight w:val="969"/>
          <w:jc w:val="center"/>
        </w:trPr>
        <w:tc>
          <w:tcPr>
            <w:tcW w:w="2753" w:type="dxa"/>
            <w:tcBorders>
              <w:top w:val="nil"/>
              <w:left w:val="nil"/>
              <w:bottom w:val="single" w:sz="8"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PARAMETER</w:t>
            </w:r>
          </w:p>
        </w:tc>
        <w:tc>
          <w:tcPr>
            <w:tcW w:w="897" w:type="dxa"/>
            <w:tcBorders>
              <w:top w:val="nil"/>
              <w:left w:val="single" w:sz="4" w:space="0" w:color="auto"/>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Class II GW Quality Standard</w:t>
            </w:r>
          </w:p>
        </w:tc>
        <w:tc>
          <w:tcPr>
            <w:tcW w:w="1107" w:type="dxa"/>
            <w:tcBorders>
              <w:top w:val="nil"/>
              <w:left w:val="nil"/>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99% Upper Confidence Limit</w:t>
            </w:r>
          </w:p>
        </w:tc>
        <w:tc>
          <w:tcPr>
            <w:tcW w:w="737" w:type="dxa"/>
            <w:tcBorders>
              <w:top w:val="nil"/>
              <w:left w:val="nil"/>
              <w:bottom w:val="single" w:sz="8" w:space="0" w:color="auto"/>
              <w:right w:val="single" w:sz="4" w:space="0" w:color="auto"/>
            </w:tcBorders>
            <w:shd w:val="clear" w:color="auto" w:fill="auto"/>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Well G108</w:t>
            </w:r>
          </w:p>
        </w:tc>
        <w:tc>
          <w:tcPr>
            <w:tcW w:w="806" w:type="dxa"/>
            <w:tcBorders>
              <w:top w:val="nil"/>
              <w:left w:val="nil"/>
              <w:bottom w:val="single" w:sz="8" w:space="0" w:color="auto"/>
              <w:right w:val="nil"/>
            </w:tcBorders>
            <w:shd w:val="clear" w:color="auto" w:fill="auto"/>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Well G103</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INDICATOR, Filtered (mg/L)</w:t>
            </w:r>
          </w:p>
        </w:tc>
        <w:tc>
          <w:tcPr>
            <w:tcW w:w="897" w:type="dxa"/>
            <w:tcBorders>
              <w:top w:val="nil"/>
              <w:left w:val="single" w:sz="4" w:space="0" w:color="auto"/>
              <w:bottom w:val="single" w:sz="4" w:space="0" w:color="auto"/>
              <w:right w:val="single" w:sz="4" w:space="0" w:color="auto"/>
            </w:tcBorders>
            <w:shd w:val="clear" w:color="auto" w:fill="auto"/>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c>
          <w:tcPr>
            <w:tcW w:w="1107" w:type="dxa"/>
            <w:tcBorders>
              <w:top w:val="nil"/>
              <w:left w:val="nil"/>
              <w:bottom w:val="single" w:sz="4" w:space="0" w:color="auto"/>
              <w:right w:val="single" w:sz="4" w:space="0" w:color="auto"/>
            </w:tcBorders>
            <w:shd w:val="clear" w:color="auto" w:fill="auto"/>
            <w:vAlign w:val="bottom"/>
            <w:hideMark/>
          </w:tcPr>
          <w:p w:rsidR="005731E9" w:rsidRPr="00113770" w:rsidRDefault="005731E9" w:rsidP="002975F8">
            <w:pPr>
              <w:ind w:left="0"/>
              <w:jc w:val="center"/>
              <w:rPr>
                <w:rFonts w:cs="Arial"/>
                <w:b/>
                <w:bCs/>
                <w:spacing w:val="0"/>
                <w:sz w:val="16"/>
                <w:szCs w:val="16"/>
              </w:rPr>
            </w:pPr>
            <w:r w:rsidRPr="00113770">
              <w:rPr>
                <w:rFonts w:cs="Arial"/>
                <w:b/>
                <w:bCs/>
                <w:spacing w:val="0"/>
                <w:sz w:val="16"/>
                <w:szCs w:val="16"/>
              </w:rPr>
              <w:t> </w:t>
            </w:r>
          </w:p>
        </w:tc>
        <w:tc>
          <w:tcPr>
            <w:tcW w:w="737" w:type="dxa"/>
            <w:tcBorders>
              <w:top w:val="nil"/>
              <w:left w:val="nil"/>
              <w:bottom w:val="single" w:sz="4" w:space="0" w:color="auto"/>
              <w:right w:val="single" w:sz="4" w:space="0" w:color="auto"/>
            </w:tcBorders>
            <w:shd w:val="clear" w:color="auto" w:fill="auto"/>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c>
          <w:tcPr>
            <w:tcW w:w="806" w:type="dxa"/>
            <w:tcBorders>
              <w:top w:val="nil"/>
              <w:left w:val="nil"/>
              <w:bottom w:val="single" w:sz="4" w:space="0" w:color="auto"/>
              <w:right w:val="nil"/>
            </w:tcBorders>
            <w:shd w:val="clear" w:color="auto" w:fill="auto"/>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Ammonia (as N),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0.19</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r>
              <w:rPr>
                <w:rFonts w:cs="Arial"/>
                <w:spacing w:val="0"/>
                <w:sz w:val="16"/>
                <w:szCs w:val="16"/>
              </w:rPr>
              <w:t xml:space="preserve"> (P)</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Arsenic,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0.2</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0.01</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Cadmium,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0.05</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0.004</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Chloride,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200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477</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20</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149 (H)</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Iron,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5.0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0.83</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Lead,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0.1</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0.01</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B11FD4" w:rsidRDefault="005731E9" w:rsidP="002975F8">
            <w:pPr>
              <w:ind w:left="0"/>
              <w:jc w:val="center"/>
              <w:rPr>
                <w:rFonts w:cs="Arial"/>
                <w:bCs/>
                <w:spacing w:val="0"/>
                <w:sz w:val="16"/>
                <w:szCs w:val="16"/>
              </w:rPr>
            </w:pPr>
            <w:r w:rsidRPr="00B11FD4">
              <w:rPr>
                <w:rFonts w:cs="Arial"/>
                <w:bCs/>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Manganese,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10.0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0.198</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0.028</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Mercury,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0.01</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0.0004</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Sulfate, Dissolved</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400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468</w:t>
            </w:r>
          </w:p>
        </w:tc>
        <w:tc>
          <w:tcPr>
            <w:tcW w:w="737" w:type="dxa"/>
            <w:tcBorders>
              <w:top w:val="single" w:sz="4" w:space="0" w:color="auto"/>
              <w:left w:val="nil"/>
              <w:bottom w:val="single" w:sz="4" w:space="0" w:color="auto"/>
              <w:right w:val="single" w:sz="4" w:space="0" w:color="auto"/>
            </w:tcBorders>
            <w:shd w:val="clear" w:color="000000"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130</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64</w:t>
            </w:r>
          </w:p>
        </w:tc>
      </w:tr>
      <w:tr w:rsidR="005731E9" w:rsidRPr="00113770" w:rsidTr="002975F8">
        <w:trPr>
          <w:gridAfter w:val="1"/>
          <w:wAfter w:w="679" w:type="dxa"/>
          <w:trHeight w:val="237"/>
          <w:jc w:val="center"/>
        </w:trPr>
        <w:tc>
          <w:tcPr>
            <w:tcW w:w="2753"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Total Dissolved Solids (TDS)</w:t>
            </w:r>
          </w:p>
        </w:tc>
        <w:tc>
          <w:tcPr>
            <w:tcW w:w="897" w:type="dxa"/>
            <w:tcBorders>
              <w:top w:val="nil"/>
              <w:left w:val="single" w:sz="4" w:space="0" w:color="auto"/>
              <w:bottom w:val="nil"/>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1200</w:t>
            </w:r>
          </w:p>
        </w:tc>
        <w:tc>
          <w:tcPr>
            <w:tcW w:w="1107" w:type="dxa"/>
            <w:tcBorders>
              <w:top w:val="nil"/>
              <w:left w:val="nil"/>
              <w:bottom w:val="nil"/>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1715</w:t>
            </w:r>
          </w:p>
        </w:tc>
        <w:tc>
          <w:tcPr>
            <w:tcW w:w="737" w:type="dxa"/>
            <w:tcBorders>
              <w:top w:val="nil"/>
              <w:left w:val="nil"/>
              <w:bottom w:val="nil"/>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582</w:t>
            </w:r>
          </w:p>
        </w:tc>
        <w:tc>
          <w:tcPr>
            <w:tcW w:w="806" w:type="dxa"/>
            <w:tcBorders>
              <w:top w:val="nil"/>
              <w:left w:val="nil"/>
              <w:bottom w:val="nil"/>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690</w:t>
            </w:r>
          </w:p>
        </w:tc>
      </w:tr>
      <w:tr w:rsidR="005731E9" w:rsidRPr="00113770" w:rsidTr="002975F8">
        <w:trPr>
          <w:gridAfter w:val="1"/>
          <w:wAfter w:w="679" w:type="dxa"/>
          <w:trHeight w:val="237"/>
          <w:jc w:val="center"/>
        </w:trPr>
        <w:tc>
          <w:tcPr>
            <w:tcW w:w="2753" w:type="dxa"/>
            <w:tcBorders>
              <w:top w:val="single" w:sz="4" w:space="0" w:color="auto"/>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INDICATOR, Unfiltered (mg/L)</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c>
          <w:tcPr>
            <w:tcW w:w="806" w:type="dxa"/>
            <w:tcBorders>
              <w:top w:val="single" w:sz="4" w:space="0" w:color="auto"/>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 </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Cyanide, Total</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0.6</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0.20</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Phenols, Total Recoverable</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0.1</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0.023</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Total Organic Carbon (TOC)</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5.7</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1.8</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1.5 (H)</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Total Organic Halogens (TOX)</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0.075</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r>
              <w:rPr>
                <w:rFonts w:cs="Arial"/>
                <w:spacing w:val="0"/>
                <w:sz w:val="16"/>
                <w:szCs w:val="16"/>
              </w:rPr>
              <w:t xml:space="preserve"> (S)</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r>
              <w:rPr>
                <w:rFonts w:cs="Arial"/>
                <w:spacing w:val="0"/>
                <w:sz w:val="16"/>
                <w:szCs w:val="16"/>
              </w:rPr>
              <w:t xml:space="preserve"> (S)</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INORGANIC, Unfiltered (mg/L)</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 </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 </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 </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 </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000000" w:fill="FFFFFF"/>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Chromium, Total</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1.0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0.006</w:t>
            </w:r>
          </w:p>
        </w:tc>
        <w:tc>
          <w:tcPr>
            <w:tcW w:w="806" w:type="dxa"/>
            <w:tcBorders>
              <w:top w:val="single" w:sz="4" w:space="0" w:color="auto"/>
              <w:left w:val="nil"/>
              <w:bottom w:val="single" w:sz="4" w:space="0" w:color="auto"/>
              <w:right w:val="nil"/>
            </w:tcBorders>
            <w:shd w:val="clear" w:color="000000" w:fill="BFBFBF" w:themeFill="background1" w:themeFillShade="BF"/>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1.91</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000000" w:fill="FFFFFF"/>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Iron, Total</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5.0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73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7.15</w:t>
            </w:r>
          </w:p>
        </w:tc>
        <w:tc>
          <w:tcPr>
            <w:tcW w:w="806" w:type="dxa"/>
            <w:tcBorders>
              <w:top w:val="nil"/>
              <w:left w:val="nil"/>
              <w:bottom w:val="single" w:sz="4" w:space="0" w:color="auto"/>
              <w:right w:val="nil"/>
            </w:tcBorders>
            <w:shd w:val="clear" w:color="000000" w:fill="FFFFFF"/>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0.12</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000000" w:fill="FFFFFF"/>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Lead, Total</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0.1</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U</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U</w:t>
            </w:r>
          </w:p>
        </w:tc>
      </w:tr>
      <w:tr w:rsidR="005731E9" w:rsidRPr="00113770" w:rsidTr="002975F8">
        <w:trPr>
          <w:gridAfter w:val="1"/>
          <w:wAfter w:w="679" w:type="dxa"/>
          <w:trHeight w:val="237"/>
          <w:jc w:val="center"/>
        </w:trPr>
        <w:tc>
          <w:tcPr>
            <w:tcW w:w="2753"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Sulfate, Total</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400</w:t>
            </w:r>
          </w:p>
        </w:tc>
        <w:tc>
          <w:tcPr>
            <w:tcW w:w="110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N/A</w:t>
            </w:r>
          </w:p>
        </w:tc>
        <w:tc>
          <w:tcPr>
            <w:tcW w:w="737" w:type="dxa"/>
            <w:tcBorders>
              <w:top w:val="nil"/>
              <w:left w:val="nil"/>
              <w:bottom w:val="single" w:sz="4" w:space="0" w:color="auto"/>
              <w:right w:val="single" w:sz="4" w:space="0" w:color="auto"/>
            </w:tcBorders>
            <w:shd w:val="clear" w:color="auto" w:fill="auto"/>
            <w:noWrap/>
            <w:vAlign w:val="bottom"/>
            <w:hideMark/>
          </w:tcPr>
          <w:p w:rsidR="005731E9" w:rsidRPr="00113770" w:rsidRDefault="005731E9" w:rsidP="002975F8">
            <w:pPr>
              <w:ind w:left="0"/>
              <w:jc w:val="center"/>
              <w:rPr>
                <w:rFonts w:cs="Arial"/>
                <w:spacing w:val="0"/>
                <w:sz w:val="16"/>
                <w:szCs w:val="16"/>
              </w:rPr>
            </w:pPr>
            <w:r>
              <w:rPr>
                <w:rFonts w:cs="Arial"/>
                <w:spacing w:val="0"/>
                <w:sz w:val="16"/>
                <w:szCs w:val="16"/>
              </w:rPr>
              <w:t>123</w:t>
            </w:r>
          </w:p>
        </w:tc>
        <w:tc>
          <w:tcPr>
            <w:tcW w:w="806" w:type="dxa"/>
            <w:tcBorders>
              <w:top w:val="nil"/>
              <w:left w:val="nil"/>
              <w:bottom w:val="single" w:sz="4" w:space="0" w:color="auto"/>
              <w:right w:val="nil"/>
            </w:tcBorders>
            <w:shd w:val="clear" w:color="auto" w:fill="auto"/>
            <w:noWrap/>
            <w:vAlign w:val="bottom"/>
            <w:hideMark/>
          </w:tcPr>
          <w:p w:rsidR="005731E9" w:rsidRPr="00113770" w:rsidRDefault="005731E9" w:rsidP="002975F8">
            <w:pPr>
              <w:ind w:left="0"/>
              <w:jc w:val="center"/>
              <w:rPr>
                <w:rFonts w:cs="Arial"/>
                <w:spacing w:val="0"/>
                <w:sz w:val="16"/>
                <w:szCs w:val="16"/>
              </w:rPr>
            </w:pPr>
            <w:r w:rsidRPr="00113770">
              <w:rPr>
                <w:rFonts w:cs="Arial"/>
                <w:spacing w:val="0"/>
                <w:sz w:val="16"/>
                <w:szCs w:val="16"/>
              </w:rPr>
              <w:t>59</w:t>
            </w:r>
          </w:p>
        </w:tc>
      </w:tr>
      <w:tr w:rsidR="005731E9" w:rsidRPr="00113770" w:rsidTr="002975F8">
        <w:trPr>
          <w:gridAfter w:val="1"/>
          <w:wAfter w:w="679" w:type="dxa"/>
          <w:trHeight w:val="237"/>
          <w:jc w:val="center"/>
        </w:trPr>
        <w:tc>
          <w:tcPr>
            <w:tcW w:w="2753"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89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110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73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806"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r>
      <w:tr w:rsidR="005731E9" w:rsidRPr="00113770" w:rsidTr="002975F8">
        <w:trPr>
          <w:gridAfter w:val="1"/>
          <w:wAfter w:w="679" w:type="dxa"/>
          <w:trHeight w:val="237"/>
          <w:jc w:val="center"/>
        </w:trPr>
        <w:tc>
          <w:tcPr>
            <w:tcW w:w="6300" w:type="dxa"/>
            <w:gridSpan w:val="5"/>
            <w:tcBorders>
              <w:top w:val="nil"/>
              <w:left w:val="nil"/>
              <w:bottom w:val="nil"/>
              <w:right w:val="nil"/>
            </w:tcBorders>
            <w:shd w:val="clear" w:color="auto" w:fill="auto"/>
            <w:noWrap/>
            <w:vAlign w:val="bottom"/>
            <w:hideMark/>
          </w:tcPr>
          <w:p w:rsidR="005731E9" w:rsidRPr="00113770" w:rsidRDefault="005731E9" w:rsidP="002975F8">
            <w:pPr>
              <w:ind w:left="0"/>
              <w:rPr>
                <w:rFonts w:cs="Arial"/>
                <w:b/>
                <w:bCs/>
                <w:spacing w:val="0"/>
                <w:sz w:val="16"/>
                <w:szCs w:val="16"/>
              </w:rPr>
            </w:pPr>
            <w:r w:rsidRPr="00113770">
              <w:rPr>
                <w:rFonts w:cs="Arial"/>
                <w:b/>
                <w:bCs/>
                <w:spacing w:val="0"/>
                <w:sz w:val="16"/>
                <w:szCs w:val="16"/>
              </w:rPr>
              <w:t>Bold = Outside the 99% Upper Confidence Limit of Background Levels</w:t>
            </w:r>
          </w:p>
        </w:tc>
      </w:tr>
      <w:tr w:rsidR="005731E9" w:rsidRPr="00113770" w:rsidTr="002975F8">
        <w:trPr>
          <w:gridAfter w:val="1"/>
          <w:wAfter w:w="679" w:type="dxa"/>
          <w:trHeight w:val="237"/>
          <w:jc w:val="center"/>
        </w:trPr>
        <w:tc>
          <w:tcPr>
            <w:tcW w:w="4757" w:type="dxa"/>
            <w:gridSpan w:val="3"/>
            <w:tcBorders>
              <w:top w:val="nil"/>
              <w:left w:val="nil"/>
              <w:bottom w:val="nil"/>
              <w:right w:val="nil"/>
            </w:tcBorders>
            <w:shd w:val="clear" w:color="000000" w:fill="C0C0C0"/>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Grey Shading = Above the Class II GW Quality Standard</w:t>
            </w:r>
          </w:p>
        </w:tc>
        <w:tc>
          <w:tcPr>
            <w:tcW w:w="737" w:type="dxa"/>
            <w:tcBorders>
              <w:top w:val="nil"/>
              <w:left w:val="nil"/>
              <w:bottom w:val="nil"/>
              <w:right w:val="nil"/>
            </w:tcBorders>
            <w:shd w:val="clear" w:color="000000" w:fill="BFBFBF"/>
            <w:noWrap/>
            <w:vAlign w:val="bottom"/>
            <w:hideMark/>
          </w:tcPr>
          <w:p w:rsidR="005731E9" w:rsidRPr="00113770" w:rsidRDefault="005731E9" w:rsidP="002975F8">
            <w:pPr>
              <w:ind w:left="0"/>
              <w:rPr>
                <w:rFonts w:cs="Arial"/>
                <w:spacing w:val="0"/>
                <w:sz w:val="16"/>
                <w:szCs w:val="16"/>
              </w:rPr>
            </w:pPr>
            <w:r w:rsidRPr="00113770">
              <w:rPr>
                <w:rFonts w:cs="Arial"/>
                <w:spacing w:val="0"/>
                <w:sz w:val="16"/>
                <w:szCs w:val="16"/>
              </w:rPr>
              <w:t> </w:t>
            </w:r>
          </w:p>
        </w:tc>
        <w:tc>
          <w:tcPr>
            <w:tcW w:w="806"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r>
      <w:tr w:rsidR="005731E9" w:rsidRPr="00113770" w:rsidTr="002975F8">
        <w:trPr>
          <w:gridAfter w:val="1"/>
          <w:wAfter w:w="679" w:type="dxa"/>
          <w:trHeight w:val="237"/>
          <w:jc w:val="center"/>
        </w:trPr>
        <w:tc>
          <w:tcPr>
            <w:tcW w:w="2753" w:type="dxa"/>
            <w:tcBorders>
              <w:top w:val="nil"/>
              <w:left w:val="nil"/>
              <w:bottom w:val="nil"/>
              <w:right w:val="nil"/>
            </w:tcBorders>
            <w:shd w:val="clear" w:color="auto" w:fill="auto"/>
            <w:noWrap/>
            <w:vAlign w:val="bottom"/>
            <w:hideMark/>
          </w:tcPr>
          <w:p w:rsidR="005731E9" w:rsidRDefault="005731E9" w:rsidP="002975F8">
            <w:pPr>
              <w:ind w:left="0"/>
              <w:rPr>
                <w:rFonts w:cs="Arial"/>
                <w:spacing w:val="0"/>
                <w:sz w:val="16"/>
                <w:szCs w:val="16"/>
              </w:rPr>
            </w:pPr>
            <w:r w:rsidRPr="00113770">
              <w:rPr>
                <w:rFonts w:cs="Arial"/>
                <w:spacing w:val="0"/>
                <w:sz w:val="16"/>
                <w:szCs w:val="16"/>
              </w:rPr>
              <w:t>U = Undetected</w:t>
            </w:r>
          </w:p>
          <w:p w:rsidR="005731E9" w:rsidRPr="00113770" w:rsidRDefault="005731E9" w:rsidP="002975F8">
            <w:pPr>
              <w:ind w:left="0"/>
              <w:rPr>
                <w:rFonts w:cs="Arial"/>
                <w:spacing w:val="0"/>
                <w:sz w:val="16"/>
                <w:szCs w:val="16"/>
              </w:rPr>
            </w:pPr>
            <w:r>
              <w:rPr>
                <w:rFonts w:cs="Arial"/>
                <w:spacing w:val="0"/>
                <w:sz w:val="16"/>
                <w:szCs w:val="16"/>
              </w:rPr>
              <w:t xml:space="preserve">S = </w:t>
            </w:r>
            <w:proofErr w:type="spellStart"/>
            <w:r>
              <w:rPr>
                <w:rFonts w:cs="Arial"/>
                <w:spacing w:val="0"/>
                <w:sz w:val="16"/>
                <w:szCs w:val="16"/>
              </w:rPr>
              <w:t>Analyte</w:t>
            </w:r>
            <w:proofErr w:type="spellEnd"/>
            <w:r>
              <w:rPr>
                <w:rFonts w:cs="Arial"/>
                <w:spacing w:val="0"/>
                <w:sz w:val="16"/>
                <w:szCs w:val="16"/>
              </w:rPr>
              <w:t xml:space="preserve"> was subcontracted to another laboratory for analysis</w:t>
            </w:r>
          </w:p>
        </w:tc>
        <w:tc>
          <w:tcPr>
            <w:tcW w:w="89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110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73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806"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r>
      <w:tr w:rsidR="005731E9" w:rsidRPr="00113770" w:rsidTr="002975F8">
        <w:trPr>
          <w:gridAfter w:val="1"/>
          <w:wAfter w:w="679" w:type="dxa"/>
          <w:trHeight w:val="237"/>
          <w:jc w:val="center"/>
        </w:trPr>
        <w:tc>
          <w:tcPr>
            <w:tcW w:w="2753"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r>
              <w:rPr>
                <w:rFonts w:cs="Arial"/>
                <w:spacing w:val="0"/>
                <w:sz w:val="16"/>
                <w:szCs w:val="16"/>
              </w:rPr>
              <w:t>P = Preservation adjusted in lab</w:t>
            </w:r>
          </w:p>
        </w:tc>
        <w:tc>
          <w:tcPr>
            <w:tcW w:w="89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110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73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806"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r>
      <w:tr w:rsidR="005731E9" w:rsidRPr="00113770" w:rsidTr="002975F8">
        <w:trPr>
          <w:gridAfter w:val="1"/>
          <w:wAfter w:w="679" w:type="dxa"/>
          <w:trHeight w:val="237"/>
          <w:jc w:val="center"/>
        </w:trPr>
        <w:tc>
          <w:tcPr>
            <w:tcW w:w="2753"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r>
              <w:rPr>
                <w:rFonts w:cs="Arial"/>
                <w:spacing w:val="0"/>
                <w:sz w:val="16"/>
                <w:szCs w:val="16"/>
              </w:rPr>
              <w:t>H = Holding time exceeded</w:t>
            </w:r>
          </w:p>
        </w:tc>
        <w:tc>
          <w:tcPr>
            <w:tcW w:w="89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110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737"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c>
          <w:tcPr>
            <w:tcW w:w="806" w:type="dxa"/>
            <w:tcBorders>
              <w:top w:val="nil"/>
              <w:left w:val="nil"/>
              <w:bottom w:val="nil"/>
              <w:right w:val="nil"/>
            </w:tcBorders>
            <w:shd w:val="clear" w:color="auto" w:fill="auto"/>
            <w:noWrap/>
            <w:vAlign w:val="bottom"/>
            <w:hideMark/>
          </w:tcPr>
          <w:p w:rsidR="005731E9" w:rsidRPr="00113770" w:rsidRDefault="005731E9" w:rsidP="002975F8">
            <w:pPr>
              <w:ind w:left="0"/>
              <w:rPr>
                <w:rFonts w:cs="Arial"/>
                <w:spacing w:val="0"/>
                <w:sz w:val="16"/>
                <w:szCs w:val="16"/>
              </w:rPr>
            </w:pPr>
          </w:p>
        </w:tc>
      </w:tr>
    </w:tbl>
    <w:p w:rsidR="005731E9" w:rsidRPr="00113770" w:rsidRDefault="005731E9" w:rsidP="005731E9">
      <w:pPr>
        <w:widowControl w:val="0"/>
        <w:autoSpaceDE w:val="0"/>
        <w:autoSpaceDN w:val="0"/>
        <w:adjustRightInd w:val="0"/>
        <w:spacing w:after="240" w:line="238" w:lineRule="atLeast"/>
        <w:jc w:val="both"/>
        <w:rPr>
          <w:rFonts w:cs="Arial"/>
          <w:spacing w:val="0"/>
        </w:rPr>
      </w:pPr>
    </w:p>
    <w:p w:rsidR="00113770" w:rsidRPr="00BD45EB" w:rsidRDefault="005731E9" w:rsidP="005731E9">
      <w:pPr>
        <w:widowControl w:val="0"/>
        <w:autoSpaceDE w:val="0"/>
        <w:autoSpaceDN w:val="0"/>
        <w:adjustRightInd w:val="0"/>
        <w:spacing w:after="240" w:line="238" w:lineRule="atLeast"/>
        <w:jc w:val="both"/>
      </w:pPr>
      <w:r w:rsidRPr="00113770">
        <w:rPr>
          <w:rFonts w:cs="Arial"/>
          <w:spacing w:val="0"/>
        </w:rPr>
        <w:t xml:space="preserve">The elevated concentration of </w:t>
      </w:r>
      <w:r>
        <w:rPr>
          <w:rFonts w:cs="Arial"/>
          <w:spacing w:val="0"/>
        </w:rPr>
        <w:t>total iron</w:t>
      </w:r>
      <w:r w:rsidRPr="00113770">
        <w:rPr>
          <w:rFonts w:cs="Arial"/>
          <w:spacing w:val="0"/>
        </w:rPr>
        <w:t xml:space="preserve"> during the </w:t>
      </w:r>
      <w:r>
        <w:rPr>
          <w:rFonts w:cs="Arial"/>
          <w:spacing w:val="0"/>
        </w:rPr>
        <w:t>1</w:t>
      </w:r>
      <w:r w:rsidRPr="00490075">
        <w:rPr>
          <w:rFonts w:cs="Arial"/>
          <w:spacing w:val="0"/>
          <w:vertAlign w:val="superscript"/>
        </w:rPr>
        <w:t>st</w:t>
      </w:r>
      <w:r>
        <w:rPr>
          <w:rFonts w:cs="Arial"/>
          <w:spacing w:val="0"/>
        </w:rPr>
        <w:t xml:space="preserve"> </w:t>
      </w:r>
      <w:r w:rsidRPr="00113770">
        <w:rPr>
          <w:rFonts w:cs="Arial"/>
          <w:spacing w:val="0"/>
        </w:rPr>
        <w:t xml:space="preserve">quarter is attributed to </w:t>
      </w:r>
      <w:r>
        <w:rPr>
          <w:rFonts w:cs="Arial"/>
          <w:spacing w:val="0"/>
        </w:rPr>
        <w:t>background condition</w:t>
      </w:r>
      <w:r w:rsidRPr="00113770">
        <w:rPr>
          <w:rFonts w:cs="Arial"/>
          <w:spacing w:val="0"/>
        </w:rPr>
        <w:t xml:space="preserve">s. The elevated concentration of </w:t>
      </w:r>
      <w:r>
        <w:rPr>
          <w:rFonts w:cs="Arial"/>
          <w:spacing w:val="0"/>
        </w:rPr>
        <w:t>total chromium</w:t>
      </w:r>
      <w:r w:rsidRPr="00113770">
        <w:rPr>
          <w:rFonts w:cs="Arial"/>
          <w:spacing w:val="0"/>
        </w:rPr>
        <w:t xml:space="preserve"> during the 4</w:t>
      </w:r>
      <w:r w:rsidRPr="00113770">
        <w:rPr>
          <w:rFonts w:cs="Arial"/>
          <w:spacing w:val="0"/>
          <w:vertAlign w:val="superscript"/>
        </w:rPr>
        <w:t>th</w:t>
      </w:r>
      <w:r w:rsidRPr="00113770">
        <w:rPr>
          <w:rFonts w:cs="Arial"/>
          <w:spacing w:val="0"/>
        </w:rPr>
        <w:t xml:space="preserve"> quarter is attributed to </w:t>
      </w:r>
      <w:r>
        <w:rPr>
          <w:rFonts w:cs="Arial"/>
          <w:spacing w:val="0"/>
        </w:rPr>
        <w:t>the inclusion in the sample of sediments that have precipitated and settled at the bottom of the well</w:t>
      </w:r>
      <w:r w:rsidRPr="00113770">
        <w:rPr>
          <w:rFonts w:cs="Arial"/>
          <w:spacing w:val="0"/>
        </w:rPr>
        <w:t>.</w:t>
      </w:r>
      <w:r>
        <w:rPr>
          <w:rFonts w:cs="Arial"/>
          <w:spacing w:val="0"/>
        </w:rPr>
        <w:t xml:space="preserve"> These results are typical of conditions since 2010 showing that Meson Hill has not impacted groundwater, which was the basis for the November 2014 submission to Illinois EPA of the Affidavit for Certification of Post-Closure Care for Non-Hazardous Waste Facilities.</w:t>
      </w:r>
    </w:p>
    <w:p w:rsidR="00E40625" w:rsidRPr="0029394F" w:rsidRDefault="000368D1" w:rsidP="006F195B">
      <w:pPr>
        <w:pStyle w:val="Heading2"/>
        <w:jc w:val="both"/>
      </w:pPr>
      <w:bookmarkStart w:id="52" w:name="_Toc426529671"/>
      <w:r w:rsidRPr="0029394F">
        <w:lastRenderedPageBreak/>
        <w:t>7</w:t>
      </w:r>
      <w:r w:rsidR="00E40625" w:rsidRPr="0029394F">
        <w:t>.1</w:t>
      </w:r>
      <w:r w:rsidR="008B4C16" w:rsidRPr="0029394F">
        <w:t>4</w:t>
      </w:r>
      <w:r w:rsidR="00E40625" w:rsidRPr="0029394F">
        <w:t xml:space="preserve"> Safe Drinking Water Act</w:t>
      </w:r>
      <w:bookmarkEnd w:id="52"/>
    </w:p>
    <w:p w:rsidR="002B548F" w:rsidRPr="00AB1179" w:rsidRDefault="0025688A" w:rsidP="006F195B">
      <w:pPr>
        <w:autoSpaceDE w:val="0"/>
        <w:autoSpaceDN w:val="0"/>
        <w:adjustRightInd w:val="0"/>
        <w:spacing w:after="240"/>
        <w:ind w:left="0"/>
        <w:jc w:val="both"/>
      </w:pPr>
      <w:r w:rsidRPr="0025688A">
        <w:rPr>
          <w:rFonts w:cs="Arial"/>
        </w:rPr>
        <w:t xml:space="preserve">Fermilab’s domestic water is purchased from the City of Warrenville. In addition, Fermilab retains four private wells at three sites (Site 29 [two wells], Site 53 [Buffalo Barn], and Site 56 [Horse Barn]). Private </w:t>
      </w:r>
      <w:proofErr w:type="gramStart"/>
      <w:r w:rsidRPr="0025688A">
        <w:rPr>
          <w:rFonts w:cs="Arial"/>
        </w:rPr>
        <w:t>wells</w:t>
      </w:r>
      <w:proofErr w:type="gramEnd"/>
      <w:r w:rsidRPr="0025688A">
        <w:rPr>
          <w:rFonts w:cs="Arial"/>
        </w:rPr>
        <w:t xml:space="preserve"> do not require any water treatment or sampling.  Estimates of water withdrawn from these wells are reported annually to the Illinois State Water Survey</w:t>
      </w:r>
      <w:r>
        <w:rPr>
          <w:rFonts w:cs="Arial"/>
        </w:rPr>
        <w:t>.</w:t>
      </w:r>
    </w:p>
    <w:p w:rsidR="00E40625" w:rsidRPr="0029394F" w:rsidRDefault="000368D1" w:rsidP="006F195B">
      <w:pPr>
        <w:pStyle w:val="Heading2"/>
        <w:jc w:val="both"/>
      </w:pPr>
      <w:bookmarkStart w:id="53" w:name="_Toc426529672"/>
      <w:r w:rsidRPr="0029394F">
        <w:t>7</w:t>
      </w:r>
      <w:r w:rsidR="00E40625" w:rsidRPr="0029394F">
        <w:t>.1</w:t>
      </w:r>
      <w:r w:rsidR="008B4C16" w:rsidRPr="0029394F">
        <w:t>5</w:t>
      </w:r>
      <w:r w:rsidR="00E40625" w:rsidRPr="0029394F">
        <w:t xml:space="preserve"> S</w:t>
      </w:r>
      <w:r w:rsidR="00CB38A2" w:rsidRPr="0029394F">
        <w:t>uperfund Amendments and Reauthorization Act (SARA)</w:t>
      </w:r>
      <w:r w:rsidR="00E40625" w:rsidRPr="0029394F">
        <w:t xml:space="preserve"> TITLE III or Emergency Planning and Community Right-To-Know Act of 1986 (EPCRA)</w:t>
      </w:r>
      <w:bookmarkEnd w:id="53"/>
    </w:p>
    <w:p w:rsidR="005D1DA8" w:rsidRPr="005D1DA8" w:rsidRDefault="005D1DA8" w:rsidP="005D1DA8">
      <w:pPr>
        <w:pStyle w:val="BodyText"/>
        <w:ind w:left="0"/>
        <w:rPr>
          <w:rFonts w:eastAsia="Calibri" w:cs="Arial"/>
        </w:rPr>
      </w:pPr>
      <w:r w:rsidRPr="005D1DA8">
        <w:rPr>
          <w:rFonts w:eastAsia="Calibri" w:cs="Arial"/>
        </w:rPr>
        <w:t xml:space="preserve">Under these regulations Fermilab is required to provide the </w:t>
      </w:r>
      <w:r>
        <w:rPr>
          <w:rFonts w:eastAsia="Calibri" w:cs="Arial"/>
        </w:rPr>
        <w:t>US</w:t>
      </w:r>
      <w:r w:rsidRPr="005D1DA8">
        <w:rPr>
          <w:rFonts w:eastAsia="Calibri" w:cs="Arial"/>
        </w:rPr>
        <w:t>EPA, State, and local officials with an annual accounting of hazardous, toxic, and extremely hazardous chemicals used or stored onsite in quantities greater than their respective reporting thresholds as defined in SARA Title III Section 313. Fermilab</w:t>
      </w:r>
      <w:r w:rsidR="00555B90">
        <w:rPr>
          <w:rFonts w:eastAsia="Calibri" w:cs="Arial"/>
        </w:rPr>
        <w:t xml:space="preserve"> had no chemicals that exceeded the reporting threshold in calendar year 2014.</w:t>
      </w:r>
    </w:p>
    <w:p w:rsidR="001E6B52" w:rsidRPr="000E0E57" w:rsidRDefault="005D1DA8" w:rsidP="005D1DA8">
      <w:pPr>
        <w:pStyle w:val="BodyText"/>
        <w:ind w:left="0"/>
      </w:pPr>
      <w:r>
        <w:t>As required by Section 312 of SARA Title III, Fermilab</w:t>
      </w:r>
      <w:r w:rsidR="00555B90">
        <w:t xml:space="preserve"> will</w:t>
      </w:r>
      <w:r>
        <w:t xml:space="preserve"> submit a Tier II Emergency and Hazardous Chemical Inventory (201</w:t>
      </w:r>
      <w:r w:rsidR="00555B90">
        <w:t>4</w:t>
      </w:r>
      <w:r>
        <w:t xml:space="preserve">) to state </w:t>
      </w:r>
      <w:r w:rsidRPr="0029394F">
        <w:t xml:space="preserve">and local emergency </w:t>
      </w:r>
      <w:r>
        <w:t>services and disaster agencies in February 201</w:t>
      </w:r>
      <w:r w:rsidR="00555B90">
        <w:t>5</w:t>
      </w:r>
      <w:r>
        <w:t>.</w:t>
      </w:r>
    </w:p>
    <w:p w:rsidR="003273B2" w:rsidRPr="0029394F" w:rsidRDefault="000368D1" w:rsidP="006F195B">
      <w:pPr>
        <w:pStyle w:val="Heading2"/>
        <w:jc w:val="both"/>
      </w:pPr>
      <w:bookmarkStart w:id="54" w:name="_Toc426529673"/>
      <w:r w:rsidRPr="0029394F">
        <w:t>7</w:t>
      </w:r>
      <w:r w:rsidR="00E40625" w:rsidRPr="0029394F">
        <w:t>.1</w:t>
      </w:r>
      <w:r w:rsidR="008B4C16" w:rsidRPr="0029394F">
        <w:t>6</w:t>
      </w:r>
      <w:r w:rsidR="00E40625" w:rsidRPr="0029394F">
        <w:t xml:space="preserve"> Oil Spill Prevention</w:t>
      </w:r>
      <w:bookmarkEnd w:id="54"/>
    </w:p>
    <w:p w:rsidR="00BB259D" w:rsidRPr="00BB259D" w:rsidRDefault="00BB259D" w:rsidP="00BB259D">
      <w:pPr>
        <w:ind w:left="0"/>
        <w:jc w:val="both"/>
      </w:pPr>
      <w:r w:rsidRPr="00BB259D">
        <w:t>Fermilab’s Spill Prevention Control and Countermeasures (SPCC) Plan is in compliance with 40 CFR 112 – Oil Pollution Prevention.  This US EPA-enforced regulation states that any facility that has the capacity to use or store more than 1,320 gallons of oil (petroleum, plant or animal oils and fats) must write and implement a SPCC Plan that encompasses every oil source with the capacity</w:t>
      </w:r>
      <w:r>
        <w:t xml:space="preserve"> of 55 gallons or more.  A Fermilab ES&amp;H Manual (FESHM)</w:t>
      </w:r>
      <w:r w:rsidRPr="00BB259D">
        <w:t xml:space="preserve"> chapter and SPCC training for oil handling employees describe the</w:t>
      </w:r>
      <w:r w:rsidR="00BC0E68">
        <w:t xml:space="preserve"> Fermilab</w:t>
      </w:r>
      <w:r w:rsidRPr="00BB259D">
        <w:t xml:space="preserve"> SPCC Plan</w:t>
      </w:r>
      <w:r w:rsidR="00BC0E68">
        <w:t>.</w:t>
      </w:r>
      <w:r w:rsidRPr="00BB259D">
        <w:t xml:space="preserve"> Training must be repeated annually according to the regulation.  </w:t>
      </w:r>
    </w:p>
    <w:p w:rsidR="00BB259D" w:rsidRPr="00BB259D" w:rsidRDefault="00BB259D" w:rsidP="00BB259D">
      <w:pPr>
        <w:ind w:left="0"/>
        <w:jc w:val="both"/>
      </w:pPr>
    </w:p>
    <w:p w:rsidR="00BB259D" w:rsidRPr="00BB259D" w:rsidRDefault="00BB259D" w:rsidP="00BB259D">
      <w:pPr>
        <w:ind w:left="0"/>
        <w:jc w:val="both"/>
      </w:pPr>
      <w:r w:rsidRPr="00BB259D">
        <w:t xml:space="preserve">Fermilab has more than 600,000 gallons of oil on site including more than 350 oil-filled transformers.  All the Division/Section/Center Environmental Officers work to ensure the oil sources owned by their organizations are in compliance (provided with secondary containment, inspected as required, etc.).  </w:t>
      </w:r>
    </w:p>
    <w:p w:rsidR="00BB259D" w:rsidRPr="00BB259D" w:rsidRDefault="00BB259D" w:rsidP="00BB259D">
      <w:pPr>
        <w:ind w:left="0"/>
        <w:jc w:val="both"/>
      </w:pPr>
    </w:p>
    <w:p w:rsidR="004C4227" w:rsidRDefault="00BB259D" w:rsidP="00BB259D">
      <w:pPr>
        <w:ind w:left="0"/>
        <w:jc w:val="both"/>
      </w:pPr>
      <w:r w:rsidRPr="00BB259D">
        <w:t xml:space="preserve">Due to changes in oil sources, the SPCC Plan was re-certified by a Professional Engineer as meeting the requirements of the regulation.  The P.E. certification occurred in </w:t>
      </w:r>
      <w:r w:rsidR="00BC0E68">
        <w:t>February 2014</w:t>
      </w:r>
      <w:r w:rsidRPr="00BB259D">
        <w:t>, and was approved by the Fermilab Directorate (Chief Operating Officer and ESH&amp;Q Director) and the DOE-Fermi Site Office Manager the same month.  Facilities Engineering Services Section</w:t>
      </w:r>
      <w:r w:rsidR="00BC0E68">
        <w:t xml:space="preserve"> (FESS)</w:t>
      </w:r>
      <w:r w:rsidRPr="00BB259D">
        <w:t xml:space="preserve"> provided the P.E. certification</w:t>
      </w:r>
      <w:r w:rsidR="00BC0E68">
        <w:t>.</w:t>
      </w:r>
    </w:p>
    <w:p w:rsidR="003273B2" w:rsidRPr="0029394F" w:rsidRDefault="00CA2B4A" w:rsidP="004C4227">
      <w:pPr>
        <w:ind w:left="0"/>
        <w:jc w:val="both"/>
      </w:pPr>
      <w:r>
        <w:t xml:space="preserve">   </w:t>
      </w:r>
    </w:p>
    <w:p w:rsidR="00203A68" w:rsidRPr="0029394F" w:rsidRDefault="000368D1" w:rsidP="006F195B">
      <w:pPr>
        <w:pStyle w:val="Heading2"/>
        <w:jc w:val="both"/>
      </w:pPr>
      <w:bookmarkStart w:id="55" w:name="_Toc426529674"/>
      <w:r w:rsidRPr="0029394F">
        <w:t>7</w:t>
      </w:r>
      <w:r w:rsidR="00E40625" w:rsidRPr="0029394F">
        <w:t>.1</w:t>
      </w:r>
      <w:r w:rsidR="008B4C16" w:rsidRPr="0029394F">
        <w:t>7</w:t>
      </w:r>
      <w:r w:rsidR="00E40625" w:rsidRPr="0029394F">
        <w:t xml:space="preserve"> Toxic Substance Control Act (TSCA)</w:t>
      </w:r>
      <w:bookmarkEnd w:id="55"/>
    </w:p>
    <w:p w:rsidR="002975F8" w:rsidRPr="002975F8" w:rsidRDefault="002975F8" w:rsidP="002975F8">
      <w:pPr>
        <w:spacing w:after="240" w:line="240" w:lineRule="atLeast"/>
        <w:ind w:left="0"/>
        <w:jc w:val="both"/>
        <w:rPr>
          <w:rFonts w:eastAsia="Calibri" w:cs="Arial"/>
        </w:rPr>
      </w:pPr>
      <w:r w:rsidRPr="002975F8">
        <w:rPr>
          <w:rFonts w:eastAsia="Calibri" w:cs="Arial"/>
        </w:rPr>
        <w:t xml:space="preserve">In 2014, the Accelerator Division continued its program to phase out the use of PCBs, when opportunities occurred. This involved removing the remaining PCB capacitors from Linac quadrupole power supplies, and replacing them with non-PCB capacitors.  Additional PCB capacitors were removed from power supplies that were located in PS5 service building.  All capacitors were disposed of properly. This has reduced the PCB inventory by 792 pounds.  Further reductions are being planned.  </w:t>
      </w:r>
    </w:p>
    <w:p w:rsidR="0046111D" w:rsidRDefault="002975F8" w:rsidP="006F195B">
      <w:pPr>
        <w:spacing w:after="240" w:line="240" w:lineRule="atLeast"/>
        <w:ind w:left="0"/>
        <w:jc w:val="both"/>
      </w:pPr>
      <w:r w:rsidRPr="002975F8">
        <w:rPr>
          <w:rFonts w:eastAsia="Calibri" w:cs="Arial"/>
        </w:rPr>
        <w:t xml:space="preserve">Groundwater at Main Ring service buildings B1 and B4 was determined to be PCB-contaminated as a result of seepage of groundwater into the excavations after the completion of the phased cleanup in 2002.  These locations could not be declared “clean” so Fermilab </w:t>
      </w:r>
      <w:r>
        <w:rPr>
          <w:rFonts w:eastAsia="Calibri" w:cs="Arial"/>
        </w:rPr>
        <w:t xml:space="preserve">requested </w:t>
      </w:r>
      <w:r w:rsidRPr="002975F8">
        <w:rPr>
          <w:rFonts w:eastAsia="Calibri" w:cs="Arial"/>
        </w:rPr>
        <w:t>approval from EPA to classify the residual PCB contamination as “disposed in place.”  EPA approved the request with some conditions that included Fermilab placing a notice to the deed that identified the location of the contam</w:t>
      </w:r>
      <w:r>
        <w:rPr>
          <w:rFonts w:eastAsia="Calibri" w:cs="Arial"/>
        </w:rPr>
        <w:t>inated groundwater and indicate</w:t>
      </w:r>
      <w:r w:rsidRPr="002975F8">
        <w:rPr>
          <w:rFonts w:eastAsia="Calibri" w:cs="Arial"/>
        </w:rPr>
        <w:t xml:space="preserve"> that its use is restricted.  This was accomplished in June of 2010.  The laboratory was also required to notify the Agency in writing, at least 10 days prior to conducting any excavation activities that involve the removal of soil or other material in the area where the contaminated groundwater exists.  If groundwater is encountered, it must be </w:t>
      </w:r>
      <w:r>
        <w:rPr>
          <w:rFonts w:eastAsia="Calibri" w:cs="Arial"/>
        </w:rPr>
        <w:t>sampled, and all results must</w:t>
      </w:r>
      <w:r w:rsidRPr="002975F8">
        <w:rPr>
          <w:rFonts w:eastAsia="Calibri" w:cs="Arial"/>
        </w:rPr>
        <w:t xml:space="preserve"> be reported to EPA.  Several internal mechanisms were created to ensure that these requirements were met, including placing signs at the affected locations, adding the locations to the Geographic Information System</w:t>
      </w:r>
      <w:r w:rsidR="00E37450">
        <w:rPr>
          <w:rFonts w:eastAsia="Calibri" w:cs="Arial"/>
        </w:rPr>
        <w:t xml:space="preserve"> (GIS)</w:t>
      </w:r>
      <w:r w:rsidRPr="002975F8">
        <w:rPr>
          <w:rFonts w:eastAsia="Calibri" w:cs="Arial"/>
        </w:rPr>
        <w:t>, and modifying ESH&amp;Q review procedures</w:t>
      </w:r>
      <w:r w:rsidR="00E37450">
        <w:rPr>
          <w:rFonts w:eastAsia="Calibri" w:cs="Arial"/>
        </w:rPr>
        <w:t>.</w:t>
      </w:r>
    </w:p>
    <w:p w:rsidR="00E40625" w:rsidRPr="0029394F" w:rsidRDefault="000368D1" w:rsidP="006F195B">
      <w:pPr>
        <w:pStyle w:val="Heading1"/>
        <w:ind w:left="0"/>
        <w:jc w:val="both"/>
        <w:rPr>
          <w:color w:val="auto"/>
        </w:rPr>
      </w:pPr>
      <w:bookmarkStart w:id="56" w:name="_Toc426529675"/>
      <w:r w:rsidRPr="0029394F">
        <w:rPr>
          <w:color w:val="auto"/>
        </w:rPr>
        <w:lastRenderedPageBreak/>
        <w:t>8</w:t>
      </w:r>
      <w:r w:rsidR="001779AB" w:rsidRPr="0029394F">
        <w:rPr>
          <w:color w:val="auto"/>
        </w:rPr>
        <w:t>.0</w:t>
      </w:r>
      <w:r w:rsidR="00E40625" w:rsidRPr="0029394F">
        <w:rPr>
          <w:color w:val="auto"/>
        </w:rPr>
        <w:t xml:space="preserve"> Pollution Prevention and Waste Minimization</w:t>
      </w:r>
      <w:bookmarkEnd w:id="56"/>
    </w:p>
    <w:p w:rsidR="00C366E0" w:rsidRDefault="00C366E0" w:rsidP="00C366E0">
      <w:pPr>
        <w:ind w:left="0"/>
        <w:jc w:val="both"/>
        <w:rPr>
          <w:rFonts w:cs="Arial"/>
          <w:spacing w:val="0"/>
        </w:rPr>
      </w:pPr>
      <w:r w:rsidRPr="00744096">
        <w:rPr>
          <w:rFonts w:cs="Arial"/>
          <w:spacing w:val="0"/>
        </w:rPr>
        <w:t>Fermilab continues to make progress minimizing waste and reducing pollution. In FY201</w:t>
      </w:r>
      <w:r>
        <w:rPr>
          <w:rFonts w:cs="Arial"/>
          <w:spacing w:val="0"/>
        </w:rPr>
        <w:t>4</w:t>
      </w:r>
      <w:r w:rsidRPr="00744096">
        <w:rPr>
          <w:rFonts w:cs="Arial"/>
          <w:spacing w:val="0"/>
        </w:rPr>
        <w:t xml:space="preserve">, Fermilab recycled </w:t>
      </w:r>
      <w:r>
        <w:rPr>
          <w:rFonts w:cs="Arial"/>
          <w:spacing w:val="0"/>
        </w:rPr>
        <w:t>743</w:t>
      </w:r>
      <w:r w:rsidRPr="00744096">
        <w:rPr>
          <w:rFonts w:cs="Arial"/>
          <w:spacing w:val="0"/>
        </w:rPr>
        <w:t xml:space="preserve"> tons of material through a combination of office/ residential type recycling and recycling of scrap metals, wood, tires, etc.  7</w:t>
      </w:r>
      <w:r>
        <w:rPr>
          <w:rFonts w:cs="Arial"/>
          <w:spacing w:val="0"/>
        </w:rPr>
        <w:t>4</w:t>
      </w:r>
      <w:r w:rsidRPr="00744096">
        <w:rPr>
          <w:rFonts w:cs="Arial"/>
          <w:spacing w:val="0"/>
        </w:rPr>
        <w:t>% of waste material generated was diverted to recycling.  This amount does not include electronics</w:t>
      </w:r>
      <w:r>
        <w:rPr>
          <w:rFonts w:cs="Arial"/>
          <w:spacing w:val="0"/>
        </w:rPr>
        <w:t xml:space="preserve">. </w:t>
      </w:r>
    </w:p>
    <w:p w:rsidR="00C366E0" w:rsidRDefault="00C366E0" w:rsidP="00C366E0">
      <w:pPr>
        <w:ind w:left="0"/>
        <w:jc w:val="both"/>
        <w:rPr>
          <w:rFonts w:cs="Arial"/>
          <w:spacing w:val="0"/>
        </w:rPr>
      </w:pPr>
    </w:p>
    <w:p w:rsidR="00C366E0" w:rsidRDefault="00C366E0" w:rsidP="00C366E0">
      <w:pPr>
        <w:ind w:left="0"/>
        <w:jc w:val="both"/>
        <w:rPr>
          <w:rFonts w:cs="Arial"/>
          <w:spacing w:val="0"/>
        </w:rPr>
      </w:pPr>
      <w:r w:rsidRPr="005071BA">
        <w:rPr>
          <w:rFonts w:cs="Arial"/>
          <w:spacing w:val="0"/>
        </w:rPr>
        <w:t xml:space="preserve">Fermilab recycles or donates for reuse 100% of </w:t>
      </w:r>
      <w:r w:rsidR="00697791">
        <w:rPr>
          <w:rFonts w:cs="Arial"/>
          <w:spacing w:val="0"/>
        </w:rPr>
        <w:t xml:space="preserve">eligible </w:t>
      </w:r>
      <w:r w:rsidRPr="005071BA">
        <w:rPr>
          <w:rFonts w:cs="Arial"/>
          <w:spacing w:val="0"/>
        </w:rPr>
        <w:t>used computer equipment.</w:t>
      </w:r>
      <w:r w:rsidR="00697791">
        <w:rPr>
          <w:rFonts w:cs="Arial"/>
          <w:spacing w:val="0"/>
        </w:rPr>
        <w:t xml:space="preserve"> </w:t>
      </w:r>
      <w:r w:rsidRPr="005071BA">
        <w:rPr>
          <w:rFonts w:cs="Arial"/>
          <w:spacing w:val="0"/>
        </w:rPr>
        <w:t xml:space="preserve"> Approximately </w:t>
      </w:r>
      <w:r>
        <w:rPr>
          <w:rFonts w:cs="Arial"/>
          <w:spacing w:val="0"/>
        </w:rPr>
        <w:t>6 tons</w:t>
      </w:r>
      <w:r w:rsidRPr="005071BA">
        <w:rPr>
          <w:rFonts w:cs="Arial"/>
          <w:spacing w:val="0"/>
        </w:rPr>
        <w:t xml:space="preserve"> of computing and electronic equipment including servers, printers, laptops, monitors, cellphones, PDAs, TVs etc. were recycled.  Another </w:t>
      </w:r>
      <w:r>
        <w:rPr>
          <w:rFonts w:cs="Arial"/>
          <w:spacing w:val="0"/>
        </w:rPr>
        <w:t>6 tons</w:t>
      </w:r>
      <w:r w:rsidRPr="005071BA">
        <w:rPr>
          <w:rFonts w:cs="Arial"/>
          <w:spacing w:val="0"/>
        </w:rPr>
        <w:t xml:space="preserve"> were donated for reuse through DOE’s Computers </w:t>
      </w:r>
      <w:r w:rsidR="00697791">
        <w:rPr>
          <w:rFonts w:cs="Arial"/>
          <w:spacing w:val="0"/>
        </w:rPr>
        <w:t>f</w:t>
      </w:r>
      <w:r w:rsidRPr="005071BA">
        <w:rPr>
          <w:rFonts w:cs="Arial"/>
          <w:spacing w:val="0"/>
        </w:rPr>
        <w:t xml:space="preserve">or </w:t>
      </w:r>
      <w:proofErr w:type="gramStart"/>
      <w:r w:rsidRPr="005071BA">
        <w:rPr>
          <w:rFonts w:cs="Arial"/>
          <w:spacing w:val="0"/>
        </w:rPr>
        <w:t>Learning</w:t>
      </w:r>
      <w:proofErr w:type="gramEnd"/>
      <w:r w:rsidRPr="005071BA">
        <w:rPr>
          <w:rFonts w:cs="Arial"/>
          <w:spacing w:val="0"/>
        </w:rPr>
        <w:t xml:space="preserve"> program.   </w:t>
      </w:r>
    </w:p>
    <w:p w:rsidR="00C366E0" w:rsidRPr="005071BA" w:rsidRDefault="00C366E0" w:rsidP="00C366E0">
      <w:pPr>
        <w:ind w:left="0"/>
        <w:jc w:val="both"/>
        <w:rPr>
          <w:rFonts w:cs="Arial"/>
          <w:spacing w:val="0"/>
        </w:rPr>
      </w:pPr>
      <w:r w:rsidRPr="005071BA">
        <w:rPr>
          <w:rFonts w:cs="Arial"/>
          <w:spacing w:val="0"/>
        </w:rPr>
        <w:t xml:space="preserve"> </w:t>
      </w:r>
    </w:p>
    <w:p w:rsidR="00C366E0" w:rsidRDefault="00C366E0" w:rsidP="00C366E0">
      <w:pPr>
        <w:ind w:left="0"/>
        <w:jc w:val="both"/>
        <w:rPr>
          <w:rFonts w:cs="Arial"/>
          <w:spacing w:val="0"/>
        </w:rPr>
      </w:pPr>
      <w:r w:rsidRPr="005071BA">
        <w:rPr>
          <w:rFonts w:cs="Arial"/>
          <w:spacing w:val="0"/>
        </w:rPr>
        <w:t>Permanent dumpsters dedicated to recycling constru</w:t>
      </w:r>
      <w:r>
        <w:rPr>
          <w:rFonts w:cs="Arial"/>
          <w:spacing w:val="0"/>
        </w:rPr>
        <w:t>ction and demolition debris were</w:t>
      </w:r>
      <w:r w:rsidRPr="005071BA">
        <w:rPr>
          <w:rFonts w:cs="Arial"/>
          <w:spacing w:val="0"/>
        </w:rPr>
        <w:t xml:space="preserve"> staged on site.  </w:t>
      </w:r>
      <w:r w:rsidR="00697791">
        <w:rPr>
          <w:rFonts w:cs="Arial"/>
          <w:spacing w:val="0"/>
        </w:rPr>
        <w:t xml:space="preserve">Fermilab has these dumpsters </w:t>
      </w:r>
      <w:r w:rsidRPr="005071BA">
        <w:rPr>
          <w:rFonts w:cs="Arial"/>
          <w:spacing w:val="0"/>
        </w:rPr>
        <w:t xml:space="preserve">to </w:t>
      </w:r>
      <w:r w:rsidR="00697791">
        <w:rPr>
          <w:rFonts w:cs="Arial"/>
          <w:spacing w:val="0"/>
        </w:rPr>
        <w:t xml:space="preserve">encourage </w:t>
      </w:r>
      <w:r w:rsidRPr="005071BA">
        <w:rPr>
          <w:rFonts w:cs="Arial"/>
          <w:spacing w:val="0"/>
        </w:rPr>
        <w:t xml:space="preserve">recycling of materials from small-scale construction projects.  Fermilab </w:t>
      </w:r>
      <w:r>
        <w:rPr>
          <w:rFonts w:cs="Arial"/>
          <w:spacing w:val="0"/>
        </w:rPr>
        <w:t>T</w:t>
      </w:r>
      <w:r w:rsidRPr="005071BA">
        <w:rPr>
          <w:rFonts w:cs="Arial"/>
          <w:spacing w:val="0"/>
        </w:rPr>
        <w:t xml:space="preserve">ime and </w:t>
      </w:r>
      <w:r>
        <w:rPr>
          <w:rFonts w:cs="Arial"/>
          <w:spacing w:val="0"/>
        </w:rPr>
        <w:t>M</w:t>
      </w:r>
      <w:r w:rsidRPr="005071BA">
        <w:rPr>
          <w:rFonts w:cs="Arial"/>
          <w:spacing w:val="0"/>
        </w:rPr>
        <w:t xml:space="preserve">aterials (T&amp;M) contractors have been directed to use these dumpsters for waste generated from projects. </w:t>
      </w:r>
      <w:r w:rsidR="00697791">
        <w:rPr>
          <w:rFonts w:cs="Arial"/>
          <w:spacing w:val="0"/>
        </w:rPr>
        <w:t>Including large scale projects,</w:t>
      </w:r>
      <w:r w:rsidRPr="005071BA">
        <w:rPr>
          <w:rFonts w:cs="Arial"/>
          <w:spacing w:val="0"/>
        </w:rPr>
        <w:t xml:space="preserve"> </w:t>
      </w:r>
      <w:r w:rsidR="00697791">
        <w:rPr>
          <w:rFonts w:cs="Arial"/>
          <w:spacing w:val="0"/>
        </w:rPr>
        <w:t>a</w:t>
      </w:r>
      <w:r w:rsidRPr="005071BA">
        <w:rPr>
          <w:rFonts w:cs="Arial"/>
          <w:spacing w:val="0"/>
        </w:rPr>
        <w:t xml:space="preserve">pproximately </w:t>
      </w:r>
      <w:r>
        <w:rPr>
          <w:rFonts w:cs="Arial"/>
          <w:spacing w:val="0"/>
        </w:rPr>
        <w:t>1070</w:t>
      </w:r>
      <w:r w:rsidRPr="005071BA">
        <w:rPr>
          <w:rFonts w:cs="Arial"/>
          <w:spacing w:val="0"/>
        </w:rPr>
        <w:t xml:space="preserve"> tons of construction waste (</w:t>
      </w:r>
      <w:r>
        <w:rPr>
          <w:rFonts w:cs="Arial"/>
          <w:spacing w:val="0"/>
        </w:rPr>
        <w:t>94</w:t>
      </w:r>
      <w:r w:rsidRPr="005071BA">
        <w:rPr>
          <w:rFonts w:cs="Arial"/>
          <w:spacing w:val="0"/>
        </w:rPr>
        <w:t>% of the total was</w:t>
      </w:r>
      <w:r w:rsidR="00697791">
        <w:rPr>
          <w:rFonts w:cs="Arial"/>
          <w:spacing w:val="0"/>
        </w:rPr>
        <w:t xml:space="preserve">te generated) was recycled in </w:t>
      </w:r>
      <w:r w:rsidRPr="005071BA">
        <w:rPr>
          <w:rFonts w:cs="Arial"/>
          <w:spacing w:val="0"/>
        </w:rPr>
        <w:t>201</w:t>
      </w:r>
      <w:r>
        <w:rPr>
          <w:rFonts w:cs="Arial"/>
          <w:spacing w:val="0"/>
        </w:rPr>
        <w:t>4</w:t>
      </w:r>
      <w:r w:rsidRPr="005071BA">
        <w:rPr>
          <w:rFonts w:cs="Arial"/>
          <w:spacing w:val="0"/>
        </w:rPr>
        <w:t>.</w:t>
      </w:r>
    </w:p>
    <w:p w:rsidR="00C366E0" w:rsidRPr="005071BA" w:rsidRDefault="00C366E0" w:rsidP="00C366E0">
      <w:pPr>
        <w:ind w:left="0"/>
        <w:jc w:val="both"/>
        <w:rPr>
          <w:rFonts w:cs="Arial"/>
          <w:spacing w:val="0"/>
        </w:rPr>
      </w:pPr>
    </w:p>
    <w:p w:rsidR="00C366E0" w:rsidRDefault="00C366E0" w:rsidP="00C366E0">
      <w:pPr>
        <w:ind w:left="0"/>
        <w:jc w:val="both"/>
        <w:rPr>
          <w:rFonts w:cs="Arial"/>
          <w:spacing w:val="0"/>
        </w:rPr>
      </w:pPr>
      <w:r w:rsidRPr="005071BA">
        <w:rPr>
          <w:rFonts w:cs="Arial"/>
          <w:spacing w:val="0"/>
        </w:rPr>
        <w:t>Other notable pollution prevention measures include:</w:t>
      </w:r>
    </w:p>
    <w:p w:rsidR="00C366E0" w:rsidRPr="005071BA" w:rsidRDefault="00C366E0" w:rsidP="00C366E0">
      <w:pPr>
        <w:ind w:left="0"/>
        <w:jc w:val="both"/>
        <w:rPr>
          <w:rFonts w:cs="Arial"/>
          <w:spacing w:val="0"/>
        </w:rPr>
      </w:pPr>
    </w:p>
    <w:p w:rsidR="00C366E0" w:rsidRDefault="00C366E0" w:rsidP="00C366E0">
      <w:pPr>
        <w:pStyle w:val="ListParagraph"/>
        <w:numPr>
          <w:ilvl w:val="0"/>
          <w:numId w:val="14"/>
        </w:numPr>
        <w:jc w:val="both"/>
      </w:pPr>
      <w:r>
        <w:t xml:space="preserve">In May 2014, the cafeteria food service provider started composting their kitchen scraps, coffee grounds and paper towels.  </w:t>
      </w:r>
      <w:r w:rsidR="00040272">
        <w:t>During the latter</w:t>
      </w:r>
      <w:r>
        <w:t xml:space="preserve"> half of 2014, 4.17 metric tons of food and compostable waste was diverted from the landfill and hauled to a compost facility.</w:t>
      </w:r>
    </w:p>
    <w:p w:rsidR="00C366E0" w:rsidRDefault="00C366E0" w:rsidP="00C366E0">
      <w:pPr>
        <w:jc w:val="both"/>
        <w:rPr>
          <w:rFonts w:cs="Arial"/>
          <w:spacing w:val="0"/>
        </w:rPr>
      </w:pPr>
    </w:p>
    <w:p w:rsidR="00C366E0" w:rsidRPr="002C2DAE" w:rsidRDefault="00040272" w:rsidP="00C366E0">
      <w:pPr>
        <w:pStyle w:val="ListParagraph"/>
        <w:numPr>
          <w:ilvl w:val="0"/>
          <w:numId w:val="14"/>
        </w:numPr>
        <w:jc w:val="both"/>
      </w:pPr>
      <w:r>
        <w:t xml:space="preserve">The kitchen’s grease traps are </w:t>
      </w:r>
      <w:r w:rsidR="00C366E0">
        <w:t xml:space="preserve">cleaned out every two months and the “sludge” is taken to an anaerobic digester at either Fair Oaks Dairy Farm in Indiana or the Downers Grove sanitation district.  It is mixed with other organic waste as fuel to create electricity.  In 2014, 6.8 metric tons of sludge was converted to energy. </w:t>
      </w:r>
    </w:p>
    <w:p w:rsidR="00C366E0" w:rsidRDefault="00C366E0" w:rsidP="00C366E0">
      <w:pPr>
        <w:pStyle w:val="ListParagraph"/>
        <w:rPr>
          <w:rFonts w:cs="Arial"/>
          <w:spacing w:val="0"/>
        </w:rPr>
      </w:pPr>
    </w:p>
    <w:p w:rsidR="00C366E0" w:rsidRPr="005071BA" w:rsidRDefault="00C366E0" w:rsidP="00C366E0">
      <w:pPr>
        <w:numPr>
          <w:ilvl w:val="0"/>
          <w:numId w:val="14"/>
        </w:numPr>
        <w:jc w:val="both"/>
        <w:rPr>
          <w:rFonts w:cs="Arial"/>
          <w:spacing w:val="0"/>
        </w:rPr>
      </w:pPr>
      <w:r>
        <w:rPr>
          <w:rFonts w:cs="Arial"/>
          <w:spacing w:val="0"/>
        </w:rPr>
        <w:t>Several</w:t>
      </w:r>
      <w:r w:rsidRPr="005071BA">
        <w:rPr>
          <w:rFonts w:cs="Arial"/>
          <w:spacing w:val="0"/>
        </w:rPr>
        <w:t xml:space="preserve"> surrounding municipalities dispose of their</w:t>
      </w:r>
      <w:r w:rsidR="00040272">
        <w:rPr>
          <w:rFonts w:cs="Arial"/>
          <w:spacing w:val="0"/>
        </w:rPr>
        <w:t xml:space="preserve"> residential</w:t>
      </w:r>
      <w:r w:rsidRPr="005071BA">
        <w:rPr>
          <w:rFonts w:cs="Arial"/>
          <w:spacing w:val="0"/>
        </w:rPr>
        <w:t xml:space="preserve"> fall leaf refuse on Fermilab’s agricultural fields. </w:t>
      </w:r>
      <w:r w:rsidR="00040272">
        <w:rPr>
          <w:rFonts w:cs="Arial"/>
          <w:spacing w:val="0"/>
        </w:rPr>
        <w:t xml:space="preserve"> </w:t>
      </w:r>
      <w:r w:rsidRPr="005071BA">
        <w:rPr>
          <w:rFonts w:cs="Arial"/>
          <w:spacing w:val="0"/>
        </w:rPr>
        <w:t>In 201</w:t>
      </w:r>
      <w:r>
        <w:rPr>
          <w:rFonts w:cs="Arial"/>
          <w:spacing w:val="0"/>
        </w:rPr>
        <w:t>4</w:t>
      </w:r>
      <w:r w:rsidRPr="005071BA">
        <w:rPr>
          <w:rFonts w:cs="Arial"/>
          <w:spacing w:val="0"/>
        </w:rPr>
        <w:t xml:space="preserve">, 17,500 cubic yards (roughly 793 tons) were </w:t>
      </w:r>
      <w:r w:rsidR="00040272">
        <w:rPr>
          <w:rFonts w:cs="Arial"/>
          <w:spacing w:val="0"/>
        </w:rPr>
        <w:t>incorporated into</w:t>
      </w:r>
      <w:r w:rsidRPr="005071BA">
        <w:rPr>
          <w:rFonts w:cs="Arial"/>
          <w:spacing w:val="0"/>
        </w:rPr>
        <w:t xml:space="preserve"> the fields as a soil amendment after composting. </w:t>
      </w:r>
    </w:p>
    <w:p w:rsidR="00C366E0" w:rsidRPr="005071BA" w:rsidRDefault="00C366E0" w:rsidP="00C366E0">
      <w:pPr>
        <w:ind w:left="0"/>
        <w:jc w:val="both"/>
        <w:rPr>
          <w:rFonts w:cs="Arial"/>
          <w:spacing w:val="0"/>
        </w:rPr>
      </w:pPr>
    </w:p>
    <w:p w:rsidR="00C366E0" w:rsidRPr="005071BA" w:rsidRDefault="00C366E0" w:rsidP="00C366E0">
      <w:pPr>
        <w:numPr>
          <w:ilvl w:val="0"/>
          <w:numId w:val="14"/>
        </w:numPr>
        <w:jc w:val="both"/>
        <w:rPr>
          <w:rFonts w:cs="Arial"/>
          <w:spacing w:val="0"/>
        </w:rPr>
      </w:pPr>
      <w:r w:rsidRPr="005071BA">
        <w:rPr>
          <w:rFonts w:cs="Arial"/>
          <w:spacing w:val="0"/>
        </w:rPr>
        <w:t xml:space="preserve">It is common practice at Fermilab for project engineers, technicians, and physicists to reuse or reconfigure old equipment for new experiments.  </w:t>
      </w:r>
    </w:p>
    <w:p w:rsidR="00C366E0" w:rsidRPr="005071BA" w:rsidRDefault="00C366E0" w:rsidP="00C366E0">
      <w:pPr>
        <w:ind w:left="0"/>
        <w:jc w:val="both"/>
        <w:rPr>
          <w:rFonts w:cs="Arial"/>
          <w:spacing w:val="0"/>
        </w:rPr>
      </w:pPr>
    </w:p>
    <w:p w:rsidR="00C366E0" w:rsidRDefault="00C366E0" w:rsidP="00C366E0">
      <w:pPr>
        <w:numPr>
          <w:ilvl w:val="0"/>
          <w:numId w:val="14"/>
        </w:numPr>
        <w:jc w:val="both"/>
        <w:rPr>
          <w:rFonts w:cs="Arial"/>
          <w:spacing w:val="0"/>
        </w:rPr>
      </w:pPr>
      <w:r>
        <w:rPr>
          <w:rFonts w:cs="Arial"/>
          <w:spacing w:val="0"/>
        </w:rPr>
        <w:t>The laboratory is implementing a comprehensive managed print services initiative and all p</w:t>
      </w:r>
      <w:r w:rsidRPr="005071BA">
        <w:rPr>
          <w:rFonts w:cs="Arial"/>
          <w:spacing w:val="0"/>
        </w:rPr>
        <w:t>rinters were inventoried</w:t>
      </w:r>
      <w:r>
        <w:rPr>
          <w:rFonts w:cs="Arial"/>
          <w:spacing w:val="0"/>
        </w:rPr>
        <w:t xml:space="preserve"> throughout the site. Unless there was a stated</w:t>
      </w:r>
      <w:r w:rsidRPr="005071BA">
        <w:rPr>
          <w:rFonts w:cs="Arial"/>
          <w:spacing w:val="0"/>
        </w:rPr>
        <w:t xml:space="preserve"> need, personal printers were removed from individual areas.  </w:t>
      </w:r>
      <w:r>
        <w:rPr>
          <w:rFonts w:cs="Arial"/>
          <w:spacing w:val="0"/>
        </w:rPr>
        <w:t>To a greater extent, d</w:t>
      </w:r>
      <w:r w:rsidRPr="005071BA">
        <w:rPr>
          <w:rFonts w:cs="Arial"/>
          <w:spacing w:val="0"/>
        </w:rPr>
        <w:t>epartments</w:t>
      </w:r>
      <w:r>
        <w:rPr>
          <w:rFonts w:cs="Arial"/>
          <w:spacing w:val="0"/>
        </w:rPr>
        <w:t xml:space="preserve"> now</w:t>
      </w:r>
      <w:r w:rsidRPr="005071BA">
        <w:rPr>
          <w:rFonts w:cs="Arial"/>
          <w:spacing w:val="0"/>
        </w:rPr>
        <w:t xml:space="preserve"> are sharing printers that are on networked services.  Printers are defaulted to double-sided printing and black/white ink.  There </w:t>
      </w:r>
      <w:r>
        <w:rPr>
          <w:rFonts w:cs="Arial"/>
          <w:spacing w:val="0"/>
        </w:rPr>
        <w:t xml:space="preserve">is </w:t>
      </w:r>
      <w:r w:rsidRPr="005071BA">
        <w:rPr>
          <w:rFonts w:cs="Arial"/>
          <w:spacing w:val="0"/>
        </w:rPr>
        <w:t>now</w:t>
      </w:r>
      <w:r>
        <w:rPr>
          <w:rFonts w:cs="Arial"/>
          <w:spacing w:val="0"/>
        </w:rPr>
        <w:t xml:space="preserve"> a select,</w:t>
      </w:r>
      <w:r w:rsidRPr="005071BA">
        <w:rPr>
          <w:rFonts w:cs="Arial"/>
          <w:spacing w:val="0"/>
        </w:rPr>
        <w:t xml:space="preserve"> limited choice of</w:t>
      </w:r>
      <w:r>
        <w:rPr>
          <w:rFonts w:cs="Arial"/>
          <w:spacing w:val="0"/>
        </w:rPr>
        <w:t xml:space="preserve"> new</w:t>
      </w:r>
      <w:r w:rsidRPr="005071BA">
        <w:rPr>
          <w:rFonts w:cs="Arial"/>
          <w:spacing w:val="0"/>
        </w:rPr>
        <w:t xml:space="preserve"> printers, all of which are EPEAT registered.</w:t>
      </w:r>
    </w:p>
    <w:p w:rsidR="00C366E0" w:rsidRPr="005071BA" w:rsidRDefault="00C366E0" w:rsidP="00C366E0">
      <w:pPr>
        <w:ind w:left="720"/>
        <w:jc w:val="both"/>
        <w:rPr>
          <w:rFonts w:cs="Arial"/>
          <w:spacing w:val="0"/>
        </w:rPr>
      </w:pPr>
    </w:p>
    <w:p w:rsidR="00C366E0" w:rsidRDefault="00C366E0" w:rsidP="00C366E0">
      <w:pPr>
        <w:numPr>
          <w:ilvl w:val="0"/>
          <w:numId w:val="14"/>
        </w:numPr>
        <w:jc w:val="both"/>
        <w:rPr>
          <w:rFonts w:cs="Arial"/>
          <w:spacing w:val="0"/>
        </w:rPr>
      </w:pPr>
      <w:r w:rsidRPr="005071BA">
        <w:rPr>
          <w:rFonts w:cs="Arial"/>
          <w:spacing w:val="0"/>
        </w:rPr>
        <w:t xml:space="preserve">Grid Computing Center received the Energy Star Award for the fourth consecutive year. The cold aisle containment installed at the Grid Computing Center last fall resulted in a 14% reduction in energy used for cooling. The Grid Computing Center (GCC) became the first Fermilab building to attain 100 percent of the Guiding Principles for High Performance and Sustainable Buildings, a federal mandate to dramatically increase the efficiency and sustainability of federally owned buildings. </w:t>
      </w:r>
    </w:p>
    <w:p w:rsidR="00697791" w:rsidRDefault="00697791" w:rsidP="00697791">
      <w:pPr>
        <w:pStyle w:val="ListParagraph"/>
        <w:rPr>
          <w:rFonts w:cs="Arial"/>
          <w:spacing w:val="0"/>
        </w:rPr>
      </w:pPr>
    </w:p>
    <w:p w:rsidR="00697791" w:rsidRPr="005071BA" w:rsidRDefault="00697791" w:rsidP="00C366E0">
      <w:pPr>
        <w:numPr>
          <w:ilvl w:val="0"/>
          <w:numId w:val="14"/>
        </w:numPr>
        <w:jc w:val="both"/>
        <w:rPr>
          <w:rFonts w:cs="Arial"/>
          <w:spacing w:val="0"/>
        </w:rPr>
      </w:pPr>
      <w:r w:rsidRPr="00C366E0">
        <w:rPr>
          <w:rFonts w:cs="Arial"/>
          <w:spacing w:val="0"/>
        </w:rPr>
        <w:t>The fleet management team at Fermilab has a fleet monitoring program that minimizes idling time and promotes efficient driving, which both lead to less fuel use.  They also continually evaluate the fleet size to insure the appropriate number of vehicles.  Only alternative fuel vehicles are purchased</w:t>
      </w:r>
      <w:r>
        <w:rPr>
          <w:rFonts w:cs="Arial"/>
          <w:spacing w:val="0"/>
        </w:rPr>
        <w:t>.</w:t>
      </w:r>
    </w:p>
    <w:p w:rsidR="00C366E0" w:rsidRPr="005071BA" w:rsidRDefault="00C366E0" w:rsidP="00C366E0">
      <w:pPr>
        <w:ind w:left="0"/>
        <w:jc w:val="both"/>
        <w:rPr>
          <w:rFonts w:cs="Arial"/>
          <w:spacing w:val="0"/>
        </w:rPr>
      </w:pPr>
    </w:p>
    <w:p w:rsidR="00DA1028" w:rsidRPr="0029394F" w:rsidRDefault="000368D1" w:rsidP="006934EC">
      <w:pPr>
        <w:pStyle w:val="Heading1"/>
        <w:rPr>
          <w:color w:val="auto"/>
        </w:rPr>
      </w:pPr>
      <w:bookmarkStart w:id="57" w:name="_Toc426529676"/>
      <w:r w:rsidRPr="0029394F">
        <w:rPr>
          <w:color w:val="auto"/>
        </w:rPr>
        <w:lastRenderedPageBreak/>
        <w:t>9</w:t>
      </w:r>
      <w:r w:rsidR="008C360B" w:rsidRPr="0029394F">
        <w:rPr>
          <w:color w:val="auto"/>
        </w:rPr>
        <w:t xml:space="preserve">.0 </w:t>
      </w:r>
      <w:r w:rsidR="006934EC" w:rsidRPr="0029394F">
        <w:rPr>
          <w:color w:val="auto"/>
        </w:rPr>
        <w:t>Radiological Clearance of Property and Metals Release Suspension</w:t>
      </w:r>
      <w:bookmarkEnd w:id="57"/>
    </w:p>
    <w:p w:rsidR="002A42A1" w:rsidRPr="00053D10" w:rsidRDefault="002A42A1" w:rsidP="002A42A1">
      <w:pPr>
        <w:pStyle w:val="BodyText"/>
        <w:ind w:left="90"/>
      </w:pPr>
      <w:r w:rsidRPr="00053D10">
        <w:t>Fermilab has operated an active scrap metal recycling program for many years.  The program includes policies and procedures to ensure that the DOE secretarial mandates regarding the moratorium and suspension on the release of scrap metals from departmental sites is not violated.  Historically, as a general operating principle, Fermilab has not released radioactive metals as scrap.  Beginning in 2000, to comply with the suspension directive, the laboratory began holding non-radioactive scrap metals originating from radiological areas (as defined 10CFR 835).  This material has been accumulating since</w:t>
      </w:r>
      <w:r>
        <w:t xml:space="preserve"> the suspension became effective</w:t>
      </w:r>
      <w:r w:rsidRPr="00053D10">
        <w:t>.  Direct impacts as a result of the suspension include the loss of scrap revenue, the costs associated with the management and storage of this material and the potential future cost of disposal if it cannot be scrapped.</w:t>
      </w:r>
    </w:p>
    <w:p w:rsidR="002A42A1" w:rsidRDefault="002A42A1" w:rsidP="002A42A1">
      <w:pPr>
        <w:pStyle w:val="BodyText"/>
        <w:ind w:left="90"/>
      </w:pPr>
      <w:r w:rsidRPr="00053D10">
        <w:t>In 201</w:t>
      </w:r>
      <w:r>
        <w:t>4</w:t>
      </w:r>
      <w:r w:rsidRPr="00053D10">
        <w:t xml:space="preserve"> Fermilab continued to operate a metals recycling program that has a rigo</w:t>
      </w:r>
      <w:r w:rsidR="00B4350D">
        <w:t>rous material screening process</w:t>
      </w:r>
      <w:r w:rsidRPr="00053D10">
        <w:t xml:space="preserve"> and has incorporated </w:t>
      </w:r>
      <w:r w:rsidR="00B4350D">
        <w:t xml:space="preserve">numerous </w:t>
      </w:r>
      <w:r w:rsidRPr="00053D10">
        <w:t xml:space="preserve">ongoing improvements that have been made since 2000.  </w:t>
      </w:r>
      <w:r>
        <w:t xml:space="preserve"> An enhanced Material Move Request form</w:t>
      </w:r>
      <w:r w:rsidRPr="00053D10">
        <w:t xml:space="preserve"> </w:t>
      </w:r>
      <w:r>
        <w:t>(</w:t>
      </w:r>
      <w:r w:rsidRPr="00053D10">
        <w:t>MMR</w:t>
      </w:r>
      <w:r>
        <w:t>)</w:t>
      </w:r>
      <w:r w:rsidRPr="00053D10">
        <w:t xml:space="preserve"> is used to clearly identify and document which metals are eligible for recycling.   These metals are then subjected to multiple hand held radiation surveys and must pass successfully through the vehicle scrap monitor before leaving the site.</w:t>
      </w:r>
    </w:p>
    <w:p w:rsidR="002A42A1" w:rsidRDefault="002A42A1" w:rsidP="002A42A1">
      <w:pPr>
        <w:pStyle w:val="BodyText"/>
        <w:ind w:left="90"/>
      </w:pPr>
      <w:r w:rsidRPr="00053D10">
        <w:t xml:space="preserve">“Recycling Packages” are created for metals </w:t>
      </w:r>
      <w:r>
        <w:t xml:space="preserve">being disposed </w:t>
      </w:r>
      <w:r w:rsidRPr="00053D10">
        <w:t>from posted Radioactive Material Areas.  Recycling packages also include a precise description of the metals to be released, with pictures, area surveys of the building where the metals were removed, and a summary of the timeline that tracks the location of the materials for the duration that they were on site.  In 201</w:t>
      </w:r>
      <w:r>
        <w:t>4,</w:t>
      </w:r>
      <w:r w:rsidRPr="00053D10">
        <w:t xml:space="preserve"> </w:t>
      </w:r>
      <w:r>
        <w:t>610</w:t>
      </w:r>
      <w:r w:rsidRPr="00053D10">
        <w:t xml:space="preserve"> metric tons of various metals met Fermilab’s release requirements and were recycled.</w:t>
      </w:r>
    </w:p>
    <w:p w:rsidR="00E40625" w:rsidRPr="001E608A" w:rsidRDefault="000368D1" w:rsidP="00AF29C6">
      <w:pPr>
        <w:pStyle w:val="Heading1"/>
        <w:pBdr>
          <w:bottom w:val="single" w:sz="6" w:space="5" w:color="FFFFFF"/>
        </w:pBdr>
        <w:tabs>
          <w:tab w:val="left" w:pos="3510"/>
        </w:tabs>
        <w:ind w:left="90"/>
        <w:jc w:val="both"/>
        <w:rPr>
          <w:color w:val="auto"/>
        </w:rPr>
      </w:pPr>
      <w:bookmarkStart w:id="58" w:name="_Toc426529677"/>
      <w:r w:rsidRPr="001E608A">
        <w:rPr>
          <w:color w:val="auto"/>
        </w:rPr>
        <w:t>10</w:t>
      </w:r>
      <w:r w:rsidR="00E40625" w:rsidRPr="001E608A">
        <w:rPr>
          <w:color w:val="auto"/>
        </w:rPr>
        <w:t>.0 Conclusion</w:t>
      </w:r>
      <w:bookmarkEnd w:id="58"/>
    </w:p>
    <w:p w:rsidR="00E212D4" w:rsidRDefault="00E212D4" w:rsidP="00E212D4">
      <w:pPr>
        <w:pStyle w:val="BodyText"/>
        <w:ind w:left="0"/>
      </w:pPr>
      <w:r>
        <w:t>T</w:t>
      </w:r>
      <w:r w:rsidRPr="00EB2733">
        <w:t>he operations at Fermilab during 20</w:t>
      </w:r>
      <w:r>
        <w:t>14</w:t>
      </w:r>
      <w:r w:rsidRPr="00EB2733">
        <w:t xml:space="preserve"> had no significant adverse impact on the environment or on public safety.</w:t>
      </w:r>
      <w:r w:rsidRPr="00191C98">
        <w:t xml:space="preserve"> </w:t>
      </w:r>
      <w:r>
        <w:t xml:space="preserve"> </w:t>
      </w:r>
      <w:r w:rsidR="00C4442D">
        <w:t>An e</w:t>
      </w:r>
      <w:r>
        <w:t>mphasis on compliance with regulations</w:t>
      </w:r>
      <w:r w:rsidR="00C4442D">
        <w:t xml:space="preserve"> and </w:t>
      </w:r>
      <w:bookmarkStart w:id="59" w:name="_GoBack"/>
      <w:bookmarkEnd w:id="59"/>
      <w:r>
        <w:t>requirements and environmental stewardship remains a high priority for the laboratory.</w:t>
      </w:r>
    </w:p>
    <w:p w:rsidR="00E212D4" w:rsidRDefault="00E212D4" w:rsidP="006F195B">
      <w:pPr>
        <w:pStyle w:val="BodyText"/>
        <w:ind w:left="0"/>
      </w:pPr>
    </w:p>
    <w:p w:rsidR="000368D1" w:rsidRDefault="000368D1" w:rsidP="006F195B">
      <w:pPr>
        <w:pStyle w:val="BodyText"/>
        <w:ind w:left="0"/>
      </w:pPr>
    </w:p>
    <w:sectPr w:rsidR="000368D1" w:rsidSect="006F7D8D">
      <w:headerReference w:type="even" r:id="rId15"/>
      <w:footerReference w:type="default" r:id="rId16"/>
      <w:headerReference w:type="first" r:id="rId17"/>
      <w:endnotePr>
        <w:numFmt w:val="decimal"/>
      </w:endnotePr>
      <w:pgSz w:w="12240" w:h="15840" w:code="1"/>
      <w:pgMar w:top="720" w:right="1440" w:bottom="1080" w:left="1440" w:header="720" w:footer="31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D7A" w:rsidRDefault="00962D7A">
      <w:r>
        <w:separator/>
      </w:r>
    </w:p>
  </w:endnote>
  <w:endnote w:type="continuationSeparator" w:id="0">
    <w:p w:rsidR="00962D7A" w:rsidRDefault="0096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7A" w:rsidRDefault="00962D7A" w:rsidP="009C47A7">
    <w:pPr>
      <w:pStyle w:val="Footer"/>
      <w:ind w:left="0"/>
      <w:jc w:val="right"/>
      <w:rPr>
        <w:sz w:val="14"/>
        <w:szCs w:val="14"/>
      </w:rPr>
    </w:pPr>
    <w:r w:rsidRPr="00B340A1">
      <w:rPr>
        <w:sz w:val="14"/>
        <w:szCs w:val="14"/>
      </w:rPr>
      <w:t xml:space="preserve">Page </w:t>
    </w:r>
    <w:r w:rsidRPr="00B340A1">
      <w:rPr>
        <w:sz w:val="14"/>
        <w:szCs w:val="14"/>
      </w:rPr>
      <w:fldChar w:fldCharType="begin"/>
    </w:r>
    <w:r w:rsidRPr="00B340A1">
      <w:rPr>
        <w:sz w:val="14"/>
        <w:szCs w:val="14"/>
      </w:rPr>
      <w:instrText xml:space="preserve"> PAGE </w:instrText>
    </w:r>
    <w:r w:rsidRPr="00B340A1">
      <w:rPr>
        <w:sz w:val="14"/>
        <w:szCs w:val="14"/>
      </w:rPr>
      <w:fldChar w:fldCharType="separate"/>
    </w:r>
    <w:r w:rsidR="00C4442D">
      <w:rPr>
        <w:noProof/>
        <w:sz w:val="14"/>
        <w:szCs w:val="14"/>
      </w:rPr>
      <w:t>25</w:t>
    </w:r>
    <w:r w:rsidRPr="00B340A1">
      <w:rPr>
        <w:sz w:val="14"/>
        <w:szCs w:val="14"/>
      </w:rPr>
      <w:fldChar w:fldCharType="end"/>
    </w:r>
  </w:p>
  <w:p w:rsidR="00962D7A" w:rsidRDefault="00962D7A" w:rsidP="009C47A7">
    <w:pPr>
      <w:pStyle w:val="Footer"/>
      <w:ind w:left="0"/>
      <w:jc w:val="right"/>
      <w:rPr>
        <w:sz w:val="14"/>
        <w:szCs w:val="14"/>
      </w:rPr>
    </w:pPr>
    <w:r w:rsidRPr="00162BF2">
      <w:rPr>
        <w:sz w:val="14"/>
        <w:szCs w:val="14"/>
      </w:rPr>
      <w:t>REPORT TO THE dIRECTOR ON</w:t>
    </w:r>
    <w:r>
      <w:rPr>
        <w:sz w:val="14"/>
        <w:szCs w:val="14"/>
      </w:rPr>
      <w:t xml:space="preserve"> THE fERMILAB ENVIRONMENT</w:t>
    </w:r>
  </w:p>
  <w:p w:rsidR="00962D7A" w:rsidRPr="00162BF2" w:rsidRDefault="00962D7A" w:rsidP="009C47A7">
    <w:pPr>
      <w:pStyle w:val="Footer"/>
      <w:ind w:left="0"/>
      <w:jc w:val="right"/>
      <w:rPr>
        <w:sz w:val="14"/>
        <w:szCs w:val="14"/>
      </w:rPr>
    </w:pPr>
    <w:r>
      <w:rPr>
        <w:sz w:val="14"/>
        <w:szCs w:val="14"/>
      </w:rPr>
      <w:t xml:space="preserve"> Calander Year 2014</w:t>
    </w:r>
  </w:p>
  <w:p w:rsidR="00962D7A" w:rsidRPr="00162BF2" w:rsidRDefault="00962D7A" w:rsidP="00F2169F">
    <w:pPr>
      <w:pStyle w:val="Footer"/>
      <w:ind w:left="0"/>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D7A" w:rsidRDefault="00962D7A">
      <w:r>
        <w:separator/>
      </w:r>
    </w:p>
  </w:footnote>
  <w:footnote w:type="continuationSeparator" w:id="0">
    <w:p w:rsidR="00962D7A" w:rsidRDefault="00962D7A">
      <w:r>
        <w:continuationSeparator/>
      </w:r>
    </w:p>
  </w:footnote>
  <w:footnote w:id="1">
    <w:p w:rsidR="00962D7A" w:rsidRDefault="00962D7A" w:rsidP="00F91DAB">
      <w:pPr>
        <w:pStyle w:val="FootnoteText"/>
        <w:spacing w:line="240" w:lineRule="auto"/>
      </w:pPr>
      <w:r>
        <w:rPr>
          <w:rStyle w:val="FootnoteReference"/>
        </w:rPr>
        <w:footnoteRef/>
      </w:r>
      <w:r>
        <w:t xml:space="preserve"> Renewable Energy Certificates</w:t>
      </w:r>
    </w:p>
  </w:footnote>
  <w:footnote w:id="2">
    <w:p w:rsidR="00962D7A" w:rsidRDefault="00962D7A">
      <w:pPr>
        <w:pStyle w:val="FootnoteText"/>
      </w:pPr>
      <w:r>
        <w:rPr>
          <w:rStyle w:val="FootnoteReference"/>
        </w:rPr>
        <w:footnoteRef/>
      </w:r>
      <w:r>
        <w:t xml:space="preserve"> High Energy Mission Specific Facilities</w:t>
      </w:r>
    </w:p>
  </w:footnote>
  <w:footnote w:id="3">
    <w:p w:rsidR="00962D7A" w:rsidRDefault="00962D7A">
      <w:pPr>
        <w:pStyle w:val="FootnoteText"/>
      </w:pPr>
      <w:r>
        <w:rPr>
          <w:rStyle w:val="FootnoteReference"/>
        </w:rPr>
        <w:footnoteRef/>
      </w:r>
      <w:r>
        <w:t xml:space="preserve"> Electrical transmission and distribution losses associated with power supply from the electrical 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7A" w:rsidRDefault="00962D7A" w:rsidP="009611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2D7A" w:rsidRDefault="00962D7A" w:rsidP="0082285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7A" w:rsidRDefault="00962D7A" w:rsidP="003B560A">
    <w:pPr>
      <w:tabs>
        <w:tab w:val="right" w:pos="9360"/>
      </w:tabs>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4F26647"/>
    <w:multiLevelType w:val="hybridMultilevel"/>
    <w:tmpl w:val="677A0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26FEE"/>
    <w:multiLevelType w:val="hybridMultilevel"/>
    <w:tmpl w:val="AB52F042"/>
    <w:lvl w:ilvl="0" w:tplc="41D4F676">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7552D8"/>
    <w:multiLevelType w:val="hybridMultilevel"/>
    <w:tmpl w:val="B98CD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D6516"/>
    <w:multiLevelType w:val="hybridMultilevel"/>
    <w:tmpl w:val="B2D4DE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9B90910"/>
    <w:multiLevelType w:val="hybridMultilevel"/>
    <w:tmpl w:val="DA8835C4"/>
    <w:lvl w:ilvl="0" w:tplc="14A8CB0A">
      <w:start w:val="2"/>
      <w:numFmt w:val="decimal"/>
      <w:lvlText w:val="%1."/>
      <w:lvlJc w:val="left"/>
      <w:pPr>
        <w:ind w:hanging="360"/>
      </w:pPr>
      <w:rPr>
        <w:rFonts w:ascii="Arial" w:eastAsia="Arial" w:hAnsi="Arial" w:hint="default"/>
        <w:spacing w:val="-6"/>
        <w:w w:val="99"/>
        <w:sz w:val="20"/>
        <w:szCs w:val="20"/>
      </w:rPr>
    </w:lvl>
    <w:lvl w:ilvl="1" w:tplc="CBEA5AAA">
      <w:start w:val="1"/>
      <w:numFmt w:val="bullet"/>
      <w:lvlText w:val="•"/>
      <w:lvlJc w:val="left"/>
      <w:rPr>
        <w:rFonts w:hint="default"/>
      </w:rPr>
    </w:lvl>
    <w:lvl w:ilvl="2" w:tplc="8E46996A">
      <w:start w:val="1"/>
      <w:numFmt w:val="bullet"/>
      <w:lvlText w:val="•"/>
      <w:lvlJc w:val="left"/>
      <w:rPr>
        <w:rFonts w:hint="default"/>
      </w:rPr>
    </w:lvl>
    <w:lvl w:ilvl="3" w:tplc="232C9B6A">
      <w:start w:val="1"/>
      <w:numFmt w:val="bullet"/>
      <w:lvlText w:val="•"/>
      <w:lvlJc w:val="left"/>
      <w:rPr>
        <w:rFonts w:hint="default"/>
      </w:rPr>
    </w:lvl>
    <w:lvl w:ilvl="4" w:tplc="BAB085F6">
      <w:start w:val="1"/>
      <w:numFmt w:val="bullet"/>
      <w:lvlText w:val="•"/>
      <w:lvlJc w:val="left"/>
      <w:rPr>
        <w:rFonts w:hint="default"/>
      </w:rPr>
    </w:lvl>
    <w:lvl w:ilvl="5" w:tplc="9F3683D6">
      <w:start w:val="1"/>
      <w:numFmt w:val="bullet"/>
      <w:lvlText w:val="•"/>
      <w:lvlJc w:val="left"/>
      <w:rPr>
        <w:rFonts w:hint="default"/>
      </w:rPr>
    </w:lvl>
    <w:lvl w:ilvl="6" w:tplc="53065CDA">
      <w:start w:val="1"/>
      <w:numFmt w:val="bullet"/>
      <w:lvlText w:val="•"/>
      <w:lvlJc w:val="left"/>
      <w:rPr>
        <w:rFonts w:hint="default"/>
      </w:rPr>
    </w:lvl>
    <w:lvl w:ilvl="7" w:tplc="87B226A6">
      <w:start w:val="1"/>
      <w:numFmt w:val="bullet"/>
      <w:lvlText w:val="•"/>
      <w:lvlJc w:val="left"/>
      <w:rPr>
        <w:rFonts w:hint="default"/>
      </w:rPr>
    </w:lvl>
    <w:lvl w:ilvl="8" w:tplc="F8FA3C12">
      <w:start w:val="1"/>
      <w:numFmt w:val="bullet"/>
      <w:lvlText w:val="•"/>
      <w:lvlJc w:val="left"/>
      <w:rPr>
        <w:rFonts w:hint="default"/>
      </w:rPr>
    </w:lvl>
  </w:abstractNum>
  <w:abstractNum w:abstractNumId="6" w15:restartNumberingAfterBreak="0">
    <w:nsid w:val="21A905E1"/>
    <w:multiLevelType w:val="multilevel"/>
    <w:tmpl w:val="7E062CC4"/>
    <w:lvl w:ilvl="0">
      <w:start w:val="6"/>
      <w:numFmt w:val="decimal"/>
      <w:lvlText w:val="%1"/>
      <w:lvlJc w:val="left"/>
      <w:pPr>
        <w:ind w:hanging="380"/>
      </w:pPr>
      <w:rPr>
        <w:rFonts w:hint="default"/>
      </w:rPr>
    </w:lvl>
    <w:lvl w:ilvl="1">
      <w:start w:val="1"/>
      <w:numFmt w:val="decimal"/>
      <w:lvlText w:val="%1.%2"/>
      <w:lvlJc w:val="left"/>
      <w:pPr>
        <w:ind w:hanging="380"/>
      </w:pPr>
      <w:rPr>
        <w:rFonts w:ascii="Arial Black" w:eastAsia="Arial Black" w:hAnsi="Arial Black" w:hint="default"/>
        <w:b/>
        <w:bCs/>
        <w:spacing w:val="-16"/>
        <w:sz w:val="22"/>
        <w:szCs w:val="22"/>
      </w:rPr>
    </w:lvl>
    <w:lvl w:ilvl="2">
      <w:start w:val="1"/>
      <w:numFmt w:val="decimal"/>
      <w:lvlText w:val="%1.%2.%3"/>
      <w:lvlJc w:val="left"/>
      <w:pPr>
        <w:ind w:hanging="540"/>
      </w:pPr>
      <w:rPr>
        <w:rFonts w:ascii="Arial Black" w:eastAsia="Arial Black" w:hAnsi="Arial Black" w:hint="default"/>
        <w:b/>
        <w:bCs/>
        <w:spacing w:val="-11"/>
        <w:w w:val="99"/>
        <w:sz w:val="20"/>
        <w:szCs w:val="20"/>
      </w:rPr>
    </w:lvl>
    <w:lvl w:ilvl="3">
      <w:start w:val="1"/>
      <w:numFmt w:val="decimal"/>
      <w:lvlText w:val="%4."/>
      <w:lvlJc w:val="left"/>
      <w:pPr>
        <w:ind w:hanging="360"/>
      </w:pPr>
      <w:rPr>
        <w:rFonts w:ascii="Arial" w:eastAsia="Arial" w:hAnsi="Arial" w:hint="default"/>
        <w:spacing w:val="-6"/>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22ED29B8"/>
    <w:multiLevelType w:val="hybridMultilevel"/>
    <w:tmpl w:val="8716D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470D16"/>
    <w:multiLevelType w:val="hybridMultilevel"/>
    <w:tmpl w:val="62CA51B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28B14980"/>
    <w:multiLevelType w:val="multilevel"/>
    <w:tmpl w:val="B8CCF372"/>
    <w:lvl w:ilvl="0">
      <w:start w:val="7"/>
      <w:numFmt w:val="decimal"/>
      <w:lvlText w:val="%1"/>
      <w:lvlJc w:val="left"/>
      <w:pPr>
        <w:ind w:hanging="380"/>
      </w:pPr>
      <w:rPr>
        <w:rFonts w:hint="default"/>
      </w:rPr>
    </w:lvl>
    <w:lvl w:ilvl="1">
      <w:start w:val="1"/>
      <w:numFmt w:val="decimal"/>
      <w:lvlText w:val="%1.%2"/>
      <w:lvlJc w:val="left"/>
      <w:pPr>
        <w:ind w:hanging="380"/>
        <w:jc w:val="right"/>
      </w:pPr>
      <w:rPr>
        <w:rFonts w:ascii="Arial Black" w:eastAsia="Arial Black" w:hAnsi="Arial Black" w:hint="default"/>
        <w:b/>
        <w:bCs/>
        <w:spacing w:val="-16"/>
        <w:sz w:val="22"/>
        <w:szCs w:val="22"/>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2D5E1DCC"/>
    <w:multiLevelType w:val="hybridMultilevel"/>
    <w:tmpl w:val="B08EA7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C1F3798"/>
    <w:multiLevelType w:val="hybridMultilevel"/>
    <w:tmpl w:val="E520A33C"/>
    <w:lvl w:ilvl="0" w:tplc="9F2CDE18">
      <w:start w:val="1"/>
      <w:numFmt w:val="decimal"/>
      <w:lvlText w:val="%1."/>
      <w:lvlJc w:val="left"/>
      <w:pPr>
        <w:ind w:hanging="360"/>
      </w:pPr>
      <w:rPr>
        <w:rFonts w:ascii="Times New Roman" w:eastAsia="Times New Roman" w:hAnsi="Times New Roman" w:hint="default"/>
        <w:spacing w:val="-4"/>
        <w:w w:val="99"/>
        <w:sz w:val="20"/>
        <w:szCs w:val="20"/>
      </w:rPr>
    </w:lvl>
    <w:lvl w:ilvl="1" w:tplc="FABEFB0C">
      <w:start w:val="1"/>
      <w:numFmt w:val="bullet"/>
      <w:lvlText w:val="•"/>
      <w:lvlJc w:val="left"/>
      <w:pPr>
        <w:ind w:hanging="360"/>
      </w:pPr>
      <w:rPr>
        <w:rFonts w:ascii="Arial" w:eastAsia="Arial" w:hAnsi="Arial" w:hint="default"/>
        <w:w w:val="130"/>
        <w:sz w:val="20"/>
        <w:szCs w:val="20"/>
      </w:rPr>
    </w:lvl>
    <w:lvl w:ilvl="2" w:tplc="8684D78A">
      <w:start w:val="1"/>
      <w:numFmt w:val="bullet"/>
      <w:lvlText w:val="•"/>
      <w:lvlJc w:val="left"/>
      <w:rPr>
        <w:rFonts w:hint="default"/>
      </w:rPr>
    </w:lvl>
    <w:lvl w:ilvl="3" w:tplc="49F23BCA">
      <w:start w:val="1"/>
      <w:numFmt w:val="bullet"/>
      <w:lvlText w:val="•"/>
      <w:lvlJc w:val="left"/>
      <w:rPr>
        <w:rFonts w:hint="default"/>
      </w:rPr>
    </w:lvl>
    <w:lvl w:ilvl="4" w:tplc="31A29642">
      <w:start w:val="1"/>
      <w:numFmt w:val="bullet"/>
      <w:lvlText w:val="•"/>
      <w:lvlJc w:val="left"/>
      <w:rPr>
        <w:rFonts w:hint="default"/>
      </w:rPr>
    </w:lvl>
    <w:lvl w:ilvl="5" w:tplc="0218BD1C">
      <w:start w:val="1"/>
      <w:numFmt w:val="bullet"/>
      <w:lvlText w:val="•"/>
      <w:lvlJc w:val="left"/>
      <w:rPr>
        <w:rFonts w:hint="default"/>
      </w:rPr>
    </w:lvl>
    <w:lvl w:ilvl="6" w:tplc="8892BFC6">
      <w:start w:val="1"/>
      <w:numFmt w:val="bullet"/>
      <w:lvlText w:val="•"/>
      <w:lvlJc w:val="left"/>
      <w:rPr>
        <w:rFonts w:hint="default"/>
      </w:rPr>
    </w:lvl>
    <w:lvl w:ilvl="7" w:tplc="888E109E">
      <w:start w:val="1"/>
      <w:numFmt w:val="bullet"/>
      <w:lvlText w:val="•"/>
      <w:lvlJc w:val="left"/>
      <w:rPr>
        <w:rFonts w:hint="default"/>
      </w:rPr>
    </w:lvl>
    <w:lvl w:ilvl="8" w:tplc="E3060C12">
      <w:start w:val="1"/>
      <w:numFmt w:val="bullet"/>
      <w:lvlText w:val="•"/>
      <w:lvlJc w:val="left"/>
      <w:rPr>
        <w:rFonts w:hint="default"/>
      </w:rPr>
    </w:lvl>
  </w:abstractNum>
  <w:abstractNum w:abstractNumId="12" w15:restartNumberingAfterBreak="0">
    <w:nsid w:val="3EF3417A"/>
    <w:multiLevelType w:val="hybridMultilevel"/>
    <w:tmpl w:val="634A9C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9DC4ABF"/>
    <w:multiLevelType w:val="hybridMultilevel"/>
    <w:tmpl w:val="FE964A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5" w15:restartNumberingAfterBreak="0">
    <w:nsid w:val="50A17F16"/>
    <w:multiLevelType w:val="multilevel"/>
    <w:tmpl w:val="02745932"/>
    <w:lvl w:ilvl="0">
      <w:start w:val="7"/>
      <w:numFmt w:val="decimal"/>
      <w:lvlText w:val="%1"/>
      <w:lvlJc w:val="left"/>
      <w:pPr>
        <w:ind w:hanging="663"/>
      </w:pPr>
      <w:rPr>
        <w:rFonts w:hint="default"/>
      </w:rPr>
    </w:lvl>
    <w:lvl w:ilvl="1">
      <w:start w:val="13"/>
      <w:numFmt w:val="decimal"/>
      <w:lvlText w:val="%1.%2"/>
      <w:lvlJc w:val="left"/>
      <w:pPr>
        <w:ind w:hanging="663"/>
      </w:pPr>
      <w:rPr>
        <w:rFonts w:hint="default"/>
      </w:rPr>
    </w:lvl>
    <w:lvl w:ilvl="2">
      <w:start w:val="1"/>
      <w:numFmt w:val="decimal"/>
      <w:lvlText w:val="%1.%2.%3"/>
      <w:lvlJc w:val="left"/>
      <w:pPr>
        <w:ind w:hanging="663"/>
        <w:jc w:val="right"/>
      </w:pPr>
      <w:rPr>
        <w:rFonts w:ascii="Arial Black" w:eastAsia="Arial Black" w:hAnsi="Arial Black" w:hint="default"/>
        <w:b/>
        <w:bCs/>
        <w:spacing w:val="-1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7" w15:restartNumberingAfterBreak="0">
    <w:nsid w:val="651A5018"/>
    <w:multiLevelType w:val="multilevel"/>
    <w:tmpl w:val="44607EA2"/>
    <w:lvl w:ilvl="0">
      <w:start w:val="6"/>
      <w:numFmt w:val="decimal"/>
      <w:lvlText w:val="%1"/>
      <w:lvlJc w:val="left"/>
      <w:pPr>
        <w:ind w:hanging="313"/>
      </w:pPr>
      <w:rPr>
        <w:rFonts w:hint="default"/>
      </w:rPr>
    </w:lvl>
    <w:lvl w:ilvl="1">
      <w:start w:val="1"/>
      <w:numFmt w:val="decimal"/>
      <w:lvlText w:val="%1.%2"/>
      <w:lvlJc w:val="left"/>
      <w:pPr>
        <w:ind w:hanging="313"/>
      </w:pPr>
      <w:rPr>
        <w:rFonts w:ascii="Calibri" w:eastAsia="Calibri" w:hAnsi="Calibri" w:hint="default"/>
        <w:b/>
        <w:bCs/>
        <w:spacing w:val="-4"/>
        <w:sz w:val="22"/>
        <w:szCs w:val="22"/>
      </w:rPr>
    </w:lvl>
    <w:lvl w:ilvl="2">
      <w:start w:val="1"/>
      <w:numFmt w:val="decimal"/>
      <w:lvlText w:val="%1.%2.%3"/>
      <w:lvlJc w:val="left"/>
      <w:pPr>
        <w:ind w:hanging="392"/>
      </w:pPr>
      <w:rPr>
        <w:rFonts w:ascii="Calibri" w:eastAsia="Calibri" w:hAnsi="Calibri" w:hint="default"/>
        <w:spacing w:val="-10"/>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67FF7D7C"/>
    <w:multiLevelType w:val="hybridMultilevel"/>
    <w:tmpl w:val="70FC0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11542F"/>
    <w:multiLevelType w:val="hybridMultilevel"/>
    <w:tmpl w:val="B4EC4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30B4000"/>
    <w:multiLevelType w:val="multilevel"/>
    <w:tmpl w:val="7F2EA8C4"/>
    <w:lvl w:ilvl="0">
      <w:start w:val="7"/>
      <w:numFmt w:val="decimal"/>
      <w:lvlText w:val="%1"/>
      <w:lvlJc w:val="left"/>
      <w:pPr>
        <w:ind w:hanging="313"/>
      </w:pPr>
      <w:rPr>
        <w:rFonts w:hint="default"/>
      </w:rPr>
    </w:lvl>
    <w:lvl w:ilvl="1">
      <w:start w:val="1"/>
      <w:numFmt w:val="decimal"/>
      <w:lvlText w:val="%1.%2"/>
      <w:lvlJc w:val="left"/>
      <w:pPr>
        <w:ind w:hanging="313"/>
      </w:pPr>
      <w:rPr>
        <w:rFonts w:ascii="Calibri" w:eastAsia="Calibri" w:hAnsi="Calibri" w:hint="default"/>
        <w:b/>
        <w:bCs/>
        <w:spacing w:val="-4"/>
        <w:sz w:val="22"/>
        <w:szCs w:val="22"/>
      </w:rPr>
    </w:lvl>
    <w:lvl w:ilvl="2">
      <w:start w:val="1"/>
      <w:numFmt w:val="decimal"/>
      <w:lvlText w:val="%1.%2.%3"/>
      <w:lvlJc w:val="left"/>
      <w:pPr>
        <w:ind w:hanging="483"/>
      </w:pPr>
      <w:rPr>
        <w:rFonts w:ascii="Calibri" w:eastAsia="Calibri" w:hAnsi="Calibri" w:hint="default"/>
        <w:spacing w:val="-10"/>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7C5632B3"/>
    <w:multiLevelType w:val="hybridMultilevel"/>
    <w:tmpl w:val="6FA6BEE8"/>
    <w:lvl w:ilvl="0" w:tplc="4F0E35FE">
      <w:start w:val="1"/>
      <w:numFmt w:val="bullet"/>
      <w:lvlText w:val="•"/>
      <w:lvlJc w:val="left"/>
      <w:pPr>
        <w:ind w:hanging="360"/>
      </w:pPr>
      <w:rPr>
        <w:rFonts w:ascii="Arial" w:eastAsia="Arial" w:hAnsi="Arial" w:hint="default"/>
        <w:w w:val="131"/>
        <w:sz w:val="24"/>
        <w:szCs w:val="24"/>
      </w:rPr>
    </w:lvl>
    <w:lvl w:ilvl="1" w:tplc="CE4EFB20">
      <w:start w:val="1"/>
      <w:numFmt w:val="bullet"/>
      <w:lvlText w:val="•"/>
      <w:lvlJc w:val="left"/>
      <w:rPr>
        <w:rFonts w:hint="default"/>
      </w:rPr>
    </w:lvl>
    <w:lvl w:ilvl="2" w:tplc="C1CC5F08">
      <w:start w:val="1"/>
      <w:numFmt w:val="bullet"/>
      <w:lvlText w:val="•"/>
      <w:lvlJc w:val="left"/>
      <w:rPr>
        <w:rFonts w:hint="default"/>
      </w:rPr>
    </w:lvl>
    <w:lvl w:ilvl="3" w:tplc="1B3E6AE2">
      <w:start w:val="1"/>
      <w:numFmt w:val="bullet"/>
      <w:lvlText w:val="•"/>
      <w:lvlJc w:val="left"/>
      <w:rPr>
        <w:rFonts w:hint="default"/>
      </w:rPr>
    </w:lvl>
    <w:lvl w:ilvl="4" w:tplc="BD18B09C">
      <w:start w:val="1"/>
      <w:numFmt w:val="bullet"/>
      <w:lvlText w:val="•"/>
      <w:lvlJc w:val="left"/>
      <w:rPr>
        <w:rFonts w:hint="default"/>
      </w:rPr>
    </w:lvl>
    <w:lvl w:ilvl="5" w:tplc="D01434E6">
      <w:start w:val="1"/>
      <w:numFmt w:val="bullet"/>
      <w:lvlText w:val="•"/>
      <w:lvlJc w:val="left"/>
      <w:rPr>
        <w:rFonts w:hint="default"/>
      </w:rPr>
    </w:lvl>
    <w:lvl w:ilvl="6" w:tplc="B5504100">
      <w:start w:val="1"/>
      <w:numFmt w:val="bullet"/>
      <w:lvlText w:val="•"/>
      <w:lvlJc w:val="left"/>
      <w:rPr>
        <w:rFonts w:hint="default"/>
      </w:rPr>
    </w:lvl>
    <w:lvl w:ilvl="7" w:tplc="FE92E12A">
      <w:start w:val="1"/>
      <w:numFmt w:val="bullet"/>
      <w:lvlText w:val="•"/>
      <w:lvlJc w:val="left"/>
      <w:rPr>
        <w:rFonts w:hint="default"/>
      </w:rPr>
    </w:lvl>
    <w:lvl w:ilvl="8" w:tplc="91340692">
      <w:start w:val="1"/>
      <w:numFmt w:val="bullet"/>
      <w:lvlText w:val="•"/>
      <w:lvlJc w:val="left"/>
      <w:rPr>
        <w:rFonts w:hint="default"/>
      </w:rPr>
    </w:lvl>
  </w:abstractNum>
  <w:abstractNum w:abstractNumId="22" w15:restartNumberingAfterBreak="0">
    <w:nsid w:val="7F053836"/>
    <w:multiLevelType w:val="multilevel"/>
    <w:tmpl w:val="0C4881E2"/>
    <w:lvl w:ilvl="0">
      <w:start w:val="7"/>
      <w:numFmt w:val="decimal"/>
      <w:lvlText w:val="%1"/>
      <w:lvlJc w:val="left"/>
      <w:pPr>
        <w:ind w:hanging="514"/>
      </w:pPr>
      <w:rPr>
        <w:rFonts w:hint="default"/>
      </w:rPr>
    </w:lvl>
    <w:lvl w:ilvl="1">
      <w:start w:val="14"/>
      <w:numFmt w:val="decimal"/>
      <w:lvlText w:val="%1.%2"/>
      <w:lvlJc w:val="left"/>
      <w:pPr>
        <w:ind w:hanging="514"/>
        <w:jc w:val="right"/>
      </w:pPr>
      <w:rPr>
        <w:rFonts w:ascii="Arial Black" w:eastAsia="Arial Black" w:hAnsi="Arial Black" w:hint="default"/>
        <w:b/>
        <w:bCs/>
        <w:spacing w:val="-16"/>
        <w:sz w:val="22"/>
        <w:szCs w:val="22"/>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14"/>
  </w:num>
  <w:num w:numId="3">
    <w:abstractNumId w:val="16"/>
  </w:num>
  <w:num w:numId="4">
    <w:abstractNumId w:val="2"/>
  </w:num>
  <w:num w:numId="5">
    <w:abstractNumId w:val="3"/>
  </w:num>
  <w:num w:numId="6">
    <w:abstractNumId w:val="4"/>
  </w:num>
  <w:num w:numId="7">
    <w:abstractNumId w:val="10"/>
  </w:num>
  <w:num w:numId="8">
    <w:abstractNumId w:val="12"/>
  </w:num>
  <w:num w:numId="9">
    <w:abstractNumId w:val="8"/>
  </w:num>
  <w:num w:numId="10">
    <w:abstractNumId w:val="19"/>
  </w:num>
  <w:num w:numId="11">
    <w:abstractNumId w:val="7"/>
  </w:num>
  <w:num w:numId="12">
    <w:abstractNumId w:val="13"/>
  </w:num>
  <w:num w:numId="13">
    <w:abstractNumId w:val="18"/>
  </w:num>
  <w:num w:numId="14">
    <w:abstractNumId w:val="1"/>
  </w:num>
  <w:num w:numId="15">
    <w:abstractNumId w:val="22"/>
  </w:num>
  <w:num w:numId="16">
    <w:abstractNumId w:val="15"/>
  </w:num>
  <w:num w:numId="17">
    <w:abstractNumId w:val="5"/>
  </w:num>
  <w:num w:numId="18">
    <w:abstractNumId w:val="21"/>
  </w:num>
  <w:num w:numId="19">
    <w:abstractNumId w:val="11"/>
  </w:num>
  <w:num w:numId="20">
    <w:abstractNumId w:val="9"/>
  </w:num>
  <w:num w:numId="21">
    <w:abstractNumId w:val="6"/>
  </w:num>
  <w:num w:numId="22">
    <w:abstractNumId w:val="20"/>
  </w:num>
  <w:num w:numId="2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632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0F"/>
    <w:rsid w:val="00005845"/>
    <w:rsid w:val="0000619F"/>
    <w:rsid w:val="00006910"/>
    <w:rsid w:val="00007ED0"/>
    <w:rsid w:val="00015245"/>
    <w:rsid w:val="00031E2A"/>
    <w:rsid w:val="00035576"/>
    <w:rsid w:val="000355DE"/>
    <w:rsid w:val="00035D5A"/>
    <w:rsid w:val="000368D1"/>
    <w:rsid w:val="00040272"/>
    <w:rsid w:val="00040355"/>
    <w:rsid w:val="00043036"/>
    <w:rsid w:val="00050BA7"/>
    <w:rsid w:val="000512B1"/>
    <w:rsid w:val="00051824"/>
    <w:rsid w:val="00053D10"/>
    <w:rsid w:val="0005739D"/>
    <w:rsid w:val="00060A8C"/>
    <w:rsid w:val="000670E3"/>
    <w:rsid w:val="000707A5"/>
    <w:rsid w:val="0007599A"/>
    <w:rsid w:val="00077456"/>
    <w:rsid w:val="000777B2"/>
    <w:rsid w:val="00081C3C"/>
    <w:rsid w:val="00082C19"/>
    <w:rsid w:val="000869F7"/>
    <w:rsid w:val="0009054F"/>
    <w:rsid w:val="000935D5"/>
    <w:rsid w:val="00095F8B"/>
    <w:rsid w:val="000A004A"/>
    <w:rsid w:val="000A1902"/>
    <w:rsid w:val="000A3192"/>
    <w:rsid w:val="000A34DA"/>
    <w:rsid w:val="000A5894"/>
    <w:rsid w:val="000B1198"/>
    <w:rsid w:val="000C127B"/>
    <w:rsid w:val="000C12E8"/>
    <w:rsid w:val="000C3633"/>
    <w:rsid w:val="000C4E45"/>
    <w:rsid w:val="000C59B1"/>
    <w:rsid w:val="000C681F"/>
    <w:rsid w:val="000D19DD"/>
    <w:rsid w:val="000E0E57"/>
    <w:rsid w:val="000E53DD"/>
    <w:rsid w:val="000F0285"/>
    <w:rsid w:val="000F20DA"/>
    <w:rsid w:val="000F44B5"/>
    <w:rsid w:val="000F597D"/>
    <w:rsid w:val="000F705E"/>
    <w:rsid w:val="00101958"/>
    <w:rsid w:val="0010308C"/>
    <w:rsid w:val="0011297E"/>
    <w:rsid w:val="00113770"/>
    <w:rsid w:val="00113AAF"/>
    <w:rsid w:val="00115917"/>
    <w:rsid w:val="00115D3C"/>
    <w:rsid w:val="001205F2"/>
    <w:rsid w:val="00121342"/>
    <w:rsid w:val="00122596"/>
    <w:rsid w:val="00124F7B"/>
    <w:rsid w:val="001265C4"/>
    <w:rsid w:val="001277D0"/>
    <w:rsid w:val="00134137"/>
    <w:rsid w:val="00134E9C"/>
    <w:rsid w:val="00137917"/>
    <w:rsid w:val="00137C8D"/>
    <w:rsid w:val="001402E3"/>
    <w:rsid w:val="00143B20"/>
    <w:rsid w:val="001443C9"/>
    <w:rsid w:val="001446AA"/>
    <w:rsid w:val="001469D8"/>
    <w:rsid w:val="00146AB4"/>
    <w:rsid w:val="00146C1B"/>
    <w:rsid w:val="00155A0B"/>
    <w:rsid w:val="00160884"/>
    <w:rsid w:val="0016104C"/>
    <w:rsid w:val="00162BF2"/>
    <w:rsid w:val="00164B6D"/>
    <w:rsid w:val="00164B9D"/>
    <w:rsid w:val="001658FA"/>
    <w:rsid w:val="00167D54"/>
    <w:rsid w:val="00172AF7"/>
    <w:rsid w:val="00175612"/>
    <w:rsid w:val="001779AB"/>
    <w:rsid w:val="001817BF"/>
    <w:rsid w:val="00182652"/>
    <w:rsid w:val="00182FFA"/>
    <w:rsid w:val="0018325B"/>
    <w:rsid w:val="00183815"/>
    <w:rsid w:val="00191BF7"/>
    <w:rsid w:val="00194C6B"/>
    <w:rsid w:val="0019559D"/>
    <w:rsid w:val="00197C47"/>
    <w:rsid w:val="001A0B4C"/>
    <w:rsid w:val="001A2802"/>
    <w:rsid w:val="001A52E1"/>
    <w:rsid w:val="001B31DB"/>
    <w:rsid w:val="001B710E"/>
    <w:rsid w:val="001B7FA3"/>
    <w:rsid w:val="001C3443"/>
    <w:rsid w:val="001C4274"/>
    <w:rsid w:val="001C463A"/>
    <w:rsid w:val="001C627D"/>
    <w:rsid w:val="001D20F7"/>
    <w:rsid w:val="001D5B79"/>
    <w:rsid w:val="001E1E4E"/>
    <w:rsid w:val="001E2111"/>
    <w:rsid w:val="001E2DD7"/>
    <w:rsid w:val="001E2E56"/>
    <w:rsid w:val="001E46D9"/>
    <w:rsid w:val="001E608A"/>
    <w:rsid w:val="001E6A62"/>
    <w:rsid w:val="001E6B52"/>
    <w:rsid w:val="001E700E"/>
    <w:rsid w:val="001E7F0A"/>
    <w:rsid w:val="001F3160"/>
    <w:rsid w:val="001F50BC"/>
    <w:rsid w:val="001F72FA"/>
    <w:rsid w:val="00203A68"/>
    <w:rsid w:val="00205324"/>
    <w:rsid w:val="002202FA"/>
    <w:rsid w:val="002208F6"/>
    <w:rsid w:val="00221602"/>
    <w:rsid w:val="002222C5"/>
    <w:rsid w:val="0022430D"/>
    <w:rsid w:val="002262C8"/>
    <w:rsid w:val="00226C9A"/>
    <w:rsid w:val="0023138F"/>
    <w:rsid w:val="0023180A"/>
    <w:rsid w:val="002325F0"/>
    <w:rsid w:val="00235DEA"/>
    <w:rsid w:val="00242C02"/>
    <w:rsid w:val="00243BEE"/>
    <w:rsid w:val="002455F3"/>
    <w:rsid w:val="00250C2B"/>
    <w:rsid w:val="00252B5D"/>
    <w:rsid w:val="00252CA5"/>
    <w:rsid w:val="00255248"/>
    <w:rsid w:val="00256566"/>
    <w:rsid w:val="0025688A"/>
    <w:rsid w:val="00270264"/>
    <w:rsid w:val="00270998"/>
    <w:rsid w:val="00271B90"/>
    <w:rsid w:val="00273B40"/>
    <w:rsid w:val="00274733"/>
    <w:rsid w:val="002818BE"/>
    <w:rsid w:val="002822D5"/>
    <w:rsid w:val="00282DA5"/>
    <w:rsid w:val="00283778"/>
    <w:rsid w:val="00291D82"/>
    <w:rsid w:val="0029394F"/>
    <w:rsid w:val="00296529"/>
    <w:rsid w:val="002966DB"/>
    <w:rsid w:val="002975F8"/>
    <w:rsid w:val="002A035B"/>
    <w:rsid w:val="002A1B0A"/>
    <w:rsid w:val="002A42A1"/>
    <w:rsid w:val="002A484A"/>
    <w:rsid w:val="002B3459"/>
    <w:rsid w:val="002B548F"/>
    <w:rsid w:val="002B7AA4"/>
    <w:rsid w:val="002C0C53"/>
    <w:rsid w:val="002C6669"/>
    <w:rsid w:val="002C6BED"/>
    <w:rsid w:val="002C6D3F"/>
    <w:rsid w:val="002C7640"/>
    <w:rsid w:val="002E0A48"/>
    <w:rsid w:val="002E2D83"/>
    <w:rsid w:val="002E39DA"/>
    <w:rsid w:val="002E39E8"/>
    <w:rsid w:val="002F3238"/>
    <w:rsid w:val="0030095D"/>
    <w:rsid w:val="003044E6"/>
    <w:rsid w:val="00305B7F"/>
    <w:rsid w:val="00311C68"/>
    <w:rsid w:val="0031598D"/>
    <w:rsid w:val="00316807"/>
    <w:rsid w:val="0031699A"/>
    <w:rsid w:val="00320F51"/>
    <w:rsid w:val="00322FEF"/>
    <w:rsid w:val="003273B2"/>
    <w:rsid w:val="00335ABD"/>
    <w:rsid w:val="00346F9B"/>
    <w:rsid w:val="0036456D"/>
    <w:rsid w:val="00365621"/>
    <w:rsid w:val="00365FF4"/>
    <w:rsid w:val="003716C8"/>
    <w:rsid w:val="00372C33"/>
    <w:rsid w:val="00373813"/>
    <w:rsid w:val="00376B22"/>
    <w:rsid w:val="00377B8C"/>
    <w:rsid w:val="003806EA"/>
    <w:rsid w:val="0038152F"/>
    <w:rsid w:val="00381ACF"/>
    <w:rsid w:val="00382943"/>
    <w:rsid w:val="00394319"/>
    <w:rsid w:val="003A0387"/>
    <w:rsid w:val="003A0755"/>
    <w:rsid w:val="003A1336"/>
    <w:rsid w:val="003A1522"/>
    <w:rsid w:val="003A2DF8"/>
    <w:rsid w:val="003A5537"/>
    <w:rsid w:val="003A67D5"/>
    <w:rsid w:val="003A6948"/>
    <w:rsid w:val="003A7B52"/>
    <w:rsid w:val="003B22D3"/>
    <w:rsid w:val="003B560A"/>
    <w:rsid w:val="003B6DA7"/>
    <w:rsid w:val="003C0F5A"/>
    <w:rsid w:val="003C2953"/>
    <w:rsid w:val="003C2E31"/>
    <w:rsid w:val="003D0E1A"/>
    <w:rsid w:val="003D2657"/>
    <w:rsid w:val="003D2941"/>
    <w:rsid w:val="003D3AD6"/>
    <w:rsid w:val="003D44F6"/>
    <w:rsid w:val="003E0104"/>
    <w:rsid w:val="003E3164"/>
    <w:rsid w:val="003E3BBF"/>
    <w:rsid w:val="003E42D0"/>
    <w:rsid w:val="003E5284"/>
    <w:rsid w:val="003E5BA3"/>
    <w:rsid w:val="003F0438"/>
    <w:rsid w:val="003F19E7"/>
    <w:rsid w:val="00400602"/>
    <w:rsid w:val="0040173C"/>
    <w:rsid w:val="00402730"/>
    <w:rsid w:val="00404648"/>
    <w:rsid w:val="00406173"/>
    <w:rsid w:val="00406CAD"/>
    <w:rsid w:val="00412883"/>
    <w:rsid w:val="0041388D"/>
    <w:rsid w:val="00417E61"/>
    <w:rsid w:val="00421F28"/>
    <w:rsid w:val="00423F7B"/>
    <w:rsid w:val="0042575A"/>
    <w:rsid w:val="00430003"/>
    <w:rsid w:val="00431DF3"/>
    <w:rsid w:val="00432764"/>
    <w:rsid w:val="0043442D"/>
    <w:rsid w:val="00434D05"/>
    <w:rsid w:val="004377C3"/>
    <w:rsid w:val="004433EC"/>
    <w:rsid w:val="00443D09"/>
    <w:rsid w:val="00444627"/>
    <w:rsid w:val="00456F43"/>
    <w:rsid w:val="00457E4F"/>
    <w:rsid w:val="0046111D"/>
    <w:rsid w:val="004622C8"/>
    <w:rsid w:val="00464EB4"/>
    <w:rsid w:val="004660B0"/>
    <w:rsid w:val="004668DD"/>
    <w:rsid w:val="00471E87"/>
    <w:rsid w:val="004745BE"/>
    <w:rsid w:val="00480B8C"/>
    <w:rsid w:val="00481985"/>
    <w:rsid w:val="004831C7"/>
    <w:rsid w:val="0048521D"/>
    <w:rsid w:val="004856B7"/>
    <w:rsid w:val="00487ABA"/>
    <w:rsid w:val="00491123"/>
    <w:rsid w:val="00492586"/>
    <w:rsid w:val="0049573F"/>
    <w:rsid w:val="004A36D3"/>
    <w:rsid w:val="004A3DF0"/>
    <w:rsid w:val="004A4691"/>
    <w:rsid w:val="004A66B4"/>
    <w:rsid w:val="004A70F3"/>
    <w:rsid w:val="004B309A"/>
    <w:rsid w:val="004B409F"/>
    <w:rsid w:val="004C08CD"/>
    <w:rsid w:val="004C4227"/>
    <w:rsid w:val="004C4ED7"/>
    <w:rsid w:val="004C7BC8"/>
    <w:rsid w:val="004C7D0C"/>
    <w:rsid w:val="004D0218"/>
    <w:rsid w:val="004D1CEB"/>
    <w:rsid w:val="004D381C"/>
    <w:rsid w:val="004D4FAB"/>
    <w:rsid w:val="004D582E"/>
    <w:rsid w:val="004D61ED"/>
    <w:rsid w:val="004D624D"/>
    <w:rsid w:val="004E0420"/>
    <w:rsid w:val="004E0478"/>
    <w:rsid w:val="004E0FD4"/>
    <w:rsid w:val="004E3A42"/>
    <w:rsid w:val="004E6008"/>
    <w:rsid w:val="004F2B2F"/>
    <w:rsid w:val="004F2EAE"/>
    <w:rsid w:val="004F5A2A"/>
    <w:rsid w:val="004F7CC5"/>
    <w:rsid w:val="004F7E5B"/>
    <w:rsid w:val="00502E65"/>
    <w:rsid w:val="00503E7D"/>
    <w:rsid w:val="005071BA"/>
    <w:rsid w:val="00514834"/>
    <w:rsid w:val="00514B2E"/>
    <w:rsid w:val="005179B6"/>
    <w:rsid w:val="0052387B"/>
    <w:rsid w:val="00526717"/>
    <w:rsid w:val="0053298B"/>
    <w:rsid w:val="00533051"/>
    <w:rsid w:val="00535E9C"/>
    <w:rsid w:val="00536BAD"/>
    <w:rsid w:val="005421BE"/>
    <w:rsid w:val="00544B23"/>
    <w:rsid w:val="00547A43"/>
    <w:rsid w:val="00555B90"/>
    <w:rsid w:val="0056374C"/>
    <w:rsid w:val="00563991"/>
    <w:rsid w:val="00565D07"/>
    <w:rsid w:val="005664D7"/>
    <w:rsid w:val="00572AB7"/>
    <w:rsid w:val="005731E9"/>
    <w:rsid w:val="00576416"/>
    <w:rsid w:val="005830C5"/>
    <w:rsid w:val="00583E93"/>
    <w:rsid w:val="005853B4"/>
    <w:rsid w:val="005871F5"/>
    <w:rsid w:val="00590B64"/>
    <w:rsid w:val="00591E14"/>
    <w:rsid w:val="00592A52"/>
    <w:rsid w:val="00593BB4"/>
    <w:rsid w:val="00593D28"/>
    <w:rsid w:val="005948F6"/>
    <w:rsid w:val="00596964"/>
    <w:rsid w:val="005A08BA"/>
    <w:rsid w:val="005A2F77"/>
    <w:rsid w:val="005A5021"/>
    <w:rsid w:val="005A562B"/>
    <w:rsid w:val="005B12CB"/>
    <w:rsid w:val="005B3704"/>
    <w:rsid w:val="005B6387"/>
    <w:rsid w:val="005C063C"/>
    <w:rsid w:val="005C27CA"/>
    <w:rsid w:val="005C73BB"/>
    <w:rsid w:val="005D1DA8"/>
    <w:rsid w:val="005D26CA"/>
    <w:rsid w:val="005D54CC"/>
    <w:rsid w:val="005D693E"/>
    <w:rsid w:val="005E2EE1"/>
    <w:rsid w:val="005E331A"/>
    <w:rsid w:val="005E3FE4"/>
    <w:rsid w:val="005E6AFB"/>
    <w:rsid w:val="005F3C1F"/>
    <w:rsid w:val="005F79F8"/>
    <w:rsid w:val="006005B9"/>
    <w:rsid w:val="0060488B"/>
    <w:rsid w:val="0061451C"/>
    <w:rsid w:val="00614BF0"/>
    <w:rsid w:val="00614F05"/>
    <w:rsid w:val="006159A1"/>
    <w:rsid w:val="0061715C"/>
    <w:rsid w:val="00617895"/>
    <w:rsid w:val="00621122"/>
    <w:rsid w:val="00621A76"/>
    <w:rsid w:val="0062343B"/>
    <w:rsid w:val="006242E8"/>
    <w:rsid w:val="00626184"/>
    <w:rsid w:val="00632DEC"/>
    <w:rsid w:val="006375CF"/>
    <w:rsid w:val="00641800"/>
    <w:rsid w:val="006477CB"/>
    <w:rsid w:val="006510F8"/>
    <w:rsid w:val="00652F3B"/>
    <w:rsid w:val="00655BB6"/>
    <w:rsid w:val="00657A99"/>
    <w:rsid w:val="00661616"/>
    <w:rsid w:val="00662CA9"/>
    <w:rsid w:val="00663934"/>
    <w:rsid w:val="00664068"/>
    <w:rsid w:val="006646F3"/>
    <w:rsid w:val="00666A57"/>
    <w:rsid w:val="00670DAA"/>
    <w:rsid w:val="00672307"/>
    <w:rsid w:val="00672A23"/>
    <w:rsid w:val="00673260"/>
    <w:rsid w:val="00673497"/>
    <w:rsid w:val="0067578E"/>
    <w:rsid w:val="0067729B"/>
    <w:rsid w:val="00677418"/>
    <w:rsid w:val="00677661"/>
    <w:rsid w:val="00677F17"/>
    <w:rsid w:val="00680122"/>
    <w:rsid w:val="00680FF8"/>
    <w:rsid w:val="006824FF"/>
    <w:rsid w:val="00683660"/>
    <w:rsid w:val="006859AD"/>
    <w:rsid w:val="00685BFD"/>
    <w:rsid w:val="006868CD"/>
    <w:rsid w:val="00687BB0"/>
    <w:rsid w:val="006934EC"/>
    <w:rsid w:val="006942B9"/>
    <w:rsid w:val="0069664D"/>
    <w:rsid w:val="00697791"/>
    <w:rsid w:val="006A20A3"/>
    <w:rsid w:val="006A6F2B"/>
    <w:rsid w:val="006A75BF"/>
    <w:rsid w:val="006B1B06"/>
    <w:rsid w:val="006B5939"/>
    <w:rsid w:val="006C460B"/>
    <w:rsid w:val="006C4989"/>
    <w:rsid w:val="006C578C"/>
    <w:rsid w:val="006D11D9"/>
    <w:rsid w:val="006D4C31"/>
    <w:rsid w:val="006E0DBA"/>
    <w:rsid w:val="006E17BC"/>
    <w:rsid w:val="006E1AE4"/>
    <w:rsid w:val="006E43A3"/>
    <w:rsid w:val="006E464D"/>
    <w:rsid w:val="006E5FBA"/>
    <w:rsid w:val="006E7831"/>
    <w:rsid w:val="006F087B"/>
    <w:rsid w:val="006F1672"/>
    <w:rsid w:val="006F195B"/>
    <w:rsid w:val="006F2EE6"/>
    <w:rsid w:val="006F6EE6"/>
    <w:rsid w:val="006F7D8D"/>
    <w:rsid w:val="00704E56"/>
    <w:rsid w:val="0070560F"/>
    <w:rsid w:val="00706FEC"/>
    <w:rsid w:val="00707549"/>
    <w:rsid w:val="007111D6"/>
    <w:rsid w:val="00711B4D"/>
    <w:rsid w:val="007164D8"/>
    <w:rsid w:val="007210DB"/>
    <w:rsid w:val="00721B68"/>
    <w:rsid w:val="00726B3E"/>
    <w:rsid w:val="00733463"/>
    <w:rsid w:val="00734F2F"/>
    <w:rsid w:val="0073645F"/>
    <w:rsid w:val="00740606"/>
    <w:rsid w:val="00741470"/>
    <w:rsid w:val="00744096"/>
    <w:rsid w:val="00744E84"/>
    <w:rsid w:val="00745067"/>
    <w:rsid w:val="00746356"/>
    <w:rsid w:val="00747F13"/>
    <w:rsid w:val="00751F52"/>
    <w:rsid w:val="00754244"/>
    <w:rsid w:val="007604F1"/>
    <w:rsid w:val="00764A6D"/>
    <w:rsid w:val="00782180"/>
    <w:rsid w:val="00785888"/>
    <w:rsid w:val="00786E36"/>
    <w:rsid w:val="007A04C8"/>
    <w:rsid w:val="007A0635"/>
    <w:rsid w:val="007A7994"/>
    <w:rsid w:val="007B175D"/>
    <w:rsid w:val="007B2890"/>
    <w:rsid w:val="007B5596"/>
    <w:rsid w:val="007C09BB"/>
    <w:rsid w:val="007C1D9A"/>
    <w:rsid w:val="007C3DF9"/>
    <w:rsid w:val="007C4E37"/>
    <w:rsid w:val="007C7092"/>
    <w:rsid w:val="007D00A5"/>
    <w:rsid w:val="007D6D9C"/>
    <w:rsid w:val="007E10B8"/>
    <w:rsid w:val="007E6716"/>
    <w:rsid w:val="007E6D99"/>
    <w:rsid w:val="007E6F9F"/>
    <w:rsid w:val="007F4232"/>
    <w:rsid w:val="007F4FD9"/>
    <w:rsid w:val="007F53B0"/>
    <w:rsid w:val="007F7DFE"/>
    <w:rsid w:val="008006F5"/>
    <w:rsid w:val="00805DF4"/>
    <w:rsid w:val="008065C7"/>
    <w:rsid w:val="00807937"/>
    <w:rsid w:val="00811F29"/>
    <w:rsid w:val="00812F35"/>
    <w:rsid w:val="008145FF"/>
    <w:rsid w:val="008169EF"/>
    <w:rsid w:val="00817A2C"/>
    <w:rsid w:val="00821AE8"/>
    <w:rsid w:val="00822851"/>
    <w:rsid w:val="00823C37"/>
    <w:rsid w:val="008276A3"/>
    <w:rsid w:val="00827C12"/>
    <w:rsid w:val="008301E3"/>
    <w:rsid w:val="00830225"/>
    <w:rsid w:val="00831EAA"/>
    <w:rsid w:val="00833BB6"/>
    <w:rsid w:val="00834E6E"/>
    <w:rsid w:val="0084174D"/>
    <w:rsid w:val="00841B0F"/>
    <w:rsid w:val="00841EA1"/>
    <w:rsid w:val="00850982"/>
    <w:rsid w:val="008521C2"/>
    <w:rsid w:val="00852E5F"/>
    <w:rsid w:val="00853AB2"/>
    <w:rsid w:val="0086157D"/>
    <w:rsid w:val="008616FA"/>
    <w:rsid w:val="00866453"/>
    <w:rsid w:val="0087007B"/>
    <w:rsid w:val="00871291"/>
    <w:rsid w:val="00871971"/>
    <w:rsid w:val="00871B29"/>
    <w:rsid w:val="008725CF"/>
    <w:rsid w:val="0087445E"/>
    <w:rsid w:val="008744BB"/>
    <w:rsid w:val="008745F3"/>
    <w:rsid w:val="00877808"/>
    <w:rsid w:val="00877867"/>
    <w:rsid w:val="00880604"/>
    <w:rsid w:val="00881888"/>
    <w:rsid w:val="00886FE5"/>
    <w:rsid w:val="008961C4"/>
    <w:rsid w:val="0089686A"/>
    <w:rsid w:val="008A097C"/>
    <w:rsid w:val="008A21EC"/>
    <w:rsid w:val="008A48E4"/>
    <w:rsid w:val="008A6F5D"/>
    <w:rsid w:val="008A73FE"/>
    <w:rsid w:val="008A78BC"/>
    <w:rsid w:val="008B29E4"/>
    <w:rsid w:val="008B4C16"/>
    <w:rsid w:val="008B593A"/>
    <w:rsid w:val="008B6BB8"/>
    <w:rsid w:val="008B707D"/>
    <w:rsid w:val="008B7440"/>
    <w:rsid w:val="008C1109"/>
    <w:rsid w:val="008C360B"/>
    <w:rsid w:val="008C6ABF"/>
    <w:rsid w:val="008D26FB"/>
    <w:rsid w:val="008D377C"/>
    <w:rsid w:val="008D3C67"/>
    <w:rsid w:val="008D7F91"/>
    <w:rsid w:val="008E1F67"/>
    <w:rsid w:val="008E3346"/>
    <w:rsid w:val="008E3D77"/>
    <w:rsid w:val="008E52AE"/>
    <w:rsid w:val="008E605E"/>
    <w:rsid w:val="008E7074"/>
    <w:rsid w:val="008E7A52"/>
    <w:rsid w:val="008F007D"/>
    <w:rsid w:val="008F2627"/>
    <w:rsid w:val="008F45A8"/>
    <w:rsid w:val="008F758F"/>
    <w:rsid w:val="00903237"/>
    <w:rsid w:val="00903BD3"/>
    <w:rsid w:val="00903D6C"/>
    <w:rsid w:val="009052DF"/>
    <w:rsid w:val="00905D6F"/>
    <w:rsid w:val="00912E10"/>
    <w:rsid w:val="00913AED"/>
    <w:rsid w:val="00914C42"/>
    <w:rsid w:val="00915B5C"/>
    <w:rsid w:val="00916411"/>
    <w:rsid w:val="00920002"/>
    <w:rsid w:val="00921EAE"/>
    <w:rsid w:val="009227DF"/>
    <w:rsid w:val="00923FD0"/>
    <w:rsid w:val="00925160"/>
    <w:rsid w:val="00925A82"/>
    <w:rsid w:val="0092605C"/>
    <w:rsid w:val="00927965"/>
    <w:rsid w:val="00933B9D"/>
    <w:rsid w:val="0093776F"/>
    <w:rsid w:val="009412AC"/>
    <w:rsid w:val="009429BF"/>
    <w:rsid w:val="009440D9"/>
    <w:rsid w:val="0094587C"/>
    <w:rsid w:val="00946B6D"/>
    <w:rsid w:val="00952466"/>
    <w:rsid w:val="0095353A"/>
    <w:rsid w:val="00953AEF"/>
    <w:rsid w:val="00953FFF"/>
    <w:rsid w:val="009567E1"/>
    <w:rsid w:val="0095770E"/>
    <w:rsid w:val="00960465"/>
    <w:rsid w:val="0096112B"/>
    <w:rsid w:val="00961F48"/>
    <w:rsid w:val="00962D7A"/>
    <w:rsid w:val="009646DC"/>
    <w:rsid w:val="00964725"/>
    <w:rsid w:val="00970850"/>
    <w:rsid w:val="00970D1C"/>
    <w:rsid w:val="00971117"/>
    <w:rsid w:val="00973701"/>
    <w:rsid w:val="0097454D"/>
    <w:rsid w:val="00981341"/>
    <w:rsid w:val="009832D4"/>
    <w:rsid w:val="00994C89"/>
    <w:rsid w:val="009957BE"/>
    <w:rsid w:val="009A389E"/>
    <w:rsid w:val="009A727B"/>
    <w:rsid w:val="009B2763"/>
    <w:rsid w:val="009B3195"/>
    <w:rsid w:val="009B42D3"/>
    <w:rsid w:val="009B4EE7"/>
    <w:rsid w:val="009B56E1"/>
    <w:rsid w:val="009B6F5F"/>
    <w:rsid w:val="009C0E59"/>
    <w:rsid w:val="009C2F3A"/>
    <w:rsid w:val="009C3B7D"/>
    <w:rsid w:val="009C47A7"/>
    <w:rsid w:val="009D1B6C"/>
    <w:rsid w:val="009D4A47"/>
    <w:rsid w:val="009D5E41"/>
    <w:rsid w:val="009F350F"/>
    <w:rsid w:val="009F739F"/>
    <w:rsid w:val="00A01450"/>
    <w:rsid w:val="00A048C1"/>
    <w:rsid w:val="00A05064"/>
    <w:rsid w:val="00A06263"/>
    <w:rsid w:val="00A0747A"/>
    <w:rsid w:val="00A15D8A"/>
    <w:rsid w:val="00A16F2B"/>
    <w:rsid w:val="00A25BDA"/>
    <w:rsid w:val="00A314DF"/>
    <w:rsid w:val="00A33C44"/>
    <w:rsid w:val="00A35491"/>
    <w:rsid w:val="00A365F6"/>
    <w:rsid w:val="00A44096"/>
    <w:rsid w:val="00A45619"/>
    <w:rsid w:val="00A46B1F"/>
    <w:rsid w:val="00A47808"/>
    <w:rsid w:val="00A50943"/>
    <w:rsid w:val="00A51DE2"/>
    <w:rsid w:val="00A52709"/>
    <w:rsid w:val="00A536B2"/>
    <w:rsid w:val="00A56329"/>
    <w:rsid w:val="00A56821"/>
    <w:rsid w:val="00A60194"/>
    <w:rsid w:val="00A64CDC"/>
    <w:rsid w:val="00A70BEB"/>
    <w:rsid w:val="00A70DE8"/>
    <w:rsid w:val="00A71A36"/>
    <w:rsid w:val="00A72FD3"/>
    <w:rsid w:val="00A76B42"/>
    <w:rsid w:val="00A84287"/>
    <w:rsid w:val="00A90E7F"/>
    <w:rsid w:val="00A9189D"/>
    <w:rsid w:val="00A95666"/>
    <w:rsid w:val="00A9745B"/>
    <w:rsid w:val="00AA1FF6"/>
    <w:rsid w:val="00AA7210"/>
    <w:rsid w:val="00AB1179"/>
    <w:rsid w:val="00AB5A66"/>
    <w:rsid w:val="00AB64A8"/>
    <w:rsid w:val="00AB68EC"/>
    <w:rsid w:val="00AC0470"/>
    <w:rsid w:val="00AC4DC2"/>
    <w:rsid w:val="00AC543D"/>
    <w:rsid w:val="00AD112B"/>
    <w:rsid w:val="00AD5B0D"/>
    <w:rsid w:val="00AE0258"/>
    <w:rsid w:val="00AE1639"/>
    <w:rsid w:val="00AE42C7"/>
    <w:rsid w:val="00AE5B9F"/>
    <w:rsid w:val="00AE76CB"/>
    <w:rsid w:val="00AF200A"/>
    <w:rsid w:val="00AF29C6"/>
    <w:rsid w:val="00AF34D2"/>
    <w:rsid w:val="00AF55CF"/>
    <w:rsid w:val="00AF7899"/>
    <w:rsid w:val="00B0222F"/>
    <w:rsid w:val="00B070E3"/>
    <w:rsid w:val="00B1220F"/>
    <w:rsid w:val="00B12E0B"/>
    <w:rsid w:val="00B13E4A"/>
    <w:rsid w:val="00B262AF"/>
    <w:rsid w:val="00B2747A"/>
    <w:rsid w:val="00B30F0D"/>
    <w:rsid w:val="00B333B0"/>
    <w:rsid w:val="00B33FE8"/>
    <w:rsid w:val="00B340A1"/>
    <w:rsid w:val="00B36638"/>
    <w:rsid w:val="00B36FDB"/>
    <w:rsid w:val="00B37A3C"/>
    <w:rsid w:val="00B41219"/>
    <w:rsid w:val="00B4350D"/>
    <w:rsid w:val="00B445D4"/>
    <w:rsid w:val="00B46774"/>
    <w:rsid w:val="00B54E83"/>
    <w:rsid w:val="00B6071C"/>
    <w:rsid w:val="00B6247C"/>
    <w:rsid w:val="00B6272D"/>
    <w:rsid w:val="00B62BBB"/>
    <w:rsid w:val="00B633A3"/>
    <w:rsid w:val="00B669E1"/>
    <w:rsid w:val="00B67224"/>
    <w:rsid w:val="00B714DD"/>
    <w:rsid w:val="00B724D2"/>
    <w:rsid w:val="00B7757F"/>
    <w:rsid w:val="00B77A61"/>
    <w:rsid w:val="00B81DF5"/>
    <w:rsid w:val="00B82344"/>
    <w:rsid w:val="00B8339E"/>
    <w:rsid w:val="00B84F7B"/>
    <w:rsid w:val="00B8583F"/>
    <w:rsid w:val="00B86628"/>
    <w:rsid w:val="00B87243"/>
    <w:rsid w:val="00B93303"/>
    <w:rsid w:val="00B93359"/>
    <w:rsid w:val="00B9782A"/>
    <w:rsid w:val="00BA4BF6"/>
    <w:rsid w:val="00BA5632"/>
    <w:rsid w:val="00BA67DB"/>
    <w:rsid w:val="00BA7286"/>
    <w:rsid w:val="00BB0745"/>
    <w:rsid w:val="00BB1615"/>
    <w:rsid w:val="00BB18C6"/>
    <w:rsid w:val="00BB259D"/>
    <w:rsid w:val="00BB3083"/>
    <w:rsid w:val="00BB3BE5"/>
    <w:rsid w:val="00BB5C95"/>
    <w:rsid w:val="00BB6F8C"/>
    <w:rsid w:val="00BC0E68"/>
    <w:rsid w:val="00BC6A24"/>
    <w:rsid w:val="00BD05B4"/>
    <w:rsid w:val="00BD1438"/>
    <w:rsid w:val="00BD15C0"/>
    <w:rsid w:val="00BD23A2"/>
    <w:rsid w:val="00BD45EB"/>
    <w:rsid w:val="00BD4E2F"/>
    <w:rsid w:val="00BD5BB8"/>
    <w:rsid w:val="00BD5E70"/>
    <w:rsid w:val="00BE0998"/>
    <w:rsid w:val="00BE152E"/>
    <w:rsid w:val="00BE4538"/>
    <w:rsid w:val="00BF0F9C"/>
    <w:rsid w:val="00BF3AAB"/>
    <w:rsid w:val="00BF786B"/>
    <w:rsid w:val="00BF79FF"/>
    <w:rsid w:val="00C0048F"/>
    <w:rsid w:val="00C01D98"/>
    <w:rsid w:val="00C05209"/>
    <w:rsid w:val="00C067EF"/>
    <w:rsid w:val="00C06C78"/>
    <w:rsid w:val="00C07541"/>
    <w:rsid w:val="00C10F3F"/>
    <w:rsid w:val="00C15CEF"/>
    <w:rsid w:val="00C161EE"/>
    <w:rsid w:val="00C1787A"/>
    <w:rsid w:val="00C21246"/>
    <w:rsid w:val="00C219F2"/>
    <w:rsid w:val="00C23EC1"/>
    <w:rsid w:val="00C242C1"/>
    <w:rsid w:val="00C24B3D"/>
    <w:rsid w:val="00C277CE"/>
    <w:rsid w:val="00C27BA0"/>
    <w:rsid w:val="00C3065C"/>
    <w:rsid w:val="00C31152"/>
    <w:rsid w:val="00C32549"/>
    <w:rsid w:val="00C326D7"/>
    <w:rsid w:val="00C3352B"/>
    <w:rsid w:val="00C35A4C"/>
    <w:rsid w:val="00C35C50"/>
    <w:rsid w:val="00C366E0"/>
    <w:rsid w:val="00C37BEC"/>
    <w:rsid w:val="00C41AC2"/>
    <w:rsid w:val="00C42349"/>
    <w:rsid w:val="00C43415"/>
    <w:rsid w:val="00C436A4"/>
    <w:rsid w:val="00C4442D"/>
    <w:rsid w:val="00C4699A"/>
    <w:rsid w:val="00C54358"/>
    <w:rsid w:val="00C60771"/>
    <w:rsid w:val="00C60ECF"/>
    <w:rsid w:val="00C64AD6"/>
    <w:rsid w:val="00C72B8A"/>
    <w:rsid w:val="00C73A8B"/>
    <w:rsid w:val="00C74236"/>
    <w:rsid w:val="00C74C60"/>
    <w:rsid w:val="00C75967"/>
    <w:rsid w:val="00C75E7A"/>
    <w:rsid w:val="00C7653D"/>
    <w:rsid w:val="00C77C54"/>
    <w:rsid w:val="00C80192"/>
    <w:rsid w:val="00C86D7C"/>
    <w:rsid w:val="00C907DA"/>
    <w:rsid w:val="00C90FA4"/>
    <w:rsid w:val="00C97011"/>
    <w:rsid w:val="00CA1D8C"/>
    <w:rsid w:val="00CA24F1"/>
    <w:rsid w:val="00CA2B4A"/>
    <w:rsid w:val="00CA6CC5"/>
    <w:rsid w:val="00CA7D22"/>
    <w:rsid w:val="00CB03F9"/>
    <w:rsid w:val="00CB13F0"/>
    <w:rsid w:val="00CB38A2"/>
    <w:rsid w:val="00CB3F10"/>
    <w:rsid w:val="00CB4657"/>
    <w:rsid w:val="00CC1AE5"/>
    <w:rsid w:val="00CC412E"/>
    <w:rsid w:val="00CC46A1"/>
    <w:rsid w:val="00CD19FD"/>
    <w:rsid w:val="00CD1F7B"/>
    <w:rsid w:val="00CD5368"/>
    <w:rsid w:val="00CD6539"/>
    <w:rsid w:val="00CE1637"/>
    <w:rsid w:val="00CE1739"/>
    <w:rsid w:val="00CE2FD1"/>
    <w:rsid w:val="00CE3240"/>
    <w:rsid w:val="00CE4B21"/>
    <w:rsid w:val="00CE5FEC"/>
    <w:rsid w:val="00CE7085"/>
    <w:rsid w:val="00CF3DC1"/>
    <w:rsid w:val="00CF4315"/>
    <w:rsid w:val="00CF58B4"/>
    <w:rsid w:val="00CF5FF0"/>
    <w:rsid w:val="00CF76F1"/>
    <w:rsid w:val="00CF7881"/>
    <w:rsid w:val="00D0589D"/>
    <w:rsid w:val="00D063BA"/>
    <w:rsid w:val="00D105E7"/>
    <w:rsid w:val="00D11390"/>
    <w:rsid w:val="00D13329"/>
    <w:rsid w:val="00D17AD9"/>
    <w:rsid w:val="00D215FF"/>
    <w:rsid w:val="00D232FD"/>
    <w:rsid w:val="00D2539D"/>
    <w:rsid w:val="00D3188E"/>
    <w:rsid w:val="00D329F8"/>
    <w:rsid w:val="00D3373D"/>
    <w:rsid w:val="00D35325"/>
    <w:rsid w:val="00D35687"/>
    <w:rsid w:val="00D40565"/>
    <w:rsid w:val="00D4166D"/>
    <w:rsid w:val="00D42862"/>
    <w:rsid w:val="00D42F1F"/>
    <w:rsid w:val="00D47A53"/>
    <w:rsid w:val="00D56FF1"/>
    <w:rsid w:val="00D57807"/>
    <w:rsid w:val="00D57D3C"/>
    <w:rsid w:val="00D619A0"/>
    <w:rsid w:val="00D72271"/>
    <w:rsid w:val="00D75826"/>
    <w:rsid w:val="00D80F5A"/>
    <w:rsid w:val="00D857C1"/>
    <w:rsid w:val="00D85EEC"/>
    <w:rsid w:val="00D86436"/>
    <w:rsid w:val="00D91384"/>
    <w:rsid w:val="00D91386"/>
    <w:rsid w:val="00D91567"/>
    <w:rsid w:val="00D92535"/>
    <w:rsid w:val="00D92830"/>
    <w:rsid w:val="00D9324A"/>
    <w:rsid w:val="00D96959"/>
    <w:rsid w:val="00DA0DF0"/>
    <w:rsid w:val="00DA1028"/>
    <w:rsid w:val="00DA2299"/>
    <w:rsid w:val="00DA2681"/>
    <w:rsid w:val="00DB2ADF"/>
    <w:rsid w:val="00DB4A28"/>
    <w:rsid w:val="00DB6283"/>
    <w:rsid w:val="00DB77A6"/>
    <w:rsid w:val="00DC2456"/>
    <w:rsid w:val="00DC41B4"/>
    <w:rsid w:val="00DC41C7"/>
    <w:rsid w:val="00DC5A86"/>
    <w:rsid w:val="00DD106B"/>
    <w:rsid w:val="00DD155D"/>
    <w:rsid w:val="00DD1A6A"/>
    <w:rsid w:val="00DD1E6F"/>
    <w:rsid w:val="00DD71D9"/>
    <w:rsid w:val="00DE1488"/>
    <w:rsid w:val="00DE5B44"/>
    <w:rsid w:val="00DE6F2B"/>
    <w:rsid w:val="00DE7008"/>
    <w:rsid w:val="00DF7F40"/>
    <w:rsid w:val="00E03B3A"/>
    <w:rsid w:val="00E07884"/>
    <w:rsid w:val="00E07CBB"/>
    <w:rsid w:val="00E14C3B"/>
    <w:rsid w:val="00E16917"/>
    <w:rsid w:val="00E212D4"/>
    <w:rsid w:val="00E265C3"/>
    <w:rsid w:val="00E31D8B"/>
    <w:rsid w:val="00E33899"/>
    <w:rsid w:val="00E36672"/>
    <w:rsid w:val="00E37450"/>
    <w:rsid w:val="00E40625"/>
    <w:rsid w:val="00E4176B"/>
    <w:rsid w:val="00E42661"/>
    <w:rsid w:val="00E44604"/>
    <w:rsid w:val="00E4515E"/>
    <w:rsid w:val="00E45358"/>
    <w:rsid w:val="00E459B1"/>
    <w:rsid w:val="00E46FE5"/>
    <w:rsid w:val="00E52243"/>
    <w:rsid w:val="00E52503"/>
    <w:rsid w:val="00E558CF"/>
    <w:rsid w:val="00E55E47"/>
    <w:rsid w:val="00E608C3"/>
    <w:rsid w:val="00E61A1E"/>
    <w:rsid w:val="00E61A51"/>
    <w:rsid w:val="00E648CE"/>
    <w:rsid w:val="00E67B8B"/>
    <w:rsid w:val="00E710FA"/>
    <w:rsid w:val="00E74446"/>
    <w:rsid w:val="00E773F1"/>
    <w:rsid w:val="00E77A74"/>
    <w:rsid w:val="00E80D9B"/>
    <w:rsid w:val="00E81EBE"/>
    <w:rsid w:val="00E83E0B"/>
    <w:rsid w:val="00E85000"/>
    <w:rsid w:val="00E86DC6"/>
    <w:rsid w:val="00E90159"/>
    <w:rsid w:val="00E92DC0"/>
    <w:rsid w:val="00E943D5"/>
    <w:rsid w:val="00E95369"/>
    <w:rsid w:val="00E97E22"/>
    <w:rsid w:val="00EA0E83"/>
    <w:rsid w:val="00EB2733"/>
    <w:rsid w:val="00EB2E86"/>
    <w:rsid w:val="00EB42E2"/>
    <w:rsid w:val="00EB52AD"/>
    <w:rsid w:val="00EC11F7"/>
    <w:rsid w:val="00EC6E33"/>
    <w:rsid w:val="00ED5138"/>
    <w:rsid w:val="00ED5D23"/>
    <w:rsid w:val="00EE0C35"/>
    <w:rsid w:val="00EE2BF2"/>
    <w:rsid w:val="00EE49F4"/>
    <w:rsid w:val="00EE65C2"/>
    <w:rsid w:val="00EF1828"/>
    <w:rsid w:val="00EF6BB5"/>
    <w:rsid w:val="00F019D6"/>
    <w:rsid w:val="00F02709"/>
    <w:rsid w:val="00F02B55"/>
    <w:rsid w:val="00F03412"/>
    <w:rsid w:val="00F066DD"/>
    <w:rsid w:val="00F13211"/>
    <w:rsid w:val="00F13236"/>
    <w:rsid w:val="00F17242"/>
    <w:rsid w:val="00F2169F"/>
    <w:rsid w:val="00F21AB3"/>
    <w:rsid w:val="00F223D7"/>
    <w:rsid w:val="00F22B9C"/>
    <w:rsid w:val="00F34126"/>
    <w:rsid w:val="00F3551A"/>
    <w:rsid w:val="00F370AB"/>
    <w:rsid w:val="00F443A2"/>
    <w:rsid w:val="00F46329"/>
    <w:rsid w:val="00F500D9"/>
    <w:rsid w:val="00F518D3"/>
    <w:rsid w:val="00F62409"/>
    <w:rsid w:val="00F63D11"/>
    <w:rsid w:val="00F6512B"/>
    <w:rsid w:val="00F661B9"/>
    <w:rsid w:val="00F66B74"/>
    <w:rsid w:val="00F67B9F"/>
    <w:rsid w:val="00F70916"/>
    <w:rsid w:val="00F70F45"/>
    <w:rsid w:val="00F76B89"/>
    <w:rsid w:val="00F76C78"/>
    <w:rsid w:val="00F81019"/>
    <w:rsid w:val="00F814C1"/>
    <w:rsid w:val="00F8224A"/>
    <w:rsid w:val="00F835E0"/>
    <w:rsid w:val="00F84B56"/>
    <w:rsid w:val="00F864E5"/>
    <w:rsid w:val="00F86B55"/>
    <w:rsid w:val="00F91DAB"/>
    <w:rsid w:val="00F933C3"/>
    <w:rsid w:val="00F95AC4"/>
    <w:rsid w:val="00F9798F"/>
    <w:rsid w:val="00FA2043"/>
    <w:rsid w:val="00FA353F"/>
    <w:rsid w:val="00FA3F6E"/>
    <w:rsid w:val="00FA48A4"/>
    <w:rsid w:val="00FA6605"/>
    <w:rsid w:val="00FB1043"/>
    <w:rsid w:val="00FB15D2"/>
    <w:rsid w:val="00FB5E96"/>
    <w:rsid w:val="00FC06EA"/>
    <w:rsid w:val="00FC378A"/>
    <w:rsid w:val="00FC460D"/>
    <w:rsid w:val="00FD4255"/>
    <w:rsid w:val="00FD4B26"/>
    <w:rsid w:val="00FD64A0"/>
    <w:rsid w:val="00FE01D7"/>
    <w:rsid w:val="00FE13CE"/>
    <w:rsid w:val="00FE1633"/>
    <w:rsid w:val="00FE3829"/>
    <w:rsid w:val="00FE5759"/>
    <w:rsid w:val="00FE7049"/>
    <w:rsid w:val="00FE7DBD"/>
    <w:rsid w:val="00FE7EA9"/>
    <w:rsid w:val="00FF0B40"/>
    <w:rsid w:val="00FF25AB"/>
    <w:rsid w:val="00FF4976"/>
    <w:rsid w:val="00FF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5:docId w15:val="{1CB458CE-FAC6-4CA1-A426-EAEC6F5F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080"/>
    </w:pPr>
    <w:rPr>
      <w:rFonts w:ascii="Arial" w:hAnsi="Arial"/>
      <w:spacing w:val="-5"/>
    </w:rPr>
  </w:style>
  <w:style w:type="paragraph" w:styleId="Heading1">
    <w:name w:val="heading 1"/>
    <w:basedOn w:val="HeadingBase"/>
    <w:next w:val="BodyText"/>
    <w:uiPriority w:val="1"/>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basedOn w:val="HeadingBase"/>
    <w:next w:val="BodyText"/>
    <w:uiPriority w:val="1"/>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uiPriority w:val="1"/>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uiPriority w:val="1"/>
    <w:qFormat/>
    <w:pPr>
      <w:spacing w:before="0" w:after="240" w:line="240" w:lineRule="atLeast"/>
      <w:outlineLvl w:val="3"/>
    </w:pPr>
  </w:style>
  <w:style w:type="paragraph" w:styleId="Heading5">
    <w:name w:val="heading 5"/>
    <w:basedOn w:val="HeadingBase"/>
    <w:next w:val="BodyText"/>
    <w:uiPriority w:val="1"/>
    <w:qFormat/>
    <w:pPr>
      <w:spacing w:before="0" w:line="240" w:lineRule="atLeast"/>
      <w:ind w:left="1440"/>
      <w:outlineLvl w:val="4"/>
    </w:pPr>
    <w:rPr>
      <w:sz w:val="20"/>
    </w:rPr>
  </w:style>
  <w:style w:type="paragraph" w:styleId="Heading6">
    <w:name w:val="heading 6"/>
    <w:basedOn w:val="HeadingBase"/>
    <w:next w:val="BodyText"/>
    <w:qFormat/>
    <w:pPr>
      <w:ind w:left="1440"/>
      <w:outlineLvl w:val="5"/>
    </w:pPr>
    <w:rPr>
      <w:i/>
      <w:sz w:val="20"/>
    </w:rPr>
  </w:style>
  <w:style w:type="paragraph" w:styleId="Heading7">
    <w:name w:val="heading 7"/>
    <w:basedOn w:val="HeadingBase"/>
    <w:next w:val="BodyText"/>
    <w:qFormat/>
    <w:pPr>
      <w:outlineLvl w:val="6"/>
    </w:pPr>
    <w:rPr>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FootnoteReference">
    <w:name w:val="footnote reference"/>
    <w:uiPriority w:val="99"/>
    <w:rPr>
      <w:vertAlign w:val="superscript"/>
    </w:rPr>
  </w:style>
  <w:style w:type="paragraph" w:styleId="BodyText3">
    <w:name w:val="Body Text 3"/>
    <w:basedOn w:val="Normal"/>
    <w:rPr>
      <w:color w:val="000000"/>
    </w:rPr>
  </w:style>
  <w:style w:type="paragraph" w:styleId="BodyText">
    <w:name w:val="Body Text"/>
    <w:basedOn w:val="Normal"/>
    <w:link w:val="BodyTextChar"/>
    <w:uiPriority w:val="1"/>
    <w:qFormat/>
    <w:pPr>
      <w:spacing w:after="240" w:line="240" w:lineRule="atLeast"/>
      <w:jc w:val="both"/>
    </w:pPr>
  </w:style>
  <w:style w:type="paragraph" w:styleId="BodyText2">
    <w:name w:val="Body Text 2"/>
    <w:basedOn w:val="Normal"/>
    <w:pPr>
      <w:tabs>
        <w:tab w:val="left" w:pos="720"/>
        <w:tab w:val="left" w:pos="1440"/>
        <w:tab w:val="left" w:pos="3870"/>
      </w:tabs>
      <w:ind w:right="-90"/>
    </w:pPr>
    <w:rPr>
      <w:rFonts w:ascii="Palatino" w:hAnsi="Palatino"/>
      <w:color w:val="00FF00"/>
      <w:sz w:val="23"/>
    </w:rPr>
  </w:style>
  <w:style w:type="paragraph" w:styleId="Index1">
    <w:name w:val="index 1"/>
    <w:basedOn w:val="IndexBase"/>
    <w:autoRedefine/>
    <w:semiHidden/>
  </w:style>
  <w:style w:type="paragraph" w:styleId="BodyTextIndent2">
    <w:name w:val="Body Text Indent 2"/>
    <w:basedOn w:val="Normal"/>
    <w:pPr>
      <w:tabs>
        <w:tab w:val="left" w:pos="1440"/>
        <w:tab w:val="left" w:pos="1800"/>
      </w:tabs>
      <w:ind w:left="2160" w:hanging="2160"/>
      <w:outlineLvl w:val="0"/>
    </w:pPr>
    <w:rPr>
      <w:rFonts w:ascii="Palatino" w:hAnsi="Palatino"/>
    </w:rPr>
  </w:style>
  <w:style w:type="paragraph" w:styleId="FootnoteText">
    <w:name w:val="footnote text"/>
    <w:basedOn w:val="FootnoteBase"/>
    <w:semiHidden/>
  </w:style>
  <w:style w:type="paragraph" w:styleId="Header">
    <w:name w:val="header"/>
    <w:basedOn w:val="HeaderBase"/>
  </w:style>
  <w:style w:type="paragraph" w:styleId="Footer">
    <w:name w:val="footer"/>
    <w:basedOn w:val="HeaderBase"/>
  </w:style>
  <w:style w:type="character" w:styleId="Emphasis">
    <w:name w:val="Emphasis"/>
    <w:qFormat/>
    <w:rPr>
      <w:rFonts w:ascii="Arial Black" w:hAnsi="Arial Black"/>
      <w:spacing w:val="-4"/>
      <w:sz w:val="18"/>
    </w:rPr>
  </w:style>
  <w:style w:type="paragraph" w:styleId="BodyTextIndent">
    <w:name w:val="Body Text Indent"/>
    <w:basedOn w:val="BodyText"/>
    <w:pPr>
      <w:ind w:left="1440"/>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EndnoteText">
    <w:name w:val="endnote text"/>
    <w:basedOn w:val="FootnoteBase"/>
    <w:link w:val="EndnoteTextChar"/>
    <w:uiPriority w:val="99"/>
    <w:semiHidden/>
  </w:style>
  <w:style w:type="character" w:styleId="EndnoteReference">
    <w:name w:val="endnote reference"/>
    <w:semiHidden/>
    <w:rPr>
      <w:vertAlign w:val="superscript"/>
    </w:rPr>
  </w:style>
  <w:style w:type="paragraph" w:styleId="List">
    <w:name w:val="List"/>
    <w:basedOn w:val="BodyText"/>
    <w:pPr>
      <w:ind w:left="1440" w:hanging="360"/>
    </w:pPr>
  </w:style>
  <w:style w:type="paragraph" w:styleId="List2">
    <w:name w:val="List 2"/>
    <w:basedOn w:val="List"/>
    <w:pPr>
      <w:ind w:left="180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customStyle="1" w:styleId="HeadingBase">
    <w:name w:val="Heading Base"/>
    <w:basedOn w:val="Normal"/>
    <w:next w:val="BodyText"/>
    <w:pPr>
      <w:keepNext/>
      <w:keepLines/>
      <w:spacing w:before="140" w:line="220" w:lineRule="atLeast"/>
    </w:pPr>
    <w:rPr>
      <w:spacing w:val="-4"/>
      <w:kern w:val="28"/>
      <w:sz w:val="22"/>
    </w:rPr>
  </w:style>
  <w:style w:type="paragraph" w:customStyle="1" w:styleId="FootnoteBase">
    <w:name w:val="Footnote Base"/>
    <w:basedOn w:val="Normal"/>
    <w:pPr>
      <w:keepLines/>
      <w:spacing w:line="200" w:lineRule="atLeast"/>
    </w:pPr>
    <w:rPr>
      <w:sz w:val="16"/>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pPr>
      <w:keepNext/>
    </w:pPr>
  </w:style>
  <w:style w:type="paragraph" w:styleId="Caption">
    <w:name w:val="caption"/>
    <w:basedOn w:val="Picture"/>
    <w:next w:val="BodyText"/>
    <w:qFormat/>
    <w:pPr>
      <w:numPr>
        <w:numId w:val="1"/>
      </w:numPr>
      <w:spacing w:before="60" w:after="240" w:line="220" w:lineRule="atLeast"/>
    </w:pPr>
    <w:rPr>
      <w:rFonts w:ascii="Arial Narrow" w:hAnsi="Arial Narrow"/>
      <w:spacing w:val="0"/>
      <w:sz w:val="18"/>
    </w:rPr>
  </w:style>
  <w:style w:type="paragraph" w:customStyle="1" w:styleId="Picture">
    <w:name w:val="Picture"/>
    <w:basedOn w:val="Normal"/>
    <w:next w:val="Caption"/>
    <w:pPr>
      <w:keepNext/>
    </w:pPr>
  </w:style>
  <w:style w:type="paragraph" w:customStyle="1" w:styleId="DocumentLabel">
    <w:name w:val="Document Label"/>
    <w:basedOn w:val="TitleCover"/>
  </w:style>
  <w:style w:type="paragraph" w:customStyle="1" w:styleId="HeaderBase">
    <w:name w:val="Header Base"/>
    <w:basedOn w:val="Normal"/>
    <w:pPr>
      <w:keepLines/>
      <w:tabs>
        <w:tab w:val="center" w:pos="4320"/>
        <w:tab w:val="right" w:pos="8640"/>
      </w:tabs>
      <w:spacing w:line="190" w:lineRule="atLeast"/>
    </w:pPr>
    <w:rPr>
      <w:caps/>
      <w:sz w:val="15"/>
    </w:rPr>
  </w:style>
  <w:style w:type="paragraph" w:customStyle="1" w:styleId="IndexBase">
    <w:name w:val="Index Base"/>
    <w:basedOn w:val="Normal"/>
    <w:pPr>
      <w:spacing w:line="240" w:lineRule="atLeast"/>
      <w:ind w:left="360" w:hanging="360"/>
    </w:pPr>
    <w:rPr>
      <w:sz w:val="18"/>
    </w:rPr>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paragraph" w:customStyle="1" w:styleId="SectionHeading">
    <w:name w:val="Section Heading"/>
    <w:basedOn w:val="Heading1"/>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Bullet">
    <w:name w:val="List Bullet"/>
    <w:basedOn w:val="List"/>
    <w:pPr>
      <w:numPr>
        <w:numId w:val="2"/>
      </w:numPr>
      <w:tabs>
        <w:tab w:val="clear" w:pos="1440"/>
      </w:tabs>
    </w:pPr>
  </w:style>
  <w:style w:type="paragraph" w:styleId="ListNumber">
    <w:name w:val="List Number"/>
    <w:basedOn w:val="List"/>
    <w:pPr>
      <w:numPr>
        <w:numId w:val="3"/>
      </w:numPr>
    </w:pPr>
  </w:style>
  <w:style w:type="paragraph" w:styleId="MacroText">
    <w:name w:val="macro"/>
    <w:basedOn w:val="Normal"/>
    <w:semiHidden/>
    <w:rPr>
      <w:rFonts w:ascii="Courier New" w:hAnsi="Courier New"/>
    </w:rPr>
  </w:style>
  <w:style w:type="character" w:styleId="PageNumber">
    <w:name w:val="page number"/>
    <w:rPr>
      <w:b/>
      <w:spacing w:val="-10"/>
      <w:sz w:val="18"/>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character" w:customStyle="1" w:styleId="Superscript">
    <w:name w:val="Superscript"/>
    <w:rPr>
      <w:b/>
      <w:vertAlign w:val="superscript"/>
    </w:rPr>
  </w:style>
  <w:style w:type="paragraph" w:customStyle="1" w:styleId="TOCBase">
    <w:name w:val="TOC Base"/>
    <w:basedOn w:val="Normal"/>
    <w:pPr>
      <w:tabs>
        <w:tab w:val="right" w:leader="dot" w:pos="6480"/>
      </w:tabs>
      <w:spacing w:after="240" w:line="240" w:lineRule="atLeast"/>
      <w:ind w:left="0"/>
    </w:pPr>
  </w:style>
  <w:style w:type="paragraph" w:styleId="TableofFigures">
    <w:name w:val="table of figures"/>
    <w:basedOn w:val="TOCBase"/>
    <w:semiHidden/>
    <w:pPr>
      <w:ind w:left="1440" w:hanging="360"/>
    </w:pPr>
  </w:style>
  <w:style w:type="paragraph" w:styleId="TOC1">
    <w:name w:val="toc 1"/>
    <w:basedOn w:val="TOCBase"/>
    <w:autoRedefine/>
    <w:uiPriority w:val="39"/>
    <w:qFormat/>
    <w:pPr>
      <w:tabs>
        <w:tab w:val="clear" w:pos="6480"/>
      </w:tabs>
      <w:spacing w:before="120" w:after="0" w:line="240" w:lineRule="auto"/>
    </w:pPr>
    <w:rPr>
      <w:rFonts w:ascii="Calibri" w:hAnsi="Calibri" w:cs="Calibri"/>
      <w:b/>
      <w:bCs/>
      <w:i/>
      <w:iCs/>
      <w:sz w:val="24"/>
      <w:szCs w:val="24"/>
    </w:rPr>
  </w:style>
  <w:style w:type="paragraph" w:styleId="TOC2">
    <w:name w:val="toc 2"/>
    <w:basedOn w:val="TOCBase"/>
    <w:autoRedefine/>
    <w:uiPriority w:val="39"/>
    <w:qFormat/>
    <w:rsid w:val="00821AE8"/>
    <w:pPr>
      <w:tabs>
        <w:tab w:val="clear" w:pos="6480"/>
        <w:tab w:val="right" w:leader="underscore" w:pos="9350"/>
      </w:tabs>
      <w:spacing w:before="120" w:after="0" w:line="240" w:lineRule="auto"/>
      <w:ind w:left="200"/>
    </w:pPr>
    <w:rPr>
      <w:rFonts w:ascii="Calibri" w:hAnsi="Calibri" w:cs="Calibri"/>
      <w:bCs/>
      <w:noProof/>
      <w:sz w:val="22"/>
      <w:szCs w:val="22"/>
    </w:rPr>
  </w:style>
  <w:style w:type="paragraph" w:styleId="TOC3">
    <w:name w:val="toc 3"/>
    <w:basedOn w:val="TOCBase"/>
    <w:autoRedefine/>
    <w:uiPriority w:val="39"/>
    <w:qFormat/>
    <w:rsid w:val="00D3188E"/>
    <w:pPr>
      <w:tabs>
        <w:tab w:val="clear" w:pos="6480"/>
        <w:tab w:val="right" w:leader="underscore" w:pos="9350"/>
      </w:tabs>
      <w:spacing w:after="0" w:line="240" w:lineRule="auto"/>
      <w:ind w:left="400"/>
    </w:pPr>
    <w:rPr>
      <w:rFonts w:ascii="Calibri" w:hAnsi="Calibri" w:cs="Calibri"/>
      <w:noProof/>
      <w:spacing w:val="-10"/>
      <w:kern w:val="28"/>
    </w:rPr>
  </w:style>
  <w:style w:type="paragraph" w:styleId="TOC4">
    <w:name w:val="toc 4"/>
    <w:basedOn w:val="TOCBase"/>
    <w:autoRedefine/>
    <w:semiHidden/>
    <w:pPr>
      <w:tabs>
        <w:tab w:val="clear" w:pos="6480"/>
      </w:tabs>
      <w:spacing w:after="0" w:line="240" w:lineRule="auto"/>
      <w:ind w:left="600"/>
    </w:pPr>
    <w:rPr>
      <w:rFonts w:ascii="Calibri" w:hAnsi="Calibri" w:cs="Calibri"/>
    </w:rPr>
  </w:style>
  <w:style w:type="paragraph" w:styleId="TOC5">
    <w:name w:val="toc 5"/>
    <w:basedOn w:val="TOCBase"/>
    <w:autoRedefine/>
    <w:semiHidden/>
    <w:pPr>
      <w:tabs>
        <w:tab w:val="clear" w:pos="6480"/>
      </w:tabs>
      <w:spacing w:after="0" w:line="240" w:lineRule="auto"/>
      <w:ind w:left="800"/>
    </w:pPr>
    <w:rPr>
      <w:rFonts w:ascii="Calibri" w:hAnsi="Calibri" w:cs="Calibri"/>
    </w:rPr>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paragraph" w:customStyle="1" w:styleId="FooterFirst">
    <w:name w:val="Footer First"/>
    <w:basedOn w:val="Footer"/>
    <w:pPr>
      <w:pBdr>
        <w:top w:val="single" w:sz="6" w:space="2" w:color="auto"/>
      </w:pBdr>
      <w:spacing w:before="600"/>
    </w:pPr>
  </w:style>
  <w:style w:type="paragraph" w:customStyle="1" w:styleId="FooterEven">
    <w:name w:val="Footer Even"/>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paragraph" w:customStyle="1" w:styleId="HeaderFirst">
    <w:name w:val="Header First"/>
    <w:basedOn w:val="Header"/>
    <w:pPr>
      <w:pBdr>
        <w:top w:val="single" w:sz="6" w:space="2" w:color="auto"/>
      </w:pBdr>
      <w:jc w:val="right"/>
    </w:pPr>
  </w:style>
  <w:style w:type="paragraph" w:customStyle="1" w:styleId="HeaderEven">
    <w:name w:val="Header Even"/>
    <w:basedOn w:val="Header"/>
    <w:pPr>
      <w:pBdr>
        <w:bottom w:val="single" w:sz="6" w:space="1" w:color="auto"/>
      </w:pBdr>
      <w:spacing w:after="600"/>
    </w:pPr>
  </w:style>
  <w:style w:type="paragraph" w:customStyle="1" w:styleId="HeaderOdd">
    <w:name w:val="Header Odd"/>
    <w:basedOn w:val="Header"/>
    <w:pPr>
      <w:pBdr>
        <w:bottom w:val="single" w:sz="6" w:space="1" w:color="auto"/>
      </w:pBdr>
      <w:spacing w:after="600"/>
    </w:pPr>
  </w:style>
  <w:style w:type="paragraph" w:customStyle="1" w:styleId="ChapterLabel">
    <w:name w:val="Chapter Label"/>
    <w:basedOn w:val="HeadingBase"/>
    <w:next w:val="ChapterTitle"/>
    <w:pPr>
      <w:spacing w:before="770" w:after="440"/>
    </w:pPr>
    <w:rPr>
      <w:rFonts w:ascii="Times New Roman" w:hAnsi="Times New Roman"/>
      <w:spacing w:val="-30"/>
      <w:sz w:val="60"/>
    </w:rPr>
  </w:style>
  <w:style w:type="paragraph" w:customStyle="1" w:styleId="ChapterTitle">
    <w:name w:val="Chapter Title"/>
    <w:basedOn w:val="Normal"/>
    <w:pPr>
      <w:spacing w:before="120" w:line="660" w:lineRule="exact"/>
      <w:ind w:left="0"/>
      <w:jc w:val="center"/>
    </w:pPr>
    <w:rPr>
      <w:rFonts w:ascii="Arial Black" w:hAnsi="Arial Black"/>
      <w:color w:val="FFFFFF"/>
      <w:spacing w:val="-40"/>
      <w:sz w:val="84"/>
    </w:rPr>
  </w:style>
  <w:style w:type="paragraph" w:customStyle="1" w:styleId="ChapterSubtitle">
    <w:name w:val="Chapter Subtitle"/>
    <w:basedOn w:val="Subtitle"/>
  </w:style>
  <w:style w:type="paragraph" w:styleId="Subtitle">
    <w:name w:val="Subtitle"/>
    <w:basedOn w:val="Title"/>
    <w:next w:val="BodyText"/>
    <w:link w:val="SubtitleChar"/>
    <w:uiPriority w:val="11"/>
    <w:qFormat/>
    <w:pPr>
      <w:pBdr>
        <w:top w:val="none" w:sz="0" w:space="0" w:color="auto"/>
      </w:pBdr>
      <w:spacing w:before="60" w:after="120" w:line="340" w:lineRule="atLeast"/>
    </w:pPr>
    <w:rPr>
      <w:rFonts w:ascii="Arial" w:hAnsi="Arial"/>
      <w:spacing w:val="-16"/>
      <w:sz w:val="32"/>
    </w:rPr>
  </w:style>
  <w:style w:type="paragraph" w:styleId="Title">
    <w:name w:val="Title"/>
    <w:basedOn w:val="HeadingBase"/>
    <w:next w:val="Subtitle"/>
    <w:link w:val="TitleChar"/>
    <w:uiPriority w:val="10"/>
    <w:qFormat/>
    <w:pPr>
      <w:pBdr>
        <w:top w:val="single" w:sz="6" w:space="16" w:color="auto"/>
      </w:pBdr>
      <w:spacing w:before="220" w:after="60" w:line="320" w:lineRule="atLeast"/>
      <w:ind w:left="0"/>
    </w:pPr>
    <w:rPr>
      <w:rFonts w:ascii="Arial Black" w:hAnsi="Arial Black"/>
      <w:spacing w:val="-30"/>
      <w:sz w:val="40"/>
    </w:rPr>
  </w:style>
  <w:style w:type="paragraph" w:styleId="ListNumber5">
    <w:name w:val="List Number 5"/>
    <w:basedOn w:val="ListNumber"/>
    <w:pPr>
      <w:ind w:left="2880"/>
    </w:pPr>
  </w:style>
  <w:style w:type="paragraph" w:styleId="ListNumber4">
    <w:name w:val="List Number 4"/>
    <w:basedOn w:val="ListNumber"/>
    <w:pPr>
      <w:ind w:left="2520"/>
    </w:pPr>
  </w:style>
  <w:style w:type="paragraph" w:styleId="ListNumber3">
    <w:name w:val="List Number 3"/>
    <w:basedOn w:val="ListNumber"/>
    <w:pPr>
      <w:ind w:left="2160"/>
    </w:pPr>
  </w:style>
  <w:style w:type="paragraph" w:styleId="ListBullet5">
    <w:name w:val="List Bullet 5"/>
    <w:basedOn w:val="ListBullet"/>
    <w:autoRedefine/>
    <w:pPr>
      <w:ind w:left="2880"/>
    </w:pPr>
  </w:style>
  <w:style w:type="paragraph" w:styleId="ListBullet4">
    <w:name w:val="List Bullet 4"/>
    <w:basedOn w:val="ListBullet"/>
    <w:autoRedefine/>
    <w:pPr>
      <w:ind w:left="2520"/>
    </w:pPr>
  </w:style>
  <w:style w:type="paragraph" w:styleId="ListBullet3">
    <w:name w:val="List Bullet 3"/>
    <w:basedOn w:val="ListBullet"/>
    <w:autoRedefine/>
    <w:pPr>
      <w:ind w:left="2160"/>
    </w:pPr>
  </w:style>
  <w:style w:type="paragraph" w:styleId="ListBullet2">
    <w:name w:val="List Bullet 2"/>
    <w:basedOn w:val="ListBullet"/>
    <w:autoRedefine/>
    <w:pPr>
      <w:ind w:left="1800"/>
    </w:pPr>
  </w:style>
  <w:style w:type="paragraph" w:styleId="List5">
    <w:name w:val="List 5"/>
    <w:basedOn w:val="List"/>
    <w:pPr>
      <w:ind w:left="2880"/>
    </w:pPr>
  </w:style>
  <w:style w:type="paragraph" w:styleId="List4">
    <w:name w:val="List 4"/>
    <w:basedOn w:val="List"/>
    <w:pPr>
      <w:ind w:left="2520"/>
    </w:pPr>
  </w:style>
  <w:style w:type="paragraph" w:styleId="List3">
    <w:name w:val="List 3"/>
    <w:basedOn w:val="List"/>
    <w:pPr>
      <w:ind w:left="2160"/>
    </w:pPr>
  </w:style>
  <w:style w:type="character" w:styleId="CommentReference">
    <w:name w:val="annotation reference"/>
    <w:uiPriority w:val="99"/>
    <w:semiHidden/>
    <w:rPr>
      <w:rFonts w:ascii="Arial" w:hAnsi="Arial"/>
      <w:sz w:val="16"/>
    </w:rPr>
  </w:style>
  <w:style w:type="paragraph" w:styleId="CommentText">
    <w:name w:val="annotation text"/>
    <w:basedOn w:val="FootnoteBase"/>
    <w:link w:val="CommentTextChar"/>
    <w:uiPriority w:val="99"/>
    <w:semiHidden/>
  </w:style>
  <w:style w:type="paragraph" w:styleId="ListNumber2">
    <w:name w:val="List Number 2"/>
    <w:basedOn w:val="ListNumber"/>
    <w:pPr>
      <w:ind w:left="180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NormalIndent">
    <w:name w:val="Normal Indent"/>
    <w:basedOn w:val="Normal"/>
    <w:pPr>
      <w:ind w:left="1440"/>
    </w:p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character" w:customStyle="1" w:styleId="Slogan">
    <w:name w:val="Slogan"/>
    <w:rPr>
      <w:i/>
      <w:spacing w:val="-6"/>
      <w:sz w:val="24"/>
    </w:rPr>
  </w:style>
  <w:style w:type="paragraph" w:customStyle="1" w:styleId="CompanyName">
    <w:name w:val="Company Name"/>
    <w:basedOn w:val="Normal"/>
    <w:pPr>
      <w:keepNext/>
      <w:keepLines/>
      <w:spacing w:line="220" w:lineRule="atLeast"/>
      <w:ind w:left="0"/>
    </w:pPr>
    <w:rPr>
      <w:rFonts w:ascii="Arial Black" w:hAnsi="Arial Black"/>
      <w:spacing w:val="-25"/>
      <w:kern w:val="28"/>
      <w:sz w:val="32"/>
    </w:rPr>
  </w:style>
  <w:style w:type="paragraph" w:customStyle="1" w:styleId="PartLabel">
    <w:name w:val="Part Label"/>
    <w:basedOn w:val="Normal"/>
    <w:pPr>
      <w:shd w:val="solid" w:color="auto" w:fill="auto"/>
      <w:spacing w:line="360" w:lineRule="exact"/>
      <w:ind w:left="0"/>
      <w:jc w:val="center"/>
    </w:pPr>
    <w:rPr>
      <w:color w:val="FFFFFF"/>
      <w:spacing w:val="-16"/>
      <w:sz w:val="26"/>
    </w:rPr>
  </w:style>
  <w:style w:type="paragraph" w:customStyle="1" w:styleId="PartSubtitle">
    <w:name w:val="Part Subtitle"/>
    <w:basedOn w:val="Normal"/>
    <w:next w:val="BodyText"/>
    <w:pPr>
      <w:keepNext/>
      <w:spacing w:before="360" w:after="120"/>
    </w:pPr>
    <w:rPr>
      <w:i/>
      <w:kern w:val="28"/>
      <w:sz w:val="26"/>
    </w:rPr>
  </w:style>
  <w:style w:type="paragraph" w:customStyle="1" w:styleId="PartTitle">
    <w:name w:val="Part Title"/>
    <w:basedOn w:val="Normal"/>
    <w:pPr>
      <w:shd w:val="solid" w:color="auto" w:fill="auto"/>
      <w:spacing w:line="660" w:lineRule="exact"/>
      <w:ind w:left="0"/>
      <w:jc w:val="center"/>
    </w:pPr>
    <w:rPr>
      <w:rFonts w:ascii="Arial Black" w:hAnsi="Arial Black"/>
      <w:color w:val="FFFFFF"/>
      <w:spacing w:val="-40"/>
      <w:sz w:val="84"/>
    </w:rPr>
  </w:style>
  <w:style w:type="paragraph" w:styleId="TableofAuthorities">
    <w:name w:val="table of authorities"/>
    <w:basedOn w:val="Normal"/>
    <w:semiHidden/>
    <w:pPr>
      <w:tabs>
        <w:tab w:val="right" w:leader="dot" w:pos="7560"/>
      </w:tabs>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MessageHeader">
    <w:name w:val="Message Header"/>
    <w:basedOn w:val="BodyText"/>
    <w:pPr>
      <w:keepLines/>
      <w:tabs>
        <w:tab w:val="left" w:pos="3600"/>
        <w:tab w:val="left" w:pos="4680"/>
      </w:tabs>
      <w:spacing w:after="120" w:line="280" w:lineRule="exact"/>
      <w:ind w:right="2160" w:hanging="1080"/>
      <w:jc w:val="left"/>
    </w:pPr>
    <w:rPr>
      <w:spacing w:val="0"/>
      <w:sz w:val="22"/>
    </w:rPr>
  </w:style>
  <w:style w:type="paragraph" w:customStyle="1" w:styleId="TableText">
    <w:name w:val="Table Text"/>
    <w:basedOn w:val="Normal"/>
    <w:pPr>
      <w:spacing w:before="60"/>
      <w:ind w:left="0"/>
    </w:pPr>
    <w:rPr>
      <w:sz w:val="16"/>
    </w:rPr>
  </w:style>
  <w:style w:type="paragraph" w:customStyle="1" w:styleId="TableHeader">
    <w:name w:val="Table Header"/>
    <w:basedOn w:val="Normal"/>
    <w:pPr>
      <w:spacing w:before="60"/>
      <w:ind w:left="0"/>
      <w:jc w:val="center"/>
    </w:pPr>
    <w:rPr>
      <w:rFonts w:ascii="Arial Black" w:hAnsi="Arial Black"/>
      <w:sz w:val="16"/>
    </w:rPr>
  </w:style>
  <w:style w:type="paragraph" w:styleId="BodyTextIndent3">
    <w:name w:val="Body Text Indent 3"/>
    <w:basedOn w:val="Normal"/>
    <w:pPr>
      <w:tabs>
        <w:tab w:val="left" w:pos="3870"/>
      </w:tabs>
      <w:ind w:left="120"/>
      <w:jc w:val="both"/>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link w:val="BalloonTextChar"/>
    <w:uiPriority w:val="99"/>
    <w:semiHidden/>
    <w:rsid w:val="00B1220F"/>
    <w:rPr>
      <w:rFonts w:ascii="Tahoma" w:hAnsi="Tahoma" w:cs="Tahoma"/>
      <w:sz w:val="16"/>
      <w:szCs w:val="16"/>
    </w:rPr>
  </w:style>
  <w:style w:type="character" w:customStyle="1" w:styleId="BodyTextChar">
    <w:name w:val="Body Text Char"/>
    <w:link w:val="BodyText"/>
    <w:uiPriority w:val="1"/>
    <w:rsid w:val="00481985"/>
    <w:rPr>
      <w:rFonts w:ascii="Arial" w:hAnsi="Arial"/>
      <w:spacing w:val="-5"/>
    </w:rPr>
  </w:style>
  <w:style w:type="character" w:customStyle="1" w:styleId="EndnoteTextChar">
    <w:name w:val="Endnote Text Char"/>
    <w:link w:val="EndnoteText"/>
    <w:uiPriority w:val="99"/>
    <w:semiHidden/>
    <w:rsid w:val="00481985"/>
    <w:rPr>
      <w:rFonts w:ascii="Arial" w:hAnsi="Arial"/>
      <w:spacing w:val="-5"/>
      <w:sz w:val="16"/>
    </w:rPr>
  </w:style>
  <w:style w:type="character" w:customStyle="1" w:styleId="CommentTextChar">
    <w:name w:val="Comment Text Char"/>
    <w:link w:val="CommentText"/>
    <w:uiPriority w:val="99"/>
    <w:semiHidden/>
    <w:rsid w:val="003273B2"/>
    <w:rPr>
      <w:rFonts w:ascii="Arial" w:hAnsi="Arial"/>
      <w:spacing w:val="-5"/>
      <w:sz w:val="16"/>
    </w:rPr>
  </w:style>
  <w:style w:type="paragraph" w:customStyle="1" w:styleId="CM13">
    <w:name w:val="CM13"/>
    <w:basedOn w:val="Normal"/>
    <w:next w:val="Normal"/>
    <w:uiPriority w:val="99"/>
    <w:rsid w:val="007E6F9F"/>
    <w:pPr>
      <w:widowControl w:val="0"/>
      <w:autoSpaceDE w:val="0"/>
      <w:autoSpaceDN w:val="0"/>
      <w:adjustRightInd w:val="0"/>
      <w:ind w:left="0"/>
    </w:pPr>
    <w:rPr>
      <w:rFonts w:cs="Arial"/>
      <w:spacing w:val="0"/>
      <w:sz w:val="24"/>
      <w:szCs w:val="24"/>
    </w:rPr>
  </w:style>
  <w:style w:type="paragraph" w:customStyle="1" w:styleId="CM14">
    <w:name w:val="CM14"/>
    <w:basedOn w:val="Normal"/>
    <w:next w:val="Normal"/>
    <w:uiPriority w:val="99"/>
    <w:rsid w:val="007E6F9F"/>
    <w:pPr>
      <w:widowControl w:val="0"/>
      <w:autoSpaceDE w:val="0"/>
      <w:autoSpaceDN w:val="0"/>
      <w:adjustRightInd w:val="0"/>
      <w:ind w:left="0"/>
    </w:pPr>
    <w:rPr>
      <w:rFonts w:cs="Arial"/>
      <w:spacing w:val="0"/>
      <w:sz w:val="24"/>
      <w:szCs w:val="24"/>
    </w:rPr>
  </w:style>
  <w:style w:type="paragraph" w:styleId="Revision">
    <w:name w:val="Revision"/>
    <w:hidden/>
    <w:uiPriority w:val="99"/>
    <w:semiHidden/>
    <w:rsid w:val="00576416"/>
    <w:rPr>
      <w:rFonts w:ascii="Arial" w:hAnsi="Arial"/>
      <w:spacing w:val="-5"/>
    </w:rPr>
  </w:style>
  <w:style w:type="paragraph" w:styleId="PlainText">
    <w:name w:val="Plain Text"/>
    <w:basedOn w:val="Normal"/>
    <w:link w:val="PlainTextChar"/>
    <w:uiPriority w:val="99"/>
    <w:unhideWhenUsed/>
    <w:rsid w:val="002818BE"/>
    <w:pPr>
      <w:ind w:left="0"/>
    </w:pPr>
    <w:rPr>
      <w:rFonts w:ascii="Courier New" w:hAnsi="Courier New"/>
      <w:spacing w:val="0"/>
      <w:sz w:val="22"/>
      <w:szCs w:val="21"/>
    </w:rPr>
  </w:style>
  <w:style w:type="character" w:customStyle="1" w:styleId="PlainTextChar">
    <w:name w:val="Plain Text Char"/>
    <w:link w:val="PlainText"/>
    <w:uiPriority w:val="99"/>
    <w:rsid w:val="002818BE"/>
    <w:rPr>
      <w:rFonts w:ascii="Courier New" w:hAnsi="Courier New" w:cs="Times New Roman"/>
      <w:sz w:val="22"/>
      <w:szCs w:val="21"/>
    </w:rPr>
  </w:style>
  <w:style w:type="character" w:customStyle="1" w:styleId="apple-style-span">
    <w:name w:val="apple-style-span"/>
    <w:rsid w:val="00E45358"/>
  </w:style>
  <w:style w:type="paragraph" w:styleId="TOCHeading">
    <w:name w:val="TOC Heading"/>
    <w:basedOn w:val="Heading1"/>
    <w:next w:val="Normal"/>
    <w:uiPriority w:val="39"/>
    <w:semiHidden/>
    <w:unhideWhenUsed/>
    <w:qFormat/>
    <w:rsid w:val="00AF200A"/>
    <w:pPr>
      <w:pBdr>
        <w:top w:val="none" w:sz="0" w:space="0" w:color="auto"/>
        <w:left w:val="none" w:sz="0" w:space="0" w:color="auto"/>
        <w:bottom w:val="none" w:sz="0" w:space="0" w:color="auto"/>
      </w:pBdr>
      <w:shd w:val="clear" w:color="auto" w:fill="auto"/>
      <w:spacing w:before="480" w:after="0" w:line="276" w:lineRule="auto"/>
      <w:ind w:left="0"/>
      <w:outlineLvl w:val="9"/>
    </w:pPr>
    <w:rPr>
      <w:rFonts w:ascii="Cambria" w:eastAsia="MS Gothic" w:hAnsi="Cambria"/>
      <w:b/>
      <w:bCs/>
      <w:color w:val="365F91"/>
      <w:spacing w:val="0"/>
      <w:kern w:val="0"/>
      <w:sz w:val="28"/>
      <w:szCs w:val="28"/>
      <w:lang w:eastAsia="ja-JP"/>
    </w:rPr>
  </w:style>
  <w:style w:type="paragraph" w:styleId="TOC6">
    <w:name w:val="toc 6"/>
    <w:basedOn w:val="Normal"/>
    <w:next w:val="Normal"/>
    <w:autoRedefine/>
    <w:rsid w:val="000869F7"/>
    <w:pPr>
      <w:ind w:left="1000"/>
    </w:pPr>
    <w:rPr>
      <w:rFonts w:ascii="Calibri" w:hAnsi="Calibri" w:cs="Calibri"/>
    </w:rPr>
  </w:style>
  <w:style w:type="paragraph" w:styleId="TOC7">
    <w:name w:val="toc 7"/>
    <w:basedOn w:val="Normal"/>
    <w:next w:val="Normal"/>
    <w:autoRedefine/>
    <w:rsid w:val="000869F7"/>
    <w:pPr>
      <w:ind w:left="1200"/>
    </w:pPr>
    <w:rPr>
      <w:rFonts w:ascii="Calibri" w:hAnsi="Calibri" w:cs="Calibri"/>
    </w:rPr>
  </w:style>
  <w:style w:type="paragraph" w:styleId="TOC8">
    <w:name w:val="toc 8"/>
    <w:basedOn w:val="Normal"/>
    <w:next w:val="Normal"/>
    <w:autoRedefine/>
    <w:rsid w:val="000869F7"/>
    <w:pPr>
      <w:ind w:left="1400"/>
    </w:pPr>
    <w:rPr>
      <w:rFonts w:ascii="Calibri" w:hAnsi="Calibri" w:cs="Calibri"/>
    </w:rPr>
  </w:style>
  <w:style w:type="paragraph" w:styleId="TOC9">
    <w:name w:val="toc 9"/>
    <w:basedOn w:val="Normal"/>
    <w:next w:val="Normal"/>
    <w:autoRedefine/>
    <w:rsid w:val="000869F7"/>
    <w:pPr>
      <w:ind w:left="1600"/>
    </w:pPr>
    <w:rPr>
      <w:rFonts w:ascii="Calibri" w:hAnsi="Calibri" w:cs="Calibri"/>
    </w:rPr>
  </w:style>
  <w:style w:type="table" w:styleId="TableGrid">
    <w:name w:val="Table Grid"/>
    <w:basedOn w:val="TableNormal"/>
    <w:rsid w:val="00DB2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26C9A"/>
    <w:rPr>
      <w:rFonts w:ascii="Calibri" w:eastAsia="MS Mincho" w:hAnsi="Calibri" w:cs="Arial"/>
      <w:sz w:val="22"/>
      <w:szCs w:val="22"/>
      <w:lang w:eastAsia="ja-JP"/>
    </w:rPr>
  </w:style>
  <w:style w:type="character" w:customStyle="1" w:styleId="NoSpacingChar">
    <w:name w:val="No Spacing Char"/>
    <w:link w:val="NoSpacing"/>
    <w:uiPriority w:val="1"/>
    <w:rsid w:val="00226C9A"/>
    <w:rPr>
      <w:rFonts w:ascii="Calibri" w:eastAsia="MS Mincho" w:hAnsi="Calibri" w:cs="Arial"/>
      <w:sz w:val="22"/>
      <w:szCs w:val="22"/>
      <w:lang w:eastAsia="ja-JP"/>
    </w:rPr>
  </w:style>
  <w:style w:type="character" w:customStyle="1" w:styleId="TitleChar">
    <w:name w:val="Title Char"/>
    <w:link w:val="Title"/>
    <w:uiPriority w:val="10"/>
    <w:rsid w:val="00226C9A"/>
    <w:rPr>
      <w:rFonts w:ascii="Arial Black" w:hAnsi="Arial Black"/>
      <w:spacing w:val="-30"/>
      <w:kern w:val="28"/>
      <w:sz w:val="40"/>
    </w:rPr>
  </w:style>
  <w:style w:type="character" w:customStyle="1" w:styleId="SubtitleChar">
    <w:name w:val="Subtitle Char"/>
    <w:link w:val="Subtitle"/>
    <w:uiPriority w:val="11"/>
    <w:rsid w:val="00226C9A"/>
    <w:rPr>
      <w:rFonts w:ascii="Arial" w:hAnsi="Arial"/>
      <w:spacing w:val="-16"/>
      <w:kern w:val="28"/>
      <w:sz w:val="32"/>
    </w:rPr>
  </w:style>
  <w:style w:type="paragraph" w:styleId="CommentSubject">
    <w:name w:val="annotation subject"/>
    <w:basedOn w:val="CommentText"/>
    <w:next w:val="CommentText"/>
    <w:link w:val="CommentSubjectChar"/>
    <w:uiPriority w:val="99"/>
    <w:rsid w:val="00B445D4"/>
    <w:pPr>
      <w:keepLines w:val="0"/>
      <w:spacing w:line="240" w:lineRule="auto"/>
    </w:pPr>
    <w:rPr>
      <w:b/>
      <w:bCs/>
      <w:sz w:val="20"/>
    </w:rPr>
  </w:style>
  <w:style w:type="character" w:customStyle="1" w:styleId="CommentSubjectChar">
    <w:name w:val="Comment Subject Char"/>
    <w:link w:val="CommentSubject"/>
    <w:uiPriority w:val="99"/>
    <w:rsid w:val="00B445D4"/>
    <w:rPr>
      <w:rFonts w:ascii="Arial" w:hAnsi="Arial"/>
      <w:b/>
      <w:bCs/>
      <w:spacing w:val="-5"/>
      <w:sz w:val="16"/>
    </w:rPr>
  </w:style>
  <w:style w:type="numbering" w:customStyle="1" w:styleId="NoList1">
    <w:name w:val="No List1"/>
    <w:next w:val="NoList"/>
    <w:uiPriority w:val="99"/>
    <w:semiHidden/>
    <w:unhideWhenUsed/>
    <w:rsid w:val="00221602"/>
  </w:style>
  <w:style w:type="character" w:customStyle="1" w:styleId="BalloonTextChar">
    <w:name w:val="Balloon Text Char"/>
    <w:link w:val="BalloonText"/>
    <w:uiPriority w:val="99"/>
    <w:semiHidden/>
    <w:rsid w:val="00221602"/>
    <w:rPr>
      <w:rFonts w:ascii="Tahoma" w:hAnsi="Tahoma" w:cs="Tahoma"/>
      <w:spacing w:val="-5"/>
      <w:sz w:val="16"/>
      <w:szCs w:val="16"/>
    </w:rPr>
  </w:style>
  <w:style w:type="paragraph" w:customStyle="1" w:styleId="TableParagraph">
    <w:name w:val="Table Paragraph"/>
    <w:basedOn w:val="Normal"/>
    <w:uiPriority w:val="1"/>
    <w:qFormat/>
    <w:rsid w:val="00221602"/>
    <w:pPr>
      <w:widowControl w:val="0"/>
      <w:ind w:left="0"/>
    </w:pPr>
    <w:rPr>
      <w:rFonts w:ascii="Calibri" w:eastAsia="Calibri" w:hAnsi="Calibri"/>
      <w:spacing w:val="0"/>
      <w:sz w:val="22"/>
      <w:szCs w:val="22"/>
    </w:rPr>
  </w:style>
  <w:style w:type="table" w:styleId="LightShading-Accent1">
    <w:name w:val="Light Shading Accent 1"/>
    <w:basedOn w:val="TableNormal"/>
    <w:uiPriority w:val="60"/>
    <w:rsid w:val="00880604"/>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F70F4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0670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99951">
      <w:bodyDiv w:val="1"/>
      <w:marLeft w:val="0"/>
      <w:marRight w:val="0"/>
      <w:marTop w:val="0"/>
      <w:marBottom w:val="0"/>
      <w:divBdr>
        <w:top w:val="none" w:sz="0" w:space="0" w:color="auto"/>
        <w:left w:val="none" w:sz="0" w:space="0" w:color="auto"/>
        <w:bottom w:val="none" w:sz="0" w:space="0" w:color="auto"/>
        <w:right w:val="none" w:sz="0" w:space="0" w:color="auto"/>
      </w:divBdr>
    </w:div>
    <w:div w:id="151869021">
      <w:bodyDiv w:val="1"/>
      <w:marLeft w:val="0"/>
      <w:marRight w:val="0"/>
      <w:marTop w:val="0"/>
      <w:marBottom w:val="0"/>
      <w:divBdr>
        <w:top w:val="none" w:sz="0" w:space="0" w:color="auto"/>
        <w:left w:val="none" w:sz="0" w:space="0" w:color="auto"/>
        <w:bottom w:val="none" w:sz="0" w:space="0" w:color="auto"/>
        <w:right w:val="none" w:sz="0" w:space="0" w:color="auto"/>
      </w:divBdr>
    </w:div>
    <w:div w:id="161429618">
      <w:bodyDiv w:val="1"/>
      <w:marLeft w:val="0"/>
      <w:marRight w:val="0"/>
      <w:marTop w:val="0"/>
      <w:marBottom w:val="0"/>
      <w:divBdr>
        <w:top w:val="none" w:sz="0" w:space="0" w:color="auto"/>
        <w:left w:val="none" w:sz="0" w:space="0" w:color="auto"/>
        <w:bottom w:val="none" w:sz="0" w:space="0" w:color="auto"/>
        <w:right w:val="none" w:sz="0" w:space="0" w:color="auto"/>
      </w:divBdr>
    </w:div>
    <w:div w:id="226497259">
      <w:bodyDiv w:val="1"/>
      <w:marLeft w:val="0"/>
      <w:marRight w:val="0"/>
      <w:marTop w:val="0"/>
      <w:marBottom w:val="0"/>
      <w:divBdr>
        <w:top w:val="none" w:sz="0" w:space="0" w:color="auto"/>
        <w:left w:val="none" w:sz="0" w:space="0" w:color="auto"/>
        <w:bottom w:val="none" w:sz="0" w:space="0" w:color="auto"/>
        <w:right w:val="none" w:sz="0" w:space="0" w:color="auto"/>
      </w:divBdr>
    </w:div>
    <w:div w:id="286397110">
      <w:bodyDiv w:val="1"/>
      <w:marLeft w:val="0"/>
      <w:marRight w:val="0"/>
      <w:marTop w:val="0"/>
      <w:marBottom w:val="0"/>
      <w:divBdr>
        <w:top w:val="none" w:sz="0" w:space="0" w:color="auto"/>
        <w:left w:val="none" w:sz="0" w:space="0" w:color="auto"/>
        <w:bottom w:val="none" w:sz="0" w:space="0" w:color="auto"/>
        <w:right w:val="none" w:sz="0" w:space="0" w:color="auto"/>
      </w:divBdr>
    </w:div>
    <w:div w:id="343824872">
      <w:bodyDiv w:val="1"/>
      <w:marLeft w:val="0"/>
      <w:marRight w:val="0"/>
      <w:marTop w:val="0"/>
      <w:marBottom w:val="0"/>
      <w:divBdr>
        <w:top w:val="none" w:sz="0" w:space="0" w:color="auto"/>
        <w:left w:val="none" w:sz="0" w:space="0" w:color="auto"/>
        <w:bottom w:val="none" w:sz="0" w:space="0" w:color="auto"/>
        <w:right w:val="none" w:sz="0" w:space="0" w:color="auto"/>
      </w:divBdr>
    </w:div>
    <w:div w:id="374740485">
      <w:bodyDiv w:val="1"/>
      <w:marLeft w:val="0"/>
      <w:marRight w:val="0"/>
      <w:marTop w:val="0"/>
      <w:marBottom w:val="0"/>
      <w:divBdr>
        <w:top w:val="none" w:sz="0" w:space="0" w:color="auto"/>
        <w:left w:val="none" w:sz="0" w:space="0" w:color="auto"/>
        <w:bottom w:val="none" w:sz="0" w:space="0" w:color="auto"/>
        <w:right w:val="none" w:sz="0" w:space="0" w:color="auto"/>
      </w:divBdr>
      <w:divsChild>
        <w:div w:id="1449351462">
          <w:marLeft w:val="0"/>
          <w:marRight w:val="0"/>
          <w:marTop w:val="0"/>
          <w:marBottom w:val="0"/>
          <w:divBdr>
            <w:top w:val="none" w:sz="0" w:space="0" w:color="auto"/>
            <w:left w:val="none" w:sz="0" w:space="0" w:color="auto"/>
            <w:bottom w:val="none" w:sz="0" w:space="0" w:color="auto"/>
            <w:right w:val="none" w:sz="0" w:space="0" w:color="auto"/>
          </w:divBdr>
        </w:div>
      </w:divsChild>
    </w:div>
    <w:div w:id="392848742">
      <w:bodyDiv w:val="1"/>
      <w:marLeft w:val="0"/>
      <w:marRight w:val="0"/>
      <w:marTop w:val="0"/>
      <w:marBottom w:val="0"/>
      <w:divBdr>
        <w:top w:val="none" w:sz="0" w:space="0" w:color="auto"/>
        <w:left w:val="none" w:sz="0" w:space="0" w:color="auto"/>
        <w:bottom w:val="none" w:sz="0" w:space="0" w:color="auto"/>
        <w:right w:val="none" w:sz="0" w:space="0" w:color="auto"/>
      </w:divBdr>
    </w:div>
    <w:div w:id="413356788">
      <w:bodyDiv w:val="1"/>
      <w:marLeft w:val="0"/>
      <w:marRight w:val="0"/>
      <w:marTop w:val="0"/>
      <w:marBottom w:val="0"/>
      <w:divBdr>
        <w:top w:val="none" w:sz="0" w:space="0" w:color="auto"/>
        <w:left w:val="none" w:sz="0" w:space="0" w:color="auto"/>
        <w:bottom w:val="none" w:sz="0" w:space="0" w:color="auto"/>
        <w:right w:val="none" w:sz="0" w:space="0" w:color="auto"/>
      </w:divBdr>
    </w:div>
    <w:div w:id="432093630">
      <w:bodyDiv w:val="1"/>
      <w:marLeft w:val="0"/>
      <w:marRight w:val="0"/>
      <w:marTop w:val="0"/>
      <w:marBottom w:val="0"/>
      <w:divBdr>
        <w:top w:val="none" w:sz="0" w:space="0" w:color="auto"/>
        <w:left w:val="none" w:sz="0" w:space="0" w:color="auto"/>
        <w:bottom w:val="none" w:sz="0" w:space="0" w:color="auto"/>
        <w:right w:val="none" w:sz="0" w:space="0" w:color="auto"/>
      </w:divBdr>
    </w:div>
    <w:div w:id="538520021">
      <w:bodyDiv w:val="1"/>
      <w:marLeft w:val="0"/>
      <w:marRight w:val="0"/>
      <w:marTop w:val="0"/>
      <w:marBottom w:val="0"/>
      <w:divBdr>
        <w:top w:val="none" w:sz="0" w:space="0" w:color="auto"/>
        <w:left w:val="none" w:sz="0" w:space="0" w:color="auto"/>
        <w:bottom w:val="none" w:sz="0" w:space="0" w:color="auto"/>
        <w:right w:val="none" w:sz="0" w:space="0" w:color="auto"/>
      </w:divBdr>
    </w:div>
    <w:div w:id="555705373">
      <w:bodyDiv w:val="1"/>
      <w:marLeft w:val="0"/>
      <w:marRight w:val="0"/>
      <w:marTop w:val="0"/>
      <w:marBottom w:val="0"/>
      <w:divBdr>
        <w:top w:val="none" w:sz="0" w:space="0" w:color="auto"/>
        <w:left w:val="none" w:sz="0" w:space="0" w:color="auto"/>
        <w:bottom w:val="none" w:sz="0" w:space="0" w:color="auto"/>
        <w:right w:val="none" w:sz="0" w:space="0" w:color="auto"/>
      </w:divBdr>
    </w:div>
    <w:div w:id="562377771">
      <w:bodyDiv w:val="1"/>
      <w:marLeft w:val="0"/>
      <w:marRight w:val="0"/>
      <w:marTop w:val="0"/>
      <w:marBottom w:val="0"/>
      <w:divBdr>
        <w:top w:val="none" w:sz="0" w:space="0" w:color="auto"/>
        <w:left w:val="none" w:sz="0" w:space="0" w:color="auto"/>
        <w:bottom w:val="none" w:sz="0" w:space="0" w:color="auto"/>
        <w:right w:val="none" w:sz="0" w:space="0" w:color="auto"/>
      </w:divBdr>
    </w:div>
    <w:div w:id="563028803">
      <w:bodyDiv w:val="1"/>
      <w:marLeft w:val="0"/>
      <w:marRight w:val="0"/>
      <w:marTop w:val="0"/>
      <w:marBottom w:val="0"/>
      <w:divBdr>
        <w:top w:val="none" w:sz="0" w:space="0" w:color="auto"/>
        <w:left w:val="none" w:sz="0" w:space="0" w:color="auto"/>
        <w:bottom w:val="none" w:sz="0" w:space="0" w:color="auto"/>
        <w:right w:val="none" w:sz="0" w:space="0" w:color="auto"/>
      </w:divBdr>
    </w:div>
    <w:div w:id="661660404">
      <w:bodyDiv w:val="1"/>
      <w:marLeft w:val="0"/>
      <w:marRight w:val="0"/>
      <w:marTop w:val="0"/>
      <w:marBottom w:val="0"/>
      <w:divBdr>
        <w:top w:val="none" w:sz="0" w:space="0" w:color="auto"/>
        <w:left w:val="none" w:sz="0" w:space="0" w:color="auto"/>
        <w:bottom w:val="none" w:sz="0" w:space="0" w:color="auto"/>
        <w:right w:val="none" w:sz="0" w:space="0" w:color="auto"/>
      </w:divBdr>
    </w:div>
    <w:div w:id="665204419">
      <w:bodyDiv w:val="1"/>
      <w:marLeft w:val="0"/>
      <w:marRight w:val="0"/>
      <w:marTop w:val="0"/>
      <w:marBottom w:val="0"/>
      <w:divBdr>
        <w:top w:val="none" w:sz="0" w:space="0" w:color="auto"/>
        <w:left w:val="none" w:sz="0" w:space="0" w:color="auto"/>
        <w:bottom w:val="none" w:sz="0" w:space="0" w:color="auto"/>
        <w:right w:val="none" w:sz="0" w:space="0" w:color="auto"/>
      </w:divBdr>
    </w:div>
    <w:div w:id="678657279">
      <w:bodyDiv w:val="1"/>
      <w:marLeft w:val="0"/>
      <w:marRight w:val="0"/>
      <w:marTop w:val="0"/>
      <w:marBottom w:val="0"/>
      <w:divBdr>
        <w:top w:val="none" w:sz="0" w:space="0" w:color="auto"/>
        <w:left w:val="none" w:sz="0" w:space="0" w:color="auto"/>
        <w:bottom w:val="none" w:sz="0" w:space="0" w:color="auto"/>
        <w:right w:val="none" w:sz="0" w:space="0" w:color="auto"/>
      </w:divBdr>
      <w:divsChild>
        <w:div w:id="788922">
          <w:marLeft w:val="0"/>
          <w:marRight w:val="0"/>
          <w:marTop w:val="0"/>
          <w:marBottom w:val="0"/>
          <w:divBdr>
            <w:top w:val="none" w:sz="0" w:space="0" w:color="auto"/>
            <w:left w:val="none" w:sz="0" w:space="0" w:color="auto"/>
            <w:bottom w:val="none" w:sz="0" w:space="0" w:color="auto"/>
            <w:right w:val="none" w:sz="0" w:space="0" w:color="auto"/>
          </w:divBdr>
        </w:div>
      </w:divsChild>
    </w:div>
    <w:div w:id="703096913">
      <w:bodyDiv w:val="1"/>
      <w:marLeft w:val="0"/>
      <w:marRight w:val="0"/>
      <w:marTop w:val="0"/>
      <w:marBottom w:val="0"/>
      <w:divBdr>
        <w:top w:val="none" w:sz="0" w:space="0" w:color="auto"/>
        <w:left w:val="none" w:sz="0" w:space="0" w:color="auto"/>
        <w:bottom w:val="none" w:sz="0" w:space="0" w:color="auto"/>
        <w:right w:val="none" w:sz="0" w:space="0" w:color="auto"/>
      </w:divBdr>
    </w:div>
    <w:div w:id="710961639">
      <w:bodyDiv w:val="1"/>
      <w:marLeft w:val="0"/>
      <w:marRight w:val="0"/>
      <w:marTop w:val="0"/>
      <w:marBottom w:val="0"/>
      <w:divBdr>
        <w:top w:val="none" w:sz="0" w:space="0" w:color="auto"/>
        <w:left w:val="none" w:sz="0" w:space="0" w:color="auto"/>
        <w:bottom w:val="none" w:sz="0" w:space="0" w:color="auto"/>
        <w:right w:val="none" w:sz="0" w:space="0" w:color="auto"/>
      </w:divBdr>
    </w:div>
    <w:div w:id="741635223">
      <w:bodyDiv w:val="1"/>
      <w:marLeft w:val="0"/>
      <w:marRight w:val="0"/>
      <w:marTop w:val="0"/>
      <w:marBottom w:val="0"/>
      <w:divBdr>
        <w:top w:val="none" w:sz="0" w:space="0" w:color="auto"/>
        <w:left w:val="none" w:sz="0" w:space="0" w:color="auto"/>
        <w:bottom w:val="none" w:sz="0" w:space="0" w:color="auto"/>
        <w:right w:val="none" w:sz="0" w:space="0" w:color="auto"/>
      </w:divBdr>
    </w:div>
    <w:div w:id="742217066">
      <w:bodyDiv w:val="1"/>
      <w:marLeft w:val="0"/>
      <w:marRight w:val="0"/>
      <w:marTop w:val="0"/>
      <w:marBottom w:val="0"/>
      <w:divBdr>
        <w:top w:val="none" w:sz="0" w:space="0" w:color="auto"/>
        <w:left w:val="none" w:sz="0" w:space="0" w:color="auto"/>
        <w:bottom w:val="none" w:sz="0" w:space="0" w:color="auto"/>
        <w:right w:val="none" w:sz="0" w:space="0" w:color="auto"/>
      </w:divBdr>
    </w:div>
    <w:div w:id="742917978">
      <w:bodyDiv w:val="1"/>
      <w:marLeft w:val="0"/>
      <w:marRight w:val="0"/>
      <w:marTop w:val="0"/>
      <w:marBottom w:val="0"/>
      <w:divBdr>
        <w:top w:val="none" w:sz="0" w:space="0" w:color="auto"/>
        <w:left w:val="none" w:sz="0" w:space="0" w:color="auto"/>
        <w:bottom w:val="none" w:sz="0" w:space="0" w:color="auto"/>
        <w:right w:val="none" w:sz="0" w:space="0" w:color="auto"/>
      </w:divBdr>
    </w:div>
    <w:div w:id="824786383">
      <w:bodyDiv w:val="1"/>
      <w:marLeft w:val="0"/>
      <w:marRight w:val="0"/>
      <w:marTop w:val="0"/>
      <w:marBottom w:val="0"/>
      <w:divBdr>
        <w:top w:val="none" w:sz="0" w:space="0" w:color="auto"/>
        <w:left w:val="none" w:sz="0" w:space="0" w:color="auto"/>
        <w:bottom w:val="none" w:sz="0" w:space="0" w:color="auto"/>
        <w:right w:val="none" w:sz="0" w:space="0" w:color="auto"/>
      </w:divBdr>
    </w:div>
    <w:div w:id="854459007">
      <w:bodyDiv w:val="1"/>
      <w:marLeft w:val="0"/>
      <w:marRight w:val="0"/>
      <w:marTop w:val="0"/>
      <w:marBottom w:val="0"/>
      <w:divBdr>
        <w:top w:val="none" w:sz="0" w:space="0" w:color="auto"/>
        <w:left w:val="none" w:sz="0" w:space="0" w:color="auto"/>
        <w:bottom w:val="none" w:sz="0" w:space="0" w:color="auto"/>
        <w:right w:val="none" w:sz="0" w:space="0" w:color="auto"/>
      </w:divBdr>
    </w:div>
    <w:div w:id="886799080">
      <w:bodyDiv w:val="1"/>
      <w:marLeft w:val="0"/>
      <w:marRight w:val="0"/>
      <w:marTop w:val="0"/>
      <w:marBottom w:val="0"/>
      <w:divBdr>
        <w:top w:val="none" w:sz="0" w:space="0" w:color="auto"/>
        <w:left w:val="none" w:sz="0" w:space="0" w:color="auto"/>
        <w:bottom w:val="none" w:sz="0" w:space="0" w:color="auto"/>
        <w:right w:val="none" w:sz="0" w:space="0" w:color="auto"/>
      </w:divBdr>
    </w:div>
    <w:div w:id="1099177084">
      <w:bodyDiv w:val="1"/>
      <w:marLeft w:val="0"/>
      <w:marRight w:val="0"/>
      <w:marTop w:val="0"/>
      <w:marBottom w:val="0"/>
      <w:divBdr>
        <w:top w:val="none" w:sz="0" w:space="0" w:color="auto"/>
        <w:left w:val="none" w:sz="0" w:space="0" w:color="auto"/>
        <w:bottom w:val="none" w:sz="0" w:space="0" w:color="auto"/>
        <w:right w:val="none" w:sz="0" w:space="0" w:color="auto"/>
      </w:divBdr>
    </w:div>
    <w:div w:id="1167596035">
      <w:bodyDiv w:val="1"/>
      <w:marLeft w:val="0"/>
      <w:marRight w:val="0"/>
      <w:marTop w:val="0"/>
      <w:marBottom w:val="0"/>
      <w:divBdr>
        <w:top w:val="none" w:sz="0" w:space="0" w:color="auto"/>
        <w:left w:val="none" w:sz="0" w:space="0" w:color="auto"/>
        <w:bottom w:val="none" w:sz="0" w:space="0" w:color="auto"/>
        <w:right w:val="none" w:sz="0" w:space="0" w:color="auto"/>
      </w:divBdr>
    </w:div>
    <w:div w:id="1187448503">
      <w:bodyDiv w:val="1"/>
      <w:marLeft w:val="0"/>
      <w:marRight w:val="0"/>
      <w:marTop w:val="0"/>
      <w:marBottom w:val="0"/>
      <w:divBdr>
        <w:top w:val="none" w:sz="0" w:space="0" w:color="auto"/>
        <w:left w:val="none" w:sz="0" w:space="0" w:color="auto"/>
        <w:bottom w:val="none" w:sz="0" w:space="0" w:color="auto"/>
        <w:right w:val="none" w:sz="0" w:space="0" w:color="auto"/>
      </w:divBdr>
    </w:div>
    <w:div w:id="1224753291">
      <w:bodyDiv w:val="1"/>
      <w:marLeft w:val="0"/>
      <w:marRight w:val="0"/>
      <w:marTop w:val="0"/>
      <w:marBottom w:val="0"/>
      <w:divBdr>
        <w:top w:val="none" w:sz="0" w:space="0" w:color="auto"/>
        <w:left w:val="none" w:sz="0" w:space="0" w:color="auto"/>
        <w:bottom w:val="none" w:sz="0" w:space="0" w:color="auto"/>
        <w:right w:val="none" w:sz="0" w:space="0" w:color="auto"/>
      </w:divBdr>
    </w:div>
    <w:div w:id="1305164867">
      <w:bodyDiv w:val="1"/>
      <w:marLeft w:val="0"/>
      <w:marRight w:val="0"/>
      <w:marTop w:val="0"/>
      <w:marBottom w:val="0"/>
      <w:divBdr>
        <w:top w:val="none" w:sz="0" w:space="0" w:color="auto"/>
        <w:left w:val="none" w:sz="0" w:space="0" w:color="auto"/>
        <w:bottom w:val="none" w:sz="0" w:space="0" w:color="auto"/>
        <w:right w:val="none" w:sz="0" w:space="0" w:color="auto"/>
      </w:divBdr>
    </w:div>
    <w:div w:id="1365599411">
      <w:bodyDiv w:val="1"/>
      <w:marLeft w:val="0"/>
      <w:marRight w:val="0"/>
      <w:marTop w:val="0"/>
      <w:marBottom w:val="0"/>
      <w:divBdr>
        <w:top w:val="none" w:sz="0" w:space="0" w:color="auto"/>
        <w:left w:val="none" w:sz="0" w:space="0" w:color="auto"/>
        <w:bottom w:val="none" w:sz="0" w:space="0" w:color="auto"/>
        <w:right w:val="none" w:sz="0" w:space="0" w:color="auto"/>
      </w:divBdr>
    </w:div>
    <w:div w:id="1384868907">
      <w:bodyDiv w:val="1"/>
      <w:marLeft w:val="0"/>
      <w:marRight w:val="0"/>
      <w:marTop w:val="0"/>
      <w:marBottom w:val="0"/>
      <w:divBdr>
        <w:top w:val="none" w:sz="0" w:space="0" w:color="auto"/>
        <w:left w:val="none" w:sz="0" w:space="0" w:color="auto"/>
        <w:bottom w:val="none" w:sz="0" w:space="0" w:color="auto"/>
        <w:right w:val="none" w:sz="0" w:space="0" w:color="auto"/>
      </w:divBdr>
    </w:div>
    <w:div w:id="1400321128">
      <w:bodyDiv w:val="1"/>
      <w:marLeft w:val="0"/>
      <w:marRight w:val="0"/>
      <w:marTop w:val="0"/>
      <w:marBottom w:val="0"/>
      <w:divBdr>
        <w:top w:val="none" w:sz="0" w:space="0" w:color="auto"/>
        <w:left w:val="none" w:sz="0" w:space="0" w:color="auto"/>
        <w:bottom w:val="none" w:sz="0" w:space="0" w:color="auto"/>
        <w:right w:val="none" w:sz="0" w:space="0" w:color="auto"/>
      </w:divBdr>
    </w:div>
    <w:div w:id="1469201886">
      <w:bodyDiv w:val="1"/>
      <w:marLeft w:val="0"/>
      <w:marRight w:val="0"/>
      <w:marTop w:val="0"/>
      <w:marBottom w:val="0"/>
      <w:divBdr>
        <w:top w:val="none" w:sz="0" w:space="0" w:color="auto"/>
        <w:left w:val="none" w:sz="0" w:space="0" w:color="auto"/>
        <w:bottom w:val="none" w:sz="0" w:space="0" w:color="auto"/>
        <w:right w:val="none" w:sz="0" w:space="0" w:color="auto"/>
      </w:divBdr>
    </w:div>
    <w:div w:id="1501654553">
      <w:bodyDiv w:val="1"/>
      <w:marLeft w:val="0"/>
      <w:marRight w:val="0"/>
      <w:marTop w:val="0"/>
      <w:marBottom w:val="0"/>
      <w:divBdr>
        <w:top w:val="none" w:sz="0" w:space="0" w:color="auto"/>
        <w:left w:val="none" w:sz="0" w:space="0" w:color="auto"/>
        <w:bottom w:val="none" w:sz="0" w:space="0" w:color="auto"/>
        <w:right w:val="none" w:sz="0" w:space="0" w:color="auto"/>
      </w:divBdr>
      <w:divsChild>
        <w:div w:id="1399084941">
          <w:marLeft w:val="0"/>
          <w:marRight w:val="0"/>
          <w:marTop w:val="0"/>
          <w:marBottom w:val="0"/>
          <w:divBdr>
            <w:top w:val="none" w:sz="0" w:space="0" w:color="auto"/>
            <w:left w:val="none" w:sz="0" w:space="0" w:color="auto"/>
            <w:bottom w:val="none" w:sz="0" w:space="0" w:color="auto"/>
            <w:right w:val="none" w:sz="0" w:space="0" w:color="auto"/>
          </w:divBdr>
        </w:div>
      </w:divsChild>
    </w:div>
    <w:div w:id="1595506405">
      <w:bodyDiv w:val="1"/>
      <w:marLeft w:val="0"/>
      <w:marRight w:val="0"/>
      <w:marTop w:val="0"/>
      <w:marBottom w:val="0"/>
      <w:divBdr>
        <w:top w:val="none" w:sz="0" w:space="0" w:color="auto"/>
        <w:left w:val="none" w:sz="0" w:space="0" w:color="auto"/>
        <w:bottom w:val="none" w:sz="0" w:space="0" w:color="auto"/>
        <w:right w:val="none" w:sz="0" w:space="0" w:color="auto"/>
      </w:divBdr>
    </w:div>
    <w:div w:id="1602909254">
      <w:bodyDiv w:val="1"/>
      <w:marLeft w:val="0"/>
      <w:marRight w:val="0"/>
      <w:marTop w:val="0"/>
      <w:marBottom w:val="0"/>
      <w:divBdr>
        <w:top w:val="none" w:sz="0" w:space="0" w:color="auto"/>
        <w:left w:val="none" w:sz="0" w:space="0" w:color="auto"/>
        <w:bottom w:val="none" w:sz="0" w:space="0" w:color="auto"/>
        <w:right w:val="none" w:sz="0" w:space="0" w:color="auto"/>
      </w:divBdr>
    </w:div>
    <w:div w:id="1628851416">
      <w:bodyDiv w:val="1"/>
      <w:marLeft w:val="0"/>
      <w:marRight w:val="0"/>
      <w:marTop w:val="0"/>
      <w:marBottom w:val="0"/>
      <w:divBdr>
        <w:top w:val="none" w:sz="0" w:space="0" w:color="auto"/>
        <w:left w:val="none" w:sz="0" w:space="0" w:color="auto"/>
        <w:bottom w:val="none" w:sz="0" w:space="0" w:color="auto"/>
        <w:right w:val="none" w:sz="0" w:space="0" w:color="auto"/>
      </w:divBdr>
    </w:div>
    <w:div w:id="1677880719">
      <w:bodyDiv w:val="1"/>
      <w:marLeft w:val="0"/>
      <w:marRight w:val="0"/>
      <w:marTop w:val="0"/>
      <w:marBottom w:val="0"/>
      <w:divBdr>
        <w:top w:val="none" w:sz="0" w:space="0" w:color="auto"/>
        <w:left w:val="none" w:sz="0" w:space="0" w:color="auto"/>
        <w:bottom w:val="none" w:sz="0" w:space="0" w:color="auto"/>
        <w:right w:val="none" w:sz="0" w:space="0" w:color="auto"/>
      </w:divBdr>
    </w:div>
    <w:div w:id="1688873618">
      <w:bodyDiv w:val="1"/>
      <w:marLeft w:val="0"/>
      <w:marRight w:val="0"/>
      <w:marTop w:val="0"/>
      <w:marBottom w:val="0"/>
      <w:divBdr>
        <w:top w:val="none" w:sz="0" w:space="0" w:color="auto"/>
        <w:left w:val="none" w:sz="0" w:space="0" w:color="auto"/>
        <w:bottom w:val="none" w:sz="0" w:space="0" w:color="auto"/>
        <w:right w:val="none" w:sz="0" w:space="0" w:color="auto"/>
      </w:divBdr>
    </w:div>
    <w:div w:id="1689675387">
      <w:bodyDiv w:val="1"/>
      <w:marLeft w:val="0"/>
      <w:marRight w:val="0"/>
      <w:marTop w:val="0"/>
      <w:marBottom w:val="0"/>
      <w:divBdr>
        <w:top w:val="none" w:sz="0" w:space="0" w:color="auto"/>
        <w:left w:val="none" w:sz="0" w:space="0" w:color="auto"/>
        <w:bottom w:val="none" w:sz="0" w:space="0" w:color="auto"/>
        <w:right w:val="none" w:sz="0" w:space="0" w:color="auto"/>
      </w:divBdr>
    </w:div>
    <w:div w:id="1780635030">
      <w:bodyDiv w:val="1"/>
      <w:marLeft w:val="0"/>
      <w:marRight w:val="0"/>
      <w:marTop w:val="0"/>
      <w:marBottom w:val="0"/>
      <w:divBdr>
        <w:top w:val="none" w:sz="0" w:space="0" w:color="auto"/>
        <w:left w:val="none" w:sz="0" w:space="0" w:color="auto"/>
        <w:bottom w:val="none" w:sz="0" w:space="0" w:color="auto"/>
        <w:right w:val="none" w:sz="0" w:space="0" w:color="auto"/>
      </w:divBdr>
    </w:div>
    <w:div w:id="1786729046">
      <w:bodyDiv w:val="1"/>
      <w:marLeft w:val="0"/>
      <w:marRight w:val="0"/>
      <w:marTop w:val="0"/>
      <w:marBottom w:val="0"/>
      <w:divBdr>
        <w:top w:val="none" w:sz="0" w:space="0" w:color="auto"/>
        <w:left w:val="none" w:sz="0" w:space="0" w:color="auto"/>
        <w:bottom w:val="none" w:sz="0" w:space="0" w:color="auto"/>
        <w:right w:val="none" w:sz="0" w:space="0" w:color="auto"/>
      </w:divBdr>
    </w:div>
    <w:div w:id="1805655001">
      <w:bodyDiv w:val="1"/>
      <w:marLeft w:val="0"/>
      <w:marRight w:val="0"/>
      <w:marTop w:val="0"/>
      <w:marBottom w:val="0"/>
      <w:divBdr>
        <w:top w:val="none" w:sz="0" w:space="0" w:color="auto"/>
        <w:left w:val="none" w:sz="0" w:space="0" w:color="auto"/>
        <w:bottom w:val="none" w:sz="0" w:space="0" w:color="auto"/>
        <w:right w:val="none" w:sz="0" w:space="0" w:color="auto"/>
      </w:divBdr>
    </w:div>
    <w:div w:id="1975676144">
      <w:bodyDiv w:val="1"/>
      <w:marLeft w:val="0"/>
      <w:marRight w:val="0"/>
      <w:marTop w:val="0"/>
      <w:marBottom w:val="0"/>
      <w:divBdr>
        <w:top w:val="none" w:sz="0" w:space="0" w:color="auto"/>
        <w:left w:val="none" w:sz="0" w:space="0" w:color="auto"/>
        <w:bottom w:val="none" w:sz="0" w:space="0" w:color="auto"/>
        <w:right w:val="none" w:sz="0" w:space="0" w:color="auto"/>
      </w:divBdr>
    </w:div>
    <w:div w:id="20311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ws.gov/migratorybirds/Partnerships/DOEMOUfinalsignature.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nal.gov/pub/today/archive/archive_2012/today12-08-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Annual Report on environmental monitoring and surveillance activities including compliance with specific environmental requirements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DDC69A-D931-42D0-9F4F-2849A0FE6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26</Pages>
  <Words>10649</Words>
  <Characters>63470</Characters>
  <Application>Microsoft Office Word</Application>
  <DocSecurity>0</DocSecurity>
  <Lines>528</Lines>
  <Paragraphs>147</Paragraphs>
  <ScaleCrop>false</ScaleCrop>
  <HeadingPairs>
    <vt:vector size="2" baseType="variant">
      <vt:variant>
        <vt:lpstr>Title</vt:lpstr>
      </vt:variant>
      <vt:variant>
        <vt:i4>1</vt:i4>
      </vt:variant>
    </vt:vector>
  </HeadingPairs>
  <TitlesOfParts>
    <vt:vector size="1" baseType="lpstr">
      <vt:lpstr>Report to the Director on Fermilab Environment</vt:lpstr>
    </vt:vector>
  </TitlesOfParts>
  <Company>FNAL</Company>
  <LinksUpToDate>false</LinksUpToDate>
  <CharactersWithSpaces>73972</CharactersWithSpaces>
  <SharedDoc>false</SharedDoc>
  <HLinks>
    <vt:vector size="288" baseType="variant">
      <vt:variant>
        <vt:i4>4063292</vt:i4>
      </vt:variant>
      <vt:variant>
        <vt:i4>270</vt:i4>
      </vt:variant>
      <vt:variant>
        <vt:i4>0</vt:i4>
      </vt:variant>
      <vt:variant>
        <vt:i4>5</vt:i4>
      </vt:variant>
      <vt:variant>
        <vt:lpwstr>https://greenride.anl.gov/</vt:lpwstr>
      </vt:variant>
      <vt:variant>
        <vt:lpwstr/>
      </vt:variant>
      <vt:variant>
        <vt:i4>6488127</vt:i4>
      </vt:variant>
      <vt:variant>
        <vt:i4>267</vt:i4>
      </vt:variant>
      <vt:variant>
        <vt:i4>0</vt:i4>
      </vt:variant>
      <vt:variant>
        <vt:i4>5</vt:i4>
      </vt:variant>
      <vt:variant>
        <vt:lpwstr>http://sustainability.fnal.gov/</vt:lpwstr>
      </vt:variant>
      <vt:variant>
        <vt:lpwstr/>
      </vt:variant>
      <vt:variant>
        <vt:i4>3801174</vt:i4>
      </vt:variant>
      <vt:variant>
        <vt:i4>264</vt:i4>
      </vt:variant>
      <vt:variant>
        <vt:i4>0</vt:i4>
      </vt:variant>
      <vt:variant>
        <vt:i4>5</vt:i4>
      </vt:variant>
      <vt:variant>
        <vt:lpwstr>http://www.fnal.gov/pub/today/archive/archive_2012/today12-08-22.html</vt:lpwstr>
      </vt:variant>
      <vt:variant>
        <vt:lpwstr/>
      </vt:variant>
      <vt:variant>
        <vt:i4>2621556</vt:i4>
      </vt:variant>
      <vt:variant>
        <vt:i4>261</vt:i4>
      </vt:variant>
      <vt:variant>
        <vt:i4>0</vt:i4>
      </vt:variant>
      <vt:variant>
        <vt:i4>5</vt:i4>
      </vt:variant>
      <vt:variant>
        <vt:lpwstr>http://www.fws.gov/migratorybirds/Partnerships/DOEMOUfinalsignature.pdf</vt:lpwstr>
      </vt:variant>
      <vt:variant>
        <vt:lpwstr/>
      </vt:variant>
      <vt:variant>
        <vt:i4>1835059</vt:i4>
      </vt:variant>
      <vt:variant>
        <vt:i4>254</vt:i4>
      </vt:variant>
      <vt:variant>
        <vt:i4>0</vt:i4>
      </vt:variant>
      <vt:variant>
        <vt:i4>5</vt:i4>
      </vt:variant>
      <vt:variant>
        <vt:lpwstr/>
      </vt:variant>
      <vt:variant>
        <vt:lpwstr>_Toc364762286</vt:lpwstr>
      </vt:variant>
      <vt:variant>
        <vt:i4>1835059</vt:i4>
      </vt:variant>
      <vt:variant>
        <vt:i4>248</vt:i4>
      </vt:variant>
      <vt:variant>
        <vt:i4>0</vt:i4>
      </vt:variant>
      <vt:variant>
        <vt:i4>5</vt:i4>
      </vt:variant>
      <vt:variant>
        <vt:lpwstr/>
      </vt:variant>
      <vt:variant>
        <vt:lpwstr>_Toc364762285</vt:lpwstr>
      </vt:variant>
      <vt:variant>
        <vt:i4>1835059</vt:i4>
      </vt:variant>
      <vt:variant>
        <vt:i4>242</vt:i4>
      </vt:variant>
      <vt:variant>
        <vt:i4>0</vt:i4>
      </vt:variant>
      <vt:variant>
        <vt:i4>5</vt:i4>
      </vt:variant>
      <vt:variant>
        <vt:lpwstr/>
      </vt:variant>
      <vt:variant>
        <vt:lpwstr>_Toc364762284</vt:lpwstr>
      </vt:variant>
      <vt:variant>
        <vt:i4>1835059</vt:i4>
      </vt:variant>
      <vt:variant>
        <vt:i4>236</vt:i4>
      </vt:variant>
      <vt:variant>
        <vt:i4>0</vt:i4>
      </vt:variant>
      <vt:variant>
        <vt:i4>5</vt:i4>
      </vt:variant>
      <vt:variant>
        <vt:lpwstr/>
      </vt:variant>
      <vt:variant>
        <vt:lpwstr>_Toc364762283</vt:lpwstr>
      </vt:variant>
      <vt:variant>
        <vt:i4>1835059</vt:i4>
      </vt:variant>
      <vt:variant>
        <vt:i4>230</vt:i4>
      </vt:variant>
      <vt:variant>
        <vt:i4>0</vt:i4>
      </vt:variant>
      <vt:variant>
        <vt:i4>5</vt:i4>
      </vt:variant>
      <vt:variant>
        <vt:lpwstr/>
      </vt:variant>
      <vt:variant>
        <vt:lpwstr>_Toc364762282</vt:lpwstr>
      </vt:variant>
      <vt:variant>
        <vt:i4>1835059</vt:i4>
      </vt:variant>
      <vt:variant>
        <vt:i4>224</vt:i4>
      </vt:variant>
      <vt:variant>
        <vt:i4>0</vt:i4>
      </vt:variant>
      <vt:variant>
        <vt:i4>5</vt:i4>
      </vt:variant>
      <vt:variant>
        <vt:lpwstr/>
      </vt:variant>
      <vt:variant>
        <vt:lpwstr>_Toc364762281</vt:lpwstr>
      </vt:variant>
      <vt:variant>
        <vt:i4>1835059</vt:i4>
      </vt:variant>
      <vt:variant>
        <vt:i4>218</vt:i4>
      </vt:variant>
      <vt:variant>
        <vt:i4>0</vt:i4>
      </vt:variant>
      <vt:variant>
        <vt:i4>5</vt:i4>
      </vt:variant>
      <vt:variant>
        <vt:lpwstr/>
      </vt:variant>
      <vt:variant>
        <vt:lpwstr>_Toc364762280</vt:lpwstr>
      </vt:variant>
      <vt:variant>
        <vt:i4>1245235</vt:i4>
      </vt:variant>
      <vt:variant>
        <vt:i4>212</vt:i4>
      </vt:variant>
      <vt:variant>
        <vt:i4>0</vt:i4>
      </vt:variant>
      <vt:variant>
        <vt:i4>5</vt:i4>
      </vt:variant>
      <vt:variant>
        <vt:lpwstr/>
      </vt:variant>
      <vt:variant>
        <vt:lpwstr>_Toc364762279</vt:lpwstr>
      </vt:variant>
      <vt:variant>
        <vt:i4>1245235</vt:i4>
      </vt:variant>
      <vt:variant>
        <vt:i4>206</vt:i4>
      </vt:variant>
      <vt:variant>
        <vt:i4>0</vt:i4>
      </vt:variant>
      <vt:variant>
        <vt:i4>5</vt:i4>
      </vt:variant>
      <vt:variant>
        <vt:lpwstr/>
      </vt:variant>
      <vt:variant>
        <vt:lpwstr>_Toc364762278</vt:lpwstr>
      </vt:variant>
      <vt:variant>
        <vt:i4>1245235</vt:i4>
      </vt:variant>
      <vt:variant>
        <vt:i4>200</vt:i4>
      </vt:variant>
      <vt:variant>
        <vt:i4>0</vt:i4>
      </vt:variant>
      <vt:variant>
        <vt:i4>5</vt:i4>
      </vt:variant>
      <vt:variant>
        <vt:lpwstr/>
      </vt:variant>
      <vt:variant>
        <vt:lpwstr>_Toc364762277</vt:lpwstr>
      </vt:variant>
      <vt:variant>
        <vt:i4>1245235</vt:i4>
      </vt:variant>
      <vt:variant>
        <vt:i4>194</vt:i4>
      </vt:variant>
      <vt:variant>
        <vt:i4>0</vt:i4>
      </vt:variant>
      <vt:variant>
        <vt:i4>5</vt:i4>
      </vt:variant>
      <vt:variant>
        <vt:lpwstr/>
      </vt:variant>
      <vt:variant>
        <vt:lpwstr>_Toc364762276</vt:lpwstr>
      </vt:variant>
      <vt:variant>
        <vt:i4>1245235</vt:i4>
      </vt:variant>
      <vt:variant>
        <vt:i4>188</vt:i4>
      </vt:variant>
      <vt:variant>
        <vt:i4>0</vt:i4>
      </vt:variant>
      <vt:variant>
        <vt:i4>5</vt:i4>
      </vt:variant>
      <vt:variant>
        <vt:lpwstr/>
      </vt:variant>
      <vt:variant>
        <vt:lpwstr>_Toc364762275</vt:lpwstr>
      </vt:variant>
      <vt:variant>
        <vt:i4>1245235</vt:i4>
      </vt:variant>
      <vt:variant>
        <vt:i4>182</vt:i4>
      </vt:variant>
      <vt:variant>
        <vt:i4>0</vt:i4>
      </vt:variant>
      <vt:variant>
        <vt:i4>5</vt:i4>
      </vt:variant>
      <vt:variant>
        <vt:lpwstr/>
      </vt:variant>
      <vt:variant>
        <vt:lpwstr>_Toc364762274</vt:lpwstr>
      </vt:variant>
      <vt:variant>
        <vt:i4>1245235</vt:i4>
      </vt:variant>
      <vt:variant>
        <vt:i4>176</vt:i4>
      </vt:variant>
      <vt:variant>
        <vt:i4>0</vt:i4>
      </vt:variant>
      <vt:variant>
        <vt:i4>5</vt:i4>
      </vt:variant>
      <vt:variant>
        <vt:lpwstr/>
      </vt:variant>
      <vt:variant>
        <vt:lpwstr>_Toc364762273</vt:lpwstr>
      </vt:variant>
      <vt:variant>
        <vt:i4>1245235</vt:i4>
      </vt:variant>
      <vt:variant>
        <vt:i4>170</vt:i4>
      </vt:variant>
      <vt:variant>
        <vt:i4>0</vt:i4>
      </vt:variant>
      <vt:variant>
        <vt:i4>5</vt:i4>
      </vt:variant>
      <vt:variant>
        <vt:lpwstr/>
      </vt:variant>
      <vt:variant>
        <vt:lpwstr>_Toc364762272</vt:lpwstr>
      </vt:variant>
      <vt:variant>
        <vt:i4>1245235</vt:i4>
      </vt:variant>
      <vt:variant>
        <vt:i4>164</vt:i4>
      </vt:variant>
      <vt:variant>
        <vt:i4>0</vt:i4>
      </vt:variant>
      <vt:variant>
        <vt:i4>5</vt:i4>
      </vt:variant>
      <vt:variant>
        <vt:lpwstr/>
      </vt:variant>
      <vt:variant>
        <vt:lpwstr>_Toc364762271</vt:lpwstr>
      </vt:variant>
      <vt:variant>
        <vt:i4>1245235</vt:i4>
      </vt:variant>
      <vt:variant>
        <vt:i4>158</vt:i4>
      </vt:variant>
      <vt:variant>
        <vt:i4>0</vt:i4>
      </vt:variant>
      <vt:variant>
        <vt:i4>5</vt:i4>
      </vt:variant>
      <vt:variant>
        <vt:lpwstr/>
      </vt:variant>
      <vt:variant>
        <vt:lpwstr>_Toc364762270</vt:lpwstr>
      </vt:variant>
      <vt:variant>
        <vt:i4>1179699</vt:i4>
      </vt:variant>
      <vt:variant>
        <vt:i4>152</vt:i4>
      </vt:variant>
      <vt:variant>
        <vt:i4>0</vt:i4>
      </vt:variant>
      <vt:variant>
        <vt:i4>5</vt:i4>
      </vt:variant>
      <vt:variant>
        <vt:lpwstr/>
      </vt:variant>
      <vt:variant>
        <vt:lpwstr>_Toc364762269</vt:lpwstr>
      </vt:variant>
      <vt:variant>
        <vt:i4>1179699</vt:i4>
      </vt:variant>
      <vt:variant>
        <vt:i4>146</vt:i4>
      </vt:variant>
      <vt:variant>
        <vt:i4>0</vt:i4>
      </vt:variant>
      <vt:variant>
        <vt:i4>5</vt:i4>
      </vt:variant>
      <vt:variant>
        <vt:lpwstr/>
      </vt:variant>
      <vt:variant>
        <vt:lpwstr>_Toc364762268</vt:lpwstr>
      </vt:variant>
      <vt:variant>
        <vt:i4>1179699</vt:i4>
      </vt:variant>
      <vt:variant>
        <vt:i4>140</vt:i4>
      </vt:variant>
      <vt:variant>
        <vt:i4>0</vt:i4>
      </vt:variant>
      <vt:variant>
        <vt:i4>5</vt:i4>
      </vt:variant>
      <vt:variant>
        <vt:lpwstr/>
      </vt:variant>
      <vt:variant>
        <vt:lpwstr>_Toc364762267</vt:lpwstr>
      </vt:variant>
      <vt:variant>
        <vt:i4>1179699</vt:i4>
      </vt:variant>
      <vt:variant>
        <vt:i4>134</vt:i4>
      </vt:variant>
      <vt:variant>
        <vt:i4>0</vt:i4>
      </vt:variant>
      <vt:variant>
        <vt:i4>5</vt:i4>
      </vt:variant>
      <vt:variant>
        <vt:lpwstr/>
      </vt:variant>
      <vt:variant>
        <vt:lpwstr>_Toc364762266</vt:lpwstr>
      </vt:variant>
      <vt:variant>
        <vt:i4>1179699</vt:i4>
      </vt:variant>
      <vt:variant>
        <vt:i4>128</vt:i4>
      </vt:variant>
      <vt:variant>
        <vt:i4>0</vt:i4>
      </vt:variant>
      <vt:variant>
        <vt:i4>5</vt:i4>
      </vt:variant>
      <vt:variant>
        <vt:lpwstr/>
      </vt:variant>
      <vt:variant>
        <vt:lpwstr>_Toc364762265</vt:lpwstr>
      </vt:variant>
      <vt:variant>
        <vt:i4>1179699</vt:i4>
      </vt:variant>
      <vt:variant>
        <vt:i4>122</vt:i4>
      </vt:variant>
      <vt:variant>
        <vt:i4>0</vt:i4>
      </vt:variant>
      <vt:variant>
        <vt:i4>5</vt:i4>
      </vt:variant>
      <vt:variant>
        <vt:lpwstr/>
      </vt:variant>
      <vt:variant>
        <vt:lpwstr>_Toc364762264</vt:lpwstr>
      </vt:variant>
      <vt:variant>
        <vt:i4>1179699</vt:i4>
      </vt:variant>
      <vt:variant>
        <vt:i4>116</vt:i4>
      </vt:variant>
      <vt:variant>
        <vt:i4>0</vt:i4>
      </vt:variant>
      <vt:variant>
        <vt:i4>5</vt:i4>
      </vt:variant>
      <vt:variant>
        <vt:lpwstr/>
      </vt:variant>
      <vt:variant>
        <vt:lpwstr>_Toc364762263</vt:lpwstr>
      </vt:variant>
      <vt:variant>
        <vt:i4>1179699</vt:i4>
      </vt:variant>
      <vt:variant>
        <vt:i4>110</vt:i4>
      </vt:variant>
      <vt:variant>
        <vt:i4>0</vt:i4>
      </vt:variant>
      <vt:variant>
        <vt:i4>5</vt:i4>
      </vt:variant>
      <vt:variant>
        <vt:lpwstr/>
      </vt:variant>
      <vt:variant>
        <vt:lpwstr>_Toc364762262</vt:lpwstr>
      </vt:variant>
      <vt:variant>
        <vt:i4>1179699</vt:i4>
      </vt:variant>
      <vt:variant>
        <vt:i4>104</vt:i4>
      </vt:variant>
      <vt:variant>
        <vt:i4>0</vt:i4>
      </vt:variant>
      <vt:variant>
        <vt:i4>5</vt:i4>
      </vt:variant>
      <vt:variant>
        <vt:lpwstr/>
      </vt:variant>
      <vt:variant>
        <vt:lpwstr>_Toc364762261</vt:lpwstr>
      </vt:variant>
      <vt:variant>
        <vt:i4>1179699</vt:i4>
      </vt:variant>
      <vt:variant>
        <vt:i4>98</vt:i4>
      </vt:variant>
      <vt:variant>
        <vt:i4>0</vt:i4>
      </vt:variant>
      <vt:variant>
        <vt:i4>5</vt:i4>
      </vt:variant>
      <vt:variant>
        <vt:lpwstr/>
      </vt:variant>
      <vt:variant>
        <vt:lpwstr>_Toc364762260</vt:lpwstr>
      </vt:variant>
      <vt:variant>
        <vt:i4>1114163</vt:i4>
      </vt:variant>
      <vt:variant>
        <vt:i4>92</vt:i4>
      </vt:variant>
      <vt:variant>
        <vt:i4>0</vt:i4>
      </vt:variant>
      <vt:variant>
        <vt:i4>5</vt:i4>
      </vt:variant>
      <vt:variant>
        <vt:lpwstr/>
      </vt:variant>
      <vt:variant>
        <vt:lpwstr>_Toc364762259</vt:lpwstr>
      </vt:variant>
      <vt:variant>
        <vt:i4>1114163</vt:i4>
      </vt:variant>
      <vt:variant>
        <vt:i4>86</vt:i4>
      </vt:variant>
      <vt:variant>
        <vt:i4>0</vt:i4>
      </vt:variant>
      <vt:variant>
        <vt:i4>5</vt:i4>
      </vt:variant>
      <vt:variant>
        <vt:lpwstr/>
      </vt:variant>
      <vt:variant>
        <vt:lpwstr>_Toc364762258</vt:lpwstr>
      </vt:variant>
      <vt:variant>
        <vt:i4>1114163</vt:i4>
      </vt:variant>
      <vt:variant>
        <vt:i4>80</vt:i4>
      </vt:variant>
      <vt:variant>
        <vt:i4>0</vt:i4>
      </vt:variant>
      <vt:variant>
        <vt:i4>5</vt:i4>
      </vt:variant>
      <vt:variant>
        <vt:lpwstr/>
      </vt:variant>
      <vt:variant>
        <vt:lpwstr>_Toc364762257</vt:lpwstr>
      </vt:variant>
      <vt:variant>
        <vt:i4>1114163</vt:i4>
      </vt:variant>
      <vt:variant>
        <vt:i4>74</vt:i4>
      </vt:variant>
      <vt:variant>
        <vt:i4>0</vt:i4>
      </vt:variant>
      <vt:variant>
        <vt:i4>5</vt:i4>
      </vt:variant>
      <vt:variant>
        <vt:lpwstr/>
      </vt:variant>
      <vt:variant>
        <vt:lpwstr>_Toc364762256</vt:lpwstr>
      </vt:variant>
      <vt:variant>
        <vt:i4>1114163</vt:i4>
      </vt:variant>
      <vt:variant>
        <vt:i4>68</vt:i4>
      </vt:variant>
      <vt:variant>
        <vt:i4>0</vt:i4>
      </vt:variant>
      <vt:variant>
        <vt:i4>5</vt:i4>
      </vt:variant>
      <vt:variant>
        <vt:lpwstr/>
      </vt:variant>
      <vt:variant>
        <vt:lpwstr>_Toc364762255</vt:lpwstr>
      </vt:variant>
      <vt:variant>
        <vt:i4>1114163</vt:i4>
      </vt:variant>
      <vt:variant>
        <vt:i4>62</vt:i4>
      </vt:variant>
      <vt:variant>
        <vt:i4>0</vt:i4>
      </vt:variant>
      <vt:variant>
        <vt:i4>5</vt:i4>
      </vt:variant>
      <vt:variant>
        <vt:lpwstr/>
      </vt:variant>
      <vt:variant>
        <vt:lpwstr>_Toc364762254</vt:lpwstr>
      </vt:variant>
      <vt:variant>
        <vt:i4>1114163</vt:i4>
      </vt:variant>
      <vt:variant>
        <vt:i4>56</vt:i4>
      </vt:variant>
      <vt:variant>
        <vt:i4>0</vt:i4>
      </vt:variant>
      <vt:variant>
        <vt:i4>5</vt:i4>
      </vt:variant>
      <vt:variant>
        <vt:lpwstr/>
      </vt:variant>
      <vt:variant>
        <vt:lpwstr>_Toc364762253</vt:lpwstr>
      </vt:variant>
      <vt:variant>
        <vt:i4>1114163</vt:i4>
      </vt:variant>
      <vt:variant>
        <vt:i4>50</vt:i4>
      </vt:variant>
      <vt:variant>
        <vt:i4>0</vt:i4>
      </vt:variant>
      <vt:variant>
        <vt:i4>5</vt:i4>
      </vt:variant>
      <vt:variant>
        <vt:lpwstr/>
      </vt:variant>
      <vt:variant>
        <vt:lpwstr>_Toc364762252</vt:lpwstr>
      </vt:variant>
      <vt:variant>
        <vt:i4>1114163</vt:i4>
      </vt:variant>
      <vt:variant>
        <vt:i4>44</vt:i4>
      </vt:variant>
      <vt:variant>
        <vt:i4>0</vt:i4>
      </vt:variant>
      <vt:variant>
        <vt:i4>5</vt:i4>
      </vt:variant>
      <vt:variant>
        <vt:lpwstr/>
      </vt:variant>
      <vt:variant>
        <vt:lpwstr>_Toc364762251</vt:lpwstr>
      </vt:variant>
      <vt:variant>
        <vt:i4>1114163</vt:i4>
      </vt:variant>
      <vt:variant>
        <vt:i4>38</vt:i4>
      </vt:variant>
      <vt:variant>
        <vt:i4>0</vt:i4>
      </vt:variant>
      <vt:variant>
        <vt:i4>5</vt:i4>
      </vt:variant>
      <vt:variant>
        <vt:lpwstr/>
      </vt:variant>
      <vt:variant>
        <vt:lpwstr>_Toc364762250</vt:lpwstr>
      </vt:variant>
      <vt:variant>
        <vt:i4>1048627</vt:i4>
      </vt:variant>
      <vt:variant>
        <vt:i4>32</vt:i4>
      </vt:variant>
      <vt:variant>
        <vt:i4>0</vt:i4>
      </vt:variant>
      <vt:variant>
        <vt:i4>5</vt:i4>
      </vt:variant>
      <vt:variant>
        <vt:lpwstr/>
      </vt:variant>
      <vt:variant>
        <vt:lpwstr>_Toc364762249</vt:lpwstr>
      </vt:variant>
      <vt:variant>
        <vt:i4>1048627</vt:i4>
      </vt:variant>
      <vt:variant>
        <vt:i4>26</vt:i4>
      </vt:variant>
      <vt:variant>
        <vt:i4>0</vt:i4>
      </vt:variant>
      <vt:variant>
        <vt:i4>5</vt:i4>
      </vt:variant>
      <vt:variant>
        <vt:lpwstr/>
      </vt:variant>
      <vt:variant>
        <vt:lpwstr>_Toc364762248</vt:lpwstr>
      </vt:variant>
      <vt:variant>
        <vt:i4>1048627</vt:i4>
      </vt:variant>
      <vt:variant>
        <vt:i4>20</vt:i4>
      </vt:variant>
      <vt:variant>
        <vt:i4>0</vt:i4>
      </vt:variant>
      <vt:variant>
        <vt:i4>5</vt:i4>
      </vt:variant>
      <vt:variant>
        <vt:lpwstr/>
      </vt:variant>
      <vt:variant>
        <vt:lpwstr>_Toc364762247</vt:lpwstr>
      </vt:variant>
      <vt:variant>
        <vt:i4>1048627</vt:i4>
      </vt:variant>
      <vt:variant>
        <vt:i4>14</vt:i4>
      </vt:variant>
      <vt:variant>
        <vt:i4>0</vt:i4>
      </vt:variant>
      <vt:variant>
        <vt:i4>5</vt:i4>
      </vt:variant>
      <vt:variant>
        <vt:lpwstr/>
      </vt:variant>
      <vt:variant>
        <vt:lpwstr>_Toc364762246</vt:lpwstr>
      </vt:variant>
      <vt:variant>
        <vt:i4>1048627</vt:i4>
      </vt:variant>
      <vt:variant>
        <vt:i4>8</vt:i4>
      </vt:variant>
      <vt:variant>
        <vt:i4>0</vt:i4>
      </vt:variant>
      <vt:variant>
        <vt:i4>5</vt:i4>
      </vt:variant>
      <vt:variant>
        <vt:lpwstr/>
      </vt:variant>
      <vt:variant>
        <vt:lpwstr>_Toc364762245</vt:lpwstr>
      </vt:variant>
      <vt:variant>
        <vt:i4>1048627</vt:i4>
      </vt:variant>
      <vt:variant>
        <vt:i4>2</vt:i4>
      </vt:variant>
      <vt:variant>
        <vt:i4>0</vt:i4>
      </vt:variant>
      <vt:variant>
        <vt:i4>5</vt:i4>
      </vt:variant>
      <vt:variant>
        <vt:lpwstr/>
      </vt:variant>
      <vt:variant>
        <vt:lpwstr>_Toc364762244</vt:lpwstr>
      </vt:variant>
      <vt:variant>
        <vt:i4>7602299</vt:i4>
      </vt:variant>
      <vt:variant>
        <vt:i4>0</vt:i4>
      </vt:variant>
      <vt:variant>
        <vt:i4>0</vt:i4>
      </vt:variant>
      <vt:variant>
        <vt:i4>5</vt:i4>
      </vt:variant>
      <vt:variant>
        <vt:lpwstr>http://www.whitehouse.gov/the-press-office/2011/05/24/presidential-memorandum-federal-fleet-performance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Director on Fermilab Environment</dc:title>
  <dc:subject>Calendar Year 2010</dc:subject>
  <dc:creator>Eric D. Mieland x2248 09101N</dc:creator>
  <cp:lastModifiedBy>Eric D. Mieland x2248 09101N</cp:lastModifiedBy>
  <cp:revision>21</cp:revision>
  <cp:lastPrinted>2015-07-29T19:25:00Z</cp:lastPrinted>
  <dcterms:created xsi:type="dcterms:W3CDTF">2015-08-07T16:01:00Z</dcterms:created>
  <dcterms:modified xsi:type="dcterms:W3CDTF">2015-08-24T16:05:00Z</dcterms:modified>
</cp:coreProperties>
</file>