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1EF00" w14:textId="77777777" w:rsidR="00142C80" w:rsidRDefault="00142C80" w:rsidP="00832167">
      <w:pPr>
        <w:rPr>
          <w:b/>
          <w:sz w:val="28"/>
          <w:szCs w:val="28"/>
        </w:rPr>
      </w:pPr>
    </w:p>
    <w:p w14:paraId="5CDA9875" w14:textId="77777777" w:rsidR="00142C80" w:rsidRDefault="00142C80" w:rsidP="00832167">
      <w:pPr>
        <w:rPr>
          <w:b/>
          <w:sz w:val="28"/>
          <w:szCs w:val="28"/>
        </w:rPr>
      </w:pPr>
    </w:p>
    <w:p w14:paraId="4917A8F4" w14:textId="77777777" w:rsidR="00AB4D65" w:rsidRPr="00AB4D65" w:rsidRDefault="004F254C" w:rsidP="00AB4D65">
      <w:pPr>
        <w:ind w:right="36"/>
        <w:jc w:val="center"/>
        <w:rPr>
          <w:color w:val="000000"/>
          <w:sz w:val="36"/>
          <w:szCs w:val="36"/>
        </w:rPr>
      </w:pPr>
      <w:r w:rsidRPr="00AB4D65">
        <w:rPr>
          <w:color w:val="000000"/>
          <w:sz w:val="36"/>
          <w:szCs w:val="36"/>
        </w:rPr>
        <w:t xml:space="preserve">FESHM </w:t>
      </w:r>
      <w:r w:rsidR="002D1F85">
        <w:rPr>
          <w:color w:val="000000"/>
          <w:sz w:val="36"/>
          <w:szCs w:val="36"/>
        </w:rPr>
        <w:t>1100</w:t>
      </w:r>
      <w:r w:rsidR="00A90704">
        <w:rPr>
          <w:color w:val="000000"/>
          <w:sz w:val="36"/>
          <w:szCs w:val="36"/>
        </w:rPr>
        <w:t>:</w:t>
      </w:r>
      <w:r w:rsidR="00C771FD">
        <w:rPr>
          <w:color w:val="000000"/>
          <w:sz w:val="36"/>
          <w:szCs w:val="36"/>
        </w:rPr>
        <w:t xml:space="preserve"> SUSTAINABLE A</w:t>
      </w:r>
      <w:r w:rsidR="00D144E4">
        <w:rPr>
          <w:color w:val="000000"/>
          <w:sz w:val="36"/>
          <w:szCs w:val="36"/>
        </w:rPr>
        <w:t>C</w:t>
      </w:r>
      <w:r w:rsidR="00C771FD">
        <w:rPr>
          <w:color w:val="000000"/>
          <w:sz w:val="36"/>
          <w:szCs w:val="36"/>
        </w:rPr>
        <w:t>QUISITION</w:t>
      </w:r>
    </w:p>
    <w:p w14:paraId="2BB97A6C" w14:textId="77777777" w:rsidR="00142C80" w:rsidRPr="004F254C" w:rsidRDefault="00142C80" w:rsidP="00AB4D65">
      <w:pPr>
        <w:pStyle w:val="Heading1"/>
        <w:numPr>
          <w:ilvl w:val="0"/>
          <w:numId w:val="0"/>
        </w:numPr>
        <w:jc w:val="both"/>
        <w:rPr>
          <w:b w:val="0"/>
          <w:sz w:val="36"/>
          <w:szCs w:val="36"/>
        </w:rPr>
      </w:pPr>
    </w:p>
    <w:p w14:paraId="059A5CA7" w14:textId="77777777" w:rsidR="00142C80" w:rsidRDefault="00142C80" w:rsidP="00832167">
      <w:pPr>
        <w:rPr>
          <w:b/>
          <w:sz w:val="28"/>
          <w:szCs w:val="28"/>
        </w:rPr>
      </w:pPr>
    </w:p>
    <w:p w14:paraId="0DE116DD" w14:textId="77777777" w:rsidR="00142C80" w:rsidRDefault="00142C80" w:rsidP="00142C80">
      <w:pPr>
        <w:jc w:val="center"/>
        <w:rPr>
          <w:b/>
          <w:sz w:val="28"/>
          <w:szCs w:val="28"/>
        </w:rPr>
      </w:pPr>
    </w:p>
    <w:p w14:paraId="0F36C580" w14:textId="77777777" w:rsidR="00DB5D5A" w:rsidRPr="008B60C4" w:rsidRDefault="00743FAE" w:rsidP="00DB5D5A">
      <w:pPr>
        <w:ind w:right="-140"/>
        <w:jc w:val="center"/>
        <w:rPr>
          <w:b/>
          <w:color w:val="000000"/>
        </w:rPr>
      </w:pPr>
      <w:r>
        <w:rPr>
          <w:b/>
          <w:color w:val="000000"/>
        </w:rPr>
        <w:t>Revision History</w:t>
      </w:r>
    </w:p>
    <w:p w14:paraId="43436F3B" w14:textId="77777777" w:rsidR="00DB5D5A" w:rsidRPr="008B60C4" w:rsidRDefault="00DB5D5A" w:rsidP="00DB5D5A">
      <w:pPr>
        <w:ind w:right="-140"/>
        <w:rPr>
          <w:b/>
          <w:color w:val="000000"/>
        </w:rPr>
      </w:pP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5850"/>
        <w:gridCol w:w="1980"/>
      </w:tblGrid>
      <w:tr w:rsidR="00743FAE" w:rsidRPr="00E331D3" w14:paraId="2E7DB25A" w14:textId="77777777" w:rsidTr="00A90704">
        <w:tc>
          <w:tcPr>
            <w:tcW w:w="2088" w:type="dxa"/>
            <w:vAlign w:val="center"/>
          </w:tcPr>
          <w:p w14:paraId="0D0EF8F6" w14:textId="77777777" w:rsidR="00743FAE" w:rsidRPr="00D115E0" w:rsidRDefault="00743FAE" w:rsidP="00A13702">
            <w:pPr>
              <w:tabs>
                <w:tab w:val="left" w:pos="720"/>
              </w:tabs>
              <w:jc w:val="center"/>
              <w:rPr>
                <w:b/>
              </w:rPr>
            </w:pPr>
            <w:r w:rsidRPr="00D115E0">
              <w:rPr>
                <w:b/>
              </w:rPr>
              <w:t>Author</w:t>
            </w:r>
          </w:p>
        </w:tc>
        <w:tc>
          <w:tcPr>
            <w:tcW w:w="5850" w:type="dxa"/>
            <w:vAlign w:val="center"/>
          </w:tcPr>
          <w:p w14:paraId="1271B6A2" w14:textId="77777777" w:rsidR="00743FAE" w:rsidRPr="00D115E0" w:rsidRDefault="00743FAE" w:rsidP="00A13702">
            <w:pPr>
              <w:tabs>
                <w:tab w:val="left" w:pos="720"/>
              </w:tabs>
              <w:jc w:val="center"/>
              <w:rPr>
                <w:b/>
              </w:rPr>
            </w:pPr>
            <w:r w:rsidRPr="00D115E0">
              <w:rPr>
                <w:b/>
              </w:rPr>
              <w:t>Description of Change</w:t>
            </w:r>
          </w:p>
        </w:tc>
        <w:tc>
          <w:tcPr>
            <w:tcW w:w="1980" w:type="dxa"/>
            <w:vAlign w:val="center"/>
          </w:tcPr>
          <w:p w14:paraId="2F782059" w14:textId="77777777" w:rsidR="00743FAE" w:rsidRPr="00D115E0" w:rsidRDefault="00A90704" w:rsidP="00A13702">
            <w:pPr>
              <w:tabs>
                <w:tab w:val="left" w:pos="720"/>
              </w:tabs>
              <w:jc w:val="center"/>
              <w:rPr>
                <w:b/>
              </w:rPr>
            </w:pPr>
            <w:r>
              <w:rPr>
                <w:b/>
              </w:rPr>
              <w:t>Revision</w:t>
            </w:r>
            <w:r w:rsidR="00743FAE" w:rsidRPr="00D115E0">
              <w:rPr>
                <w:b/>
              </w:rPr>
              <w:t xml:space="preserve"> Date</w:t>
            </w:r>
          </w:p>
        </w:tc>
      </w:tr>
      <w:tr w:rsidR="00D965E2" w:rsidRPr="00E331D3" w14:paraId="213E21E9" w14:textId="77777777" w:rsidTr="002C2947">
        <w:tc>
          <w:tcPr>
            <w:tcW w:w="2088" w:type="dxa"/>
          </w:tcPr>
          <w:p w14:paraId="272FED21" w14:textId="77777777" w:rsidR="00D965E2" w:rsidRDefault="00D965E2" w:rsidP="00934BEC">
            <w:pPr>
              <w:tabs>
                <w:tab w:val="left" w:pos="720"/>
              </w:tabs>
              <w:spacing w:after="120"/>
              <w:jc w:val="left"/>
              <w:rPr>
                <w:szCs w:val="22"/>
              </w:rPr>
            </w:pPr>
            <w:r>
              <w:rPr>
                <w:szCs w:val="22"/>
              </w:rPr>
              <w:t>Teri Dykhuis</w:t>
            </w:r>
          </w:p>
        </w:tc>
        <w:tc>
          <w:tcPr>
            <w:tcW w:w="5850" w:type="dxa"/>
            <w:vAlign w:val="center"/>
          </w:tcPr>
          <w:p w14:paraId="74A8DAEF" w14:textId="77777777" w:rsidR="00D965E2" w:rsidRDefault="00D965E2">
            <w:pPr>
              <w:tabs>
                <w:tab w:val="left" w:pos="720"/>
              </w:tabs>
              <w:spacing w:after="120"/>
              <w:jc w:val="left"/>
              <w:rPr>
                <w:szCs w:val="22"/>
              </w:rPr>
            </w:pPr>
            <w:r>
              <w:rPr>
                <w:szCs w:val="22"/>
              </w:rPr>
              <w:t>Updated chapter to reflect organizational title changes</w:t>
            </w:r>
            <w:r w:rsidR="00F16102">
              <w:rPr>
                <w:szCs w:val="22"/>
              </w:rPr>
              <w:t xml:space="preserve"> and updated URLs.</w:t>
            </w:r>
          </w:p>
        </w:tc>
        <w:tc>
          <w:tcPr>
            <w:tcW w:w="1980" w:type="dxa"/>
          </w:tcPr>
          <w:p w14:paraId="0CE3FBC3" w14:textId="4DD3D53C" w:rsidR="00D965E2" w:rsidRDefault="00D965E2" w:rsidP="00934BEC">
            <w:pPr>
              <w:tabs>
                <w:tab w:val="left" w:pos="720"/>
              </w:tabs>
              <w:spacing w:after="120"/>
              <w:jc w:val="left"/>
              <w:rPr>
                <w:szCs w:val="22"/>
              </w:rPr>
            </w:pPr>
            <w:r>
              <w:rPr>
                <w:szCs w:val="22"/>
              </w:rPr>
              <w:t>Ma</w:t>
            </w:r>
            <w:r w:rsidR="005C15FA">
              <w:rPr>
                <w:szCs w:val="22"/>
              </w:rPr>
              <w:t>y</w:t>
            </w:r>
            <w:r>
              <w:rPr>
                <w:szCs w:val="22"/>
              </w:rPr>
              <w:t xml:space="preserve"> 2021</w:t>
            </w:r>
          </w:p>
        </w:tc>
      </w:tr>
      <w:tr w:rsidR="0085789B" w:rsidRPr="00E331D3" w14:paraId="32F03B4D" w14:textId="77777777" w:rsidTr="002C2947">
        <w:tc>
          <w:tcPr>
            <w:tcW w:w="2088" w:type="dxa"/>
          </w:tcPr>
          <w:p w14:paraId="67A7B8B7" w14:textId="77777777" w:rsidR="0085789B" w:rsidRDefault="0085789B" w:rsidP="00934BEC">
            <w:pPr>
              <w:tabs>
                <w:tab w:val="left" w:pos="720"/>
              </w:tabs>
              <w:spacing w:after="120"/>
              <w:jc w:val="left"/>
              <w:rPr>
                <w:szCs w:val="22"/>
              </w:rPr>
            </w:pPr>
            <w:r>
              <w:rPr>
                <w:szCs w:val="22"/>
              </w:rPr>
              <w:t>Teri Dykhuis</w:t>
            </w:r>
          </w:p>
        </w:tc>
        <w:tc>
          <w:tcPr>
            <w:tcW w:w="5850" w:type="dxa"/>
            <w:vAlign w:val="center"/>
          </w:tcPr>
          <w:p w14:paraId="286632DA" w14:textId="77777777" w:rsidR="0085789B" w:rsidRDefault="0085789B">
            <w:pPr>
              <w:tabs>
                <w:tab w:val="left" w:pos="720"/>
              </w:tabs>
              <w:spacing w:after="120"/>
              <w:jc w:val="left"/>
              <w:rPr>
                <w:szCs w:val="22"/>
              </w:rPr>
            </w:pPr>
            <w:r>
              <w:rPr>
                <w:szCs w:val="22"/>
              </w:rPr>
              <w:t xml:space="preserve">Updated the chapter to reflect EO 13696 as SA driver.  EO13693 revokes previous orders with sustainable acquisition requirements.  Also updated all URLs and removed obsolete information.  </w:t>
            </w:r>
          </w:p>
        </w:tc>
        <w:tc>
          <w:tcPr>
            <w:tcW w:w="1980" w:type="dxa"/>
          </w:tcPr>
          <w:p w14:paraId="73B99E06" w14:textId="77777777" w:rsidR="0085789B" w:rsidRDefault="0085789B" w:rsidP="00934BEC">
            <w:pPr>
              <w:tabs>
                <w:tab w:val="left" w:pos="720"/>
              </w:tabs>
              <w:spacing w:after="120"/>
              <w:jc w:val="left"/>
              <w:rPr>
                <w:szCs w:val="22"/>
              </w:rPr>
            </w:pPr>
            <w:r>
              <w:rPr>
                <w:szCs w:val="22"/>
              </w:rPr>
              <w:t>June 2016</w:t>
            </w:r>
          </w:p>
        </w:tc>
      </w:tr>
      <w:tr w:rsidR="00743FAE" w:rsidRPr="00E331D3" w14:paraId="6E8A98DA" w14:textId="77777777" w:rsidTr="00A90704">
        <w:tc>
          <w:tcPr>
            <w:tcW w:w="2088" w:type="dxa"/>
            <w:vAlign w:val="center"/>
          </w:tcPr>
          <w:p w14:paraId="451FBAD6" w14:textId="77777777" w:rsidR="00743FAE" w:rsidRPr="00E331D3" w:rsidRDefault="00A17A39" w:rsidP="00934BEC">
            <w:pPr>
              <w:tabs>
                <w:tab w:val="left" w:pos="720"/>
              </w:tabs>
              <w:spacing w:after="120"/>
              <w:jc w:val="left"/>
            </w:pPr>
            <w:r>
              <w:rPr>
                <w:szCs w:val="22"/>
              </w:rPr>
              <w:t>Amber Larson</w:t>
            </w:r>
          </w:p>
        </w:tc>
        <w:tc>
          <w:tcPr>
            <w:tcW w:w="5850" w:type="dxa"/>
            <w:vAlign w:val="center"/>
          </w:tcPr>
          <w:p w14:paraId="6D4F709E" w14:textId="77777777" w:rsidR="00743FAE" w:rsidRPr="00E331D3" w:rsidRDefault="00743FAE" w:rsidP="00A90704">
            <w:pPr>
              <w:tabs>
                <w:tab w:val="left" w:pos="720"/>
              </w:tabs>
              <w:spacing w:after="120"/>
              <w:jc w:val="left"/>
            </w:pPr>
            <w:r>
              <w:rPr>
                <w:szCs w:val="22"/>
              </w:rPr>
              <w:t xml:space="preserve">Initial release </w:t>
            </w:r>
            <w:r w:rsidR="00515CD8">
              <w:rPr>
                <w:szCs w:val="22"/>
              </w:rPr>
              <w:t xml:space="preserve">of </w:t>
            </w:r>
            <w:r>
              <w:rPr>
                <w:szCs w:val="22"/>
              </w:rPr>
              <w:t xml:space="preserve">Chapter </w:t>
            </w:r>
            <w:r w:rsidR="002D1F85">
              <w:rPr>
                <w:szCs w:val="22"/>
              </w:rPr>
              <w:t>1100</w:t>
            </w:r>
          </w:p>
        </w:tc>
        <w:tc>
          <w:tcPr>
            <w:tcW w:w="1980" w:type="dxa"/>
            <w:vAlign w:val="center"/>
          </w:tcPr>
          <w:p w14:paraId="1BA0452D" w14:textId="77777777" w:rsidR="00743FAE" w:rsidRPr="00E331D3" w:rsidRDefault="00A17A39" w:rsidP="00934BEC">
            <w:pPr>
              <w:tabs>
                <w:tab w:val="left" w:pos="720"/>
              </w:tabs>
              <w:spacing w:after="120"/>
              <w:jc w:val="left"/>
            </w:pPr>
            <w:r>
              <w:rPr>
                <w:szCs w:val="22"/>
              </w:rPr>
              <w:t>January 2011</w:t>
            </w:r>
          </w:p>
        </w:tc>
      </w:tr>
    </w:tbl>
    <w:p w14:paraId="5616C44D" w14:textId="77777777" w:rsidR="00142C80" w:rsidRDefault="00142C80" w:rsidP="00142C80">
      <w:pPr>
        <w:jc w:val="center"/>
        <w:rPr>
          <w:b/>
          <w:sz w:val="28"/>
          <w:szCs w:val="28"/>
        </w:rPr>
      </w:pPr>
    </w:p>
    <w:p w14:paraId="4275A766" w14:textId="77777777" w:rsidR="00142C80" w:rsidRDefault="00142C80" w:rsidP="00142C80">
      <w:pPr>
        <w:jc w:val="center"/>
        <w:rPr>
          <w:b/>
          <w:sz w:val="28"/>
          <w:szCs w:val="28"/>
        </w:rPr>
      </w:pPr>
    </w:p>
    <w:p w14:paraId="36A3BD56" w14:textId="77777777" w:rsidR="00142C80" w:rsidRDefault="00142C80" w:rsidP="00142C80">
      <w:pPr>
        <w:jc w:val="center"/>
        <w:rPr>
          <w:b/>
          <w:sz w:val="28"/>
          <w:szCs w:val="28"/>
        </w:rPr>
      </w:pPr>
    </w:p>
    <w:p w14:paraId="42A35872" w14:textId="77777777" w:rsidR="00142C80" w:rsidRDefault="00142C80" w:rsidP="00142C80">
      <w:pPr>
        <w:jc w:val="center"/>
        <w:rPr>
          <w:b/>
          <w:sz w:val="28"/>
          <w:szCs w:val="28"/>
        </w:rPr>
      </w:pPr>
    </w:p>
    <w:p w14:paraId="0F84DCD7" w14:textId="77777777" w:rsidR="008648A9" w:rsidRDefault="008648A9" w:rsidP="00142C80">
      <w:pPr>
        <w:jc w:val="left"/>
        <w:rPr>
          <w:b/>
          <w:sz w:val="28"/>
          <w:szCs w:val="28"/>
        </w:rPr>
      </w:pPr>
    </w:p>
    <w:p w14:paraId="7718EC42" w14:textId="77777777" w:rsidR="008648A9" w:rsidRDefault="008648A9" w:rsidP="00142C80">
      <w:pPr>
        <w:jc w:val="left"/>
        <w:rPr>
          <w:b/>
          <w:sz w:val="28"/>
          <w:szCs w:val="28"/>
        </w:rPr>
      </w:pPr>
    </w:p>
    <w:p w14:paraId="122C9D1C" w14:textId="77777777" w:rsidR="008648A9" w:rsidRDefault="008648A9" w:rsidP="008648A9">
      <w:pPr>
        <w:jc w:val="left"/>
        <w:rPr>
          <w:b/>
          <w:sz w:val="28"/>
          <w:szCs w:val="28"/>
        </w:rPr>
        <w:sectPr w:rsidR="008648A9" w:rsidSect="00D31737">
          <w:headerReference w:type="even" r:id="rId8"/>
          <w:headerReference w:type="default" r:id="rId9"/>
          <w:footerReference w:type="even" r:id="rId10"/>
          <w:footerReference w:type="default" r:id="rId11"/>
          <w:headerReference w:type="first" r:id="rId12"/>
          <w:footerReference w:type="first" r:id="rId13"/>
          <w:pgSz w:w="12240" w:h="15840" w:code="1"/>
          <w:pgMar w:top="720" w:right="1080" w:bottom="720" w:left="1440" w:header="720" w:footer="389" w:gutter="0"/>
          <w:cols w:space="720"/>
          <w:docGrid w:linePitch="360"/>
        </w:sectPr>
      </w:pPr>
    </w:p>
    <w:p w14:paraId="5493FBD6" w14:textId="77777777" w:rsidR="00A96FFC" w:rsidRPr="001A2CF3" w:rsidRDefault="00A96FFC" w:rsidP="001A2CF3">
      <w:pPr>
        <w:jc w:val="center"/>
        <w:rPr>
          <w:b/>
          <w:sz w:val="28"/>
          <w:szCs w:val="28"/>
        </w:rPr>
      </w:pPr>
      <w:r w:rsidRPr="001A2CF3">
        <w:rPr>
          <w:b/>
          <w:sz w:val="28"/>
          <w:szCs w:val="28"/>
        </w:rPr>
        <w:lastRenderedPageBreak/>
        <w:t>TABLE OF CONTENTS</w:t>
      </w:r>
    </w:p>
    <w:p w14:paraId="4C311137" w14:textId="77777777" w:rsidR="00A96FFC" w:rsidRDefault="00A96FFC">
      <w:pPr>
        <w:rPr>
          <w:bCs/>
        </w:rPr>
      </w:pPr>
    </w:p>
    <w:p w14:paraId="0BC95A4C" w14:textId="30D07DD7" w:rsidR="005C15FA" w:rsidRDefault="00540D1C">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71186239" w:history="1">
        <w:r w:rsidR="005C15FA" w:rsidRPr="00A055D1">
          <w:rPr>
            <w:rStyle w:val="Hyperlink"/>
            <w:rFonts w:ascii="Times New Roman Bold" w:hAnsi="Times New Roman Bold"/>
            <w:noProof/>
          </w:rPr>
          <w:t>1.0</w:t>
        </w:r>
        <w:r w:rsidR="005C15FA">
          <w:rPr>
            <w:rFonts w:asciiTheme="minorHAnsi" w:eastAsiaTheme="minorEastAsia" w:hAnsiTheme="minorHAnsi" w:cstheme="minorBidi"/>
            <w:noProof/>
            <w:sz w:val="22"/>
            <w:szCs w:val="22"/>
          </w:rPr>
          <w:tab/>
        </w:r>
        <w:r w:rsidR="005C15FA" w:rsidRPr="00A055D1">
          <w:rPr>
            <w:rStyle w:val="Hyperlink"/>
            <w:noProof/>
          </w:rPr>
          <w:t>INTRODUCTION</w:t>
        </w:r>
        <w:r w:rsidR="005C15FA">
          <w:rPr>
            <w:noProof/>
            <w:webHidden/>
          </w:rPr>
          <w:tab/>
        </w:r>
        <w:r w:rsidR="005C15FA">
          <w:rPr>
            <w:noProof/>
            <w:webHidden/>
          </w:rPr>
          <w:fldChar w:fldCharType="begin"/>
        </w:r>
        <w:r w:rsidR="005C15FA">
          <w:rPr>
            <w:noProof/>
            <w:webHidden/>
          </w:rPr>
          <w:instrText xml:space="preserve"> PAGEREF _Toc71186239 \h </w:instrText>
        </w:r>
        <w:r w:rsidR="005C15FA">
          <w:rPr>
            <w:noProof/>
            <w:webHidden/>
          </w:rPr>
        </w:r>
        <w:r w:rsidR="005C15FA">
          <w:rPr>
            <w:noProof/>
            <w:webHidden/>
          </w:rPr>
          <w:fldChar w:fldCharType="separate"/>
        </w:r>
        <w:r w:rsidR="004C1B17">
          <w:rPr>
            <w:noProof/>
            <w:webHidden/>
          </w:rPr>
          <w:t>3</w:t>
        </w:r>
        <w:r w:rsidR="005C15FA">
          <w:rPr>
            <w:noProof/>
            <w:webHidden/>
          </w:rPr>
          <w:fldChar w:fldCharType="end"/>
        </w:r>
      </w:hyperlink>
    </w:p>
    <w:p w14:paraId="4699C5CA" w14:textId="25E77ED8" w:rsidR="005C15FA" w:rsidRDefault="005C15FA">
      <w:pPr>
        <w:pStyle w:val="TOC1"/>
        <w:rPr>
          <w:rFonts w:asciiTheme="minorHAnsi" w:eastAsiaTheme="minorEastAsia" w:hAnsiTheme="minorHAnsi" w:cstheme="minorBidi"/>
          <w:noProof/>
          <w:sz w:val="22"/>
          <w:szCs w:val="22"/>
        </w:rPr>
      </w:pPr>
      <w:hyperlink w:anchor="_Toc71186240" w:history="1">
        <w:r w:rsidRPr="00A055D1">
          <w:rPr>
            <w:rStyle w:val="Hyperlink"/>
            <w:rFonts w:ascii="Times New Roman Bold" w:hAnsi="Times New Roman Bold"/>
            <w:noProof/>
          </w:rPr>
          <w:t>2.0</w:t>
        </w:r>
        <w:r>
          <w:rPr>
            <w:rFonts w:asciiTheme="minorHAnsi" w:eastAsiaTheme="minorEastAsia" w:hAnsiTheme="minorHAnsi" w:cstheme="minorBidi"/>
            <w:noProof/>
            <w:sz w:val="22"/>
            <w:szCs w:val="22"/>
          </w:rPr>
          <w:tab/>
        </w:r>
        <w:r w:rsidRPr="00A055D1">
          <w:rPr>
            <w:rStyle w:val="Hyperlink"/>
            <w:noProof/>
          </w:rPr>
          <w:t>DEFINITIONS</w:t>
        </w:r>
        <w:r>
          <w:rPr>
            <w:noProof/>
            <w:webHidden/>
          </w:rPr>
          <w:tab/>
        </w:r>
        <w:r>
          <w:rPr>
            <w:noProof/>
            <w:webHidden/>
          </w:rPr>
          <w:fldChar w:fldCharType="begin"/>
        </w:r>
        <w:r>
          <w:rPr>
            <w:noProof/>
            <w:webHidden/>
          </w:rPr>
          <w:instrText xml:space="preserve"> PAGEREF _Toc71186240 \h </w:instrText>
        </w:r>
        <w:r>
          <w:rPr>
            <w:noProof/>
            <w:webHidden/>
          </w:rPr>
        </w:r>
        <w:r>
          <w:rPr>
            <w:noProof/>
            <w:webHidden/>
          </w:rPr>
          <w:fldChar w:fldCharType="separate"/>
        </w:r>
        <w:r w:rsidR="004C1B17">
          <w:rPr>
            <w:noProof/>
            <w:webHidden/>
          </w:rPr>
          <w:t>3</w:t>
        </w:r>
        <w:r>
          <w:rPr>
            <w:noProof/>
            <w:webHidden/>
          </w:rPr>
          <w:fldChar w:fldCharType="end"/>
        </w:r>
      </w:hyperlink>
    </w:p>
    <w:p w14:paraId="1445A85B" w14:textId="5D02B55A" w:rsidR="005C15FA" w:rsidRDefault="005C15FA">
      <w:pPr>
        <w:pStyle w:val="TOC1"/>
        <w:rPr>
          <w:rFonts w:asciiTheme="minorHAnsi" w:eastAsiaTheme="minorEastAsia" w:hAnsiTheme="minorHAnsi" w:cstheme="minorBidi"/>
          <w:noProof/>
          <w:sz w:val="22"/>
          <w:szCs w:val="22"/>
        </w:rPr>
      </w:pPr>
      <w:hyperlink w:anchor="_Toc71186241" w:history="1">
        <w:r w:rsidRPr="00A055D1">
          <w:rPr>
            <w:rStyle w:val="Hyperlink"/>
            <w:rFonts w:ascii="Times New Roman Bold" w:hAnsi="Times New Roman Bold"/>
            <w:noProof/>
          </w:rPr>
          <w:t>3.0</w:t>
        </w:r>
        <w:r>
          <w:rPr>
            <w:rFonts w:asciiTheme="minorHAnsi" w:eastAsiaTheme="minorEastAsia" w:hAnsiTheme="minorHAnsi" w:cstheme="minorBidi"/>
            <w:noProof/>
            <w:sz w:val="22"/>
            <w:szCs w:val="22"/>
          </w:rPr>
          <w:tab/>
        </w:r>
        <w:r w:rsidRPr="00A055D1">
          <w:rPr>
            <w:rStyle w:val="Hyperlink"/>
            <w:noProof/>
          </w:rPr>
          <w:t>RESPONSIBLILITIES</w:t>
        </w:r>
        <w:r>
          <w:rPr>
            <w:noProof/>
            <w:webHidden/>
          </w:rPr>
          <w:tab/>
        </w:r>
        <w:r>
          <w:rPr>
            <w:noProof/>
            <w:webHidden/>
          </w:rPr>
          <w:fldChar w:fldCharType="begin"/>
        </w:r>
        <w:r>
          <w:rPr>
            <w:noProof/>
            <w:webHidden/>
          </w:rPr>
          <w:instrText xml:space="preserve"> PAGEREF _Toc71186241 \h </w:instrText>
        </w:r>
        <w:r>
          <w:rPr>
            <w:noProof/>
            <w:webHidden/>
          </w:rPr>
        </w:r>
        <w:r>
          <w:rPr>
            <w:noProof/>
            <w:webHidden/>
          </w:rPr>
          <w:fldChar w:fldCharType="separate"/>
        </w:r>
        <w:r w:rsidR="004C1B17">
          <w:rPr>
            <w:noProof/>
            <w:webHidden/>
          </w:rPr>
          <w:t>4</w:t>
        </w:r>
        <w:r>
          <w:rPr>
            <w:noProof/>
            <w:webHidden/>
          </w:rPr>
          <w:fldChar w:fldCharType="end"/>
        </w:r>
      </w:hyperlink>
    </w:p>
    <w:p w14:paraId="4F5879F5" w14:textId="72C10031" w:rsidR="005C15FA" w:rsidRDefault="005C15FA">
      <w:pPr>
        <w:pStyle w:val="TOC2"/>
        <w:rPr>
          <w:rFonts w:asciiTheme="minorHAnsi" w:eastAsiaTheme="minorEastAsia" w:hAnsiTheme="minorHAnsi" w:cstheme="minorBidi"/>
          <w:noProof/>
          <w:sz w:val="22"/>
          <w:szCs w:val="22"/>
        </w:rPr>
      </w:pPr>
      <w:hyperlink w:anchor="_Toc71186242" w:history="1">
        <w:r w:rsidRPr="00A055D1">
          <w:rPr>
            <w:rStyle w:val="Hyperlink"/>
            <w:rFonts w:ascii="Times New Roman Bold" w:hAnsi="Times New Roman Bold"/>
            <w:noProof/>
          </w:rPr>
          <w:t>3.1</w:t>
        </w:r>
        <w:r>
          <w:rPr>
            <w:rFonts w:asciiTheme="minorHAnsi" w:eastAsiaTheme="minorEastAsia" w:hAnsiTheme="minorHAnsi" w:cstheme="minorBidi"/>
            <w:noProof/>
            <w:sz w:val="22"/>
            <w:szCs w:val="22"/>
          </w:rPr>
          <w:tab/>
        </w:r>
        <w:r w:rsidRPr="00A055D1">
          <w:rPr>
            <w:rStyle w:val="Hyperlink"/>
            <w:noProof/>
          </w:rPr>
          <w:t>Finance Section, Procurement</w:t>
        </w:r>
        <w:r>
          <w:rPr>
            <w:noProof/>
            <w:webHidden/>
          </w:rPr>
          <w:tab/>
        </w:r>
        <w:r>
          <w:rPr>
            <w:noProof/>
            <w:webHidden/>
          </w:rPr>
          <w:fldChar w:fldCharType="begin"/>
        </w:r>
        <w:r>
          <w:rPr>
            <w:noProof/>
            <w:webHidden/>
          </w:rPr>
          <w:instrText xml:space="preserve"> PAGEREF _Toc71186242 \h </w:instrText>
        </w:r>
        <w:r>
          <w:rPr>
            <w:noProof/>
            <w:webHidden/>
          </w:rPr>
        </w:r>
        <w:r>
          <w:rPr>
            <w:noProof/>
            <w:webHidden/>
          </w:rPr>
          <w:fldChar w:fldCharType="separate"/>
        </w:r>
        <w:r w:rsidR="004C1B17">
          <w:rPr>
            <w:noProof/>
            <w:webHidden/>
          </w:rPr>
          <w:t>4</w:t>
        </w:r>
        <w:r>
          <w:rPr>
            <w:noProof/>
            <w:webHidden/>
          </w:rPr>
          <w:fldChar w:fldCharType="end"/>
        </w:r>
      </w:hyperlink>
    </w:p>
    <w:p w14:paraId="104B901D" w14:textId="0AAE4B46" w:rsidR="005C15FA" w:rsidRDefault="005C15FA">
      <w:pPr>
        <w:pStyle w:val="TOC2"/>
        <w:rPr>
          <w:rFonts w:asciiTheme="minorHAnsi" w:eastAsiaTheme="minorEastAsia" w:hAnsiTheme="minorHAnsi" w:cstheme="minorBidi"/>
          <w:noProof/>
          <w:sz w:val="22"/>
          <w:szCs w:val="22"/>
        </w:rPr>
      </w:pPr>
      <w:hyperlink w:anchor="_Toc71186243" w:history="1">
        <w:r w:rsidRPr="00A055D1">
          <w:rPr>
            <w:rStyle w:val="Hyperlink"/>
            <w:rFonts w:ascii="Times New Roman Bold" w:hAnsi="Times New Roman Bold"/>
            <w:noProof/>
          </w:rPr>
          <w:t>3.2</w:t>
        </w:r>
        <w:r>
          <w:rPr>
            <w:rFonts w:asciiTheme="minorHAnsi" w:eastAsiaTheme="minorEastAsia" w:hAnsiTheme="minorHAnsi" w:cstheme="minorBidi"/>
            <w:noProof/>
            <w:sz w:val="22"/>
            <w:szCs w:val="22"/>
          </w:rPr>
          <w:tab/>
        </w:r>
        <w:r w:rsidRPr="00A055D1">
          <w:rPr>
            <w:rStyle w:val="Hyperlink"/>
            <w:noProof/>
          </w:rPr>
          <w:t>Construction Coordinator/Task Manager/Service Coordinator</w:t>
        </w:r>
        <w:r>
          <w:rPr>
            <w:noProof/>
            <w:webHidden/>
          </w:rPr>
          <w:tab/>
        </w:r>
        <w:r>
          <w:rPr>
            <w:noProof/>
            <w:webHidden/>
          </w:rPr>
          <w:fldChar w:fldCharType="begin"/>
        </w:r>
        <w:r>
          <w:rPr>
            <w:noProof/>
            <w:webHidden/>
          </w:rPr>
          <w:instrText xml:space="preserve"> PAGEREF _Toc71186243 \h </w:instrText>
        </w:r>
        <w:r>
          <w:rPr>
            <w:noProof/>
            <w:webHidden/>
          </w:rPr>
        </w:r>
        <w:r>
          <w:rPr>
            <w:noProof/>
            <w:webHidden/>
          </w:rPr>
          <w:fldChar w:fldCharType="separate"/>
        </w:r>
        <w:r w:rsidR="004C1B17">
          <w:rPr>
            <w:noProof/>
            <w:webHidden/>
          </w:rPr>
          <w:t>4</w:t>
        </w:r>
        <w:r>
          <w:rPr>
            <w:noProof/>
            <w:webHidden/>
          </w:rPr>
          <w:fldChar w:fldCharType="end"/>
        </w:r>
      </w:hyperlink>
    </w:p>
    <w:p w14:paraId="3DE44F6C" w14:textId="67673ACC" w:rsidR="005C15FA" w:rsidRDefault="005C15FA">
      <w:pPr>
        <w:pStyle w:val="TOC2"/>
        <w:rPr>
          <w:rFonts w:asciiTheme="minorHAnsi" w:eastAsiaTheme="minorEastAsia" w:hAnsiTheme="minorHAnsi" w:cstheme="minorBidi"/>
          <w:noProof/>
          <w:sz w:val="22"/>
          <w:szCs w:val="22"/>
        </w:rPr>
      </w:pPr>
      <w:hyperlink w:anchor="_Toc71186244" w:history="1">
        <w:r w:rsidRPr="00A055D1">
          <w:rPr>
            <w:rStyle w:val="Hyperlink"/>
            <w:rFonts w:ascii="Times New Roman Bold" w:hAnsi="Times New Roman Bold"/>
            <w:noProof/>
          </w:rPr>
          <w:t>3.3</w:t>
        </w:r>
        <w:r>
          <w:rPr>
            <w:rFonts w:asciiTheme="minorHAnsi" w:eastAsiaTheme="minorEastAsia" w:hAnsiTheme="minorHAnsi" w:cstheme="minorBidi"/>
            <w:noProof/>
            <w:sz w:val="22"/>
            <w:szCs w:val="22"/>
          </w:rPr>
          <w:tab/>
        </w:r>
        <w:r w:rsidRPr="00A055D1">
          <w:rPr>
            <w:rStyle w:val="Hyperlink"/>
            <w:noProof/>
          </w:rPr>
          <w:t>Division/Section Heads and Project Managers (D/S/P)</w:t>
        </w:r>
        <w:r>
          <w:rPr>
            <w:noProof/>
            <w:webHidden/>
          </w:rPr>
          <w:tab/>
        </w:r>
        <w:r>
          <w:rPr>
            <w:noProof/>
            <w:webHidden/>
          </w:rPr>
          <w:fldChar w:fldCharType="begin"/>
        </w:r>
        <w:r>
          <w:rPr>
            <w:noProof/>
            <w:webHidden/>
          </w:rPr>
          <w:instrText xml:space="preserve"> PAGEREF _Toc71186244 \h </w:instrText>
        </w:r>
        <w:r>
          <w:rPr>
            <w:noProof/>
            <w:webHidden/>
          </w:rPr>
        </w:r>
        <w:r>
          <w:rPr>
            <w:noProof/>
            <w:webHidden/>
          </w:rPr>
          <w:fldChar w:fldCharType="separate"/>
        </w:r>
        <w:r w:rsidR="004C1B17">
          <w:rPr>
            <w:noProof/>
            <w:webHidden/>
          </w:rPr>
          <w:t>5</w:t>
        </w:r>
        <w:r>
          <w:rPr>
            <w:noProof/>
            <w:webHidden/>
          </w:rPr>
          <w:fldChar w:fldCharType="end"/>
        </w:r>
      </w:hyperlink>
    </w:p>
    <w:p w14:paraId="7AC7C67C" w14:textId="1C636F27" w:rsidR="005C15FA" w:rsidRDefault="005C15FA">
      <w:pPr>
        <w:pStyle w:val="TOC2"/>
        <w:rPr>
          <w:rFonts w:asciiTheme="minorHAnsi" w:eastAsiaTheme="minorEastAsia" w:hAnsiTheme="minorHAnsi" w:cstheme="minorBidi"/>
          <w:noProof/>
          <w:sz w:val="22"/>
          <w:szCs w:val="22"/>
        </w:rPr>
      </w:pPr>
      <w:hyperlink w:anchor="_Toc71186245" w:history="1">
        <w:r w:rsidRPr="00A055D1">
          <w:rPr>
            <w:rStyle w:val="Hyperlink"/>
            <w:rFonts w:ascii="Times New Roman Bold" w:hAnsi="Times New Roman Bold"/>
            <w:noProof/>
          </w:rPr>
          <w:t>3.4</w:t>
        </w:r>
        <w:r>
          <w:rPr>
            <w:rFonts w:asciiTheme="minorHAnsi" w:eastAsiaTheme="minorEastAsia" w:hAnsiTheme="minorHAnsi" w:cstheme="minorBidi"/>
            <w:noProof/>
            <w:sz w:val="22"/>
            <w:szCs w:val="22"/>
          </w:rPr>
          <w:tab/>
        </w:r>
        <w:r w:rsidRPr="00A055D1">
          <w:rPr>
            <w:rStyle w:val="Hyperlink"/>
            <w:noProof/>
          </w:rPr>
          <w:t>Chief Safety Officer</w:t>
        </w:r>
        <w:r>
          <w:rPr>
            <w:noProof/>
            <w:webHidden/>
          </w:rPr>
          <w:tab/>
        </w:r>
        <w:r>
          <w:rPr>
            <w:noProof/>
            <w:webHidden/>
          </w:rPr>
          <w:fldChar w:fldCharType="begin"/>
        </w:r>
        <w:r>
          <w:rPr>
            <w:noProof/>
            <w:webHidden/>
          </w:rPr>
          <w:instrText xml:space="preserve"> PAGEREF _Toc71186245 \h </w:instrText>
        </w:r>
        <w:r>
          <w:rPr>
            <w:noProof/>
            <w:webHidden/>
          </w:rPr>
        </w:r>
        <w:r>
          <w:rPr>
            <w:noProof/>
            <w:webHidden/>
          </w:rPr>
          <w:fldChar w:fldCharType="separate"/>
        </w:r>
        <w:r w:rsidR="004C1B17">
          <w:rPr>
            <w:noProof/>
            <w:webHidden/>
          </w:rPr>
          <w:t>5</w:t>
        </w:r>
        <w:r>
          <w:rPr>
            <w:noProof/>
            <w:webHidden/>
          </w:rPr>
          <w:fldChar w:fldCharType="end"/>
        </w:r>
      </w:hyperlink>
    </w:p>
    <w:p w14:paraId="5D168499" w14:textId="37499D70" w:rsidR="005C15FA" w:rsidRDefault="005C15FA">
      <w:pPr>
        <w:pStyle w:val="TOC2"/>
        <w:rPr>
          <w:rFonts w:asciiTheme="minorHAnsi" w:eastAsiaTheme="minorEastAsia" w:hAnsiTheme="minorHAnsi" w:cstheme="minorBidi"/>
          <w:noProof/>
          <w:sz w:val="22"/>
          <w:szCs w:val="22"/>
        </w:rPr>
      </w:pPr>
      <w:hyperlink w:anchor="_Toc71186246" w:history="1">
        <w:r w:rsidRPr="00A055D1">
          <w:rPr>
            <w:rStyle w:val="Hyperlink"/>
            <w:rFonts w:ascii="Times New Roman Bold" w:hAnsi="Times New Roman Bold"/>
            <w:noProof/>
          </w:rPr>
          <w:t>3.5</w:t>
        </w:r>
        <w:r>
          <w:rPr>
            <w:rFonts w:asciiTheme="minorHAnsi" w:eastAsiaTheme="minorEastAsia" w:hAnsiTheme="minorHAnsi" w:cstheme="minorBidi"/>
            <w:noProof/>
            <w:sz w:val="22"/>
            <w:szCs w:val="22"/>
          </w:rPr>
          <w:tab/>
        </w:r>
        <w:r w:rsidRPr="00A055D1">
          <w:rPr>
            <w:rStyle w:val="Hyperlink"/>
            <w:noProof/>
          </w:rPr>
          <w:t>Employees</w:t>
        </w:r>
        <w:r>
          <w:rPr>
            <w:noProof/>
            <w:webHidden/>
          </w:rPr>
          <w:tab/>
        </w:r>
        <w:r>
          <w:rPr>
            <w:noProof/>
            <w:webHidden/>
          </w:rPr>
          <w:fldChar w:fldCharType="begin"/>
        </w:r>
        <w:r>
          <w:rPr>
            <w:noProof/>
            <w:webHidden/>
          </w:rPr>
          <w:instrText xml:space="preserve"> PAGEREF _Toc71186246 \h </w:instrText>
        </w:r>
        <w:r>
          <w:rPr>
            <w:noProof/>
            <w:webHidden/>
          </w:rPr>
        </w:r>
        <w:r>
          <w:rPr>
            <w:noProof/>
            <w:webHidden/>
          </w:rPr>
          <w:fldChar w:fldCharType="separate"/>
        </w:r>
        <w:r w:rsidR="004C1B17">
          <w:rPr>
            <w:noProof/>
            <w:webHidden/>
          </w:rPr>
          <w:t>5</w:t>
        </w:r>
        <w:r>
          <w:rPr>
            <w:noProof/>
            <w:webHidden/>
          </w:rPr>
          <w:fldChar w:fldCharType="end"/>
        </w:r>
      </w:hyperlink>
    </w:p>
    <w:p w14:paraId="43E9BDAB" w14:textId="40F95C74" w:rsidR="005C15FA" w:rsidRDefault="005C15FA">
      <w:pPr>
        <w:pStyle w:val="TOC2"/>
        <w:rPr>
          <w:rFonts w:asciiTheme="minorHAnsi" w:eastAsiaTheme="minorEastAsia" w:hAnsiTheme="minorHAnsi" w:cstheme="minorBidi"/>
          <w:noProof/>
          <w:sz w:val="22"/>
          <w:szCs w:val="22"/>
        </w:rPr>
      </w:pPr>
      <w:hyperlink w:anchor="_Toc71186247" w:history="1">
        <w:r w:rsidRPr="00A055D1">
          <w:rPr>
            <w:rStyle w:val="Hyperlink"/>
            <w:rFonts w:ascii="Times New Roman Bold" w:hAnsi="Times New Roman Bold"/>
            <w:noProof/>
          </w:rPr>
          <w:t>3.6</w:t>
        </w:r>
        <w:r>
          <w:rPr>
            <w:rFonts w:asciiTheme="minorHAnsi" w:eastAsiaTheme="minorEastAsia" w:hAnsiTheme="minorHAnsi" w:cstheme="minorBidi"/>
            <w:noProof/>
            <w:sz w:val="22"/>
            <w:szCs w:val="22"/>
          </w:rPr>
          <w:tab/>
        </w:r>
        <w:r w:rsidRPr="00A055D1">
          <w:rPr>
            <w:rStyle w:val="Hyperlink"/>
            <w:noProof/>
          </w:rPr>
          <w:t>Division Safety Officer (DSO)</w:t>
        </w:r>
        <w:r>
          <w:rPr>
            <w:noProof/>
            <w:webHidden/>
          </w:rPr>
          <w:tab/>
        </w:r>
        <w:r>
          <w:rPr>
            <w:noProof/>
            <w:webHidden/>
          </w:rPr>
          <w:fldChar w:fldCharType="begin"/>
        </w:r>
        <w:r>
          <w:rPr>
            <w:noProof/>
            <w:webHidden/>
          </w:rPr>
          <w:instrText xml:space="preserve"> PAGEREF _Toc71186247 \h </w:instrText>
        </w:r>
        <w:r>
          <w:rPr>
            <w:noProof/>
            <w:webHidden/>
          </w:rPr>
        </w:r>
        <w:r>
          <w:rPr>
            <w:noProof/>
            <w:webHidden/>
          </w:rPr>
          <w:fldChar w:fldCharType="separate"/>
        </w:r>
        <w:r w:rsidR="004C1B17">
          <w:rPr>
            <w:noProof/>
            <w:webHidden/>
          </w:rPr>
          <w:t>5</w:t>
        </w:r>
        <w:r>
          <w:rPr>
            <w:noProof/>
            <w:webHidden/>
          </w:rPr>
          <w:fldChar w:fldCharType="end"/>
        </w:r>
      </w:hyperlink>
    </w:p>
    <w:p w14:paraId="791E2C06" w14:textId="3471052A" w:rsidR="005C15FA" w:rsidRDefault="005C15FA">
      <w:pPr>
        <w:pStyle w:val="TOC1"/>
        <w:rPr>
          <w:rFonts w:asciiTheme="minorHAnsi" w:eastAsiaTheme="minorEastAsia" w:hAnsiTheme="minorHAnsi" w:cstheme="minorBidi"/>
          <w:noProof/>
          <w:sz w:val="22"/>
          <w:szCs w:val="22"/>
        </w:rPr>
      </w:pPr>
      <w:hyperlink w:anchor="_Toc71186248" w:history="1">
        <w:r w:rsidRPr="00A055D1">
          <w:rPr>
            <w:rStyle w:val="Hyperlink"/>
            <w:rFonts w:ascii="Times New Roman Bold" w:hAnsi="Times New Roman Bold"/>
            <w:noProof/>
          </w:rPr>
          <w:t>4.0</w:t>
        </w:r>
        <w:r>
          <w:rPr>
            <w:rFonts w:asciiTheme="minorHAnsi" w:eastAsiaTheme="minorEastAsia" w:hAnsiTheme="minorHAnsi" w:cstheme="minorBidi"/>
            <w:noProof/>
            <w:sz w:val="22"/>
            <w:szCs w:val="22"/>
          </w:rPr>
          <w:tab/>
        </w:r>
        <w:r w:rsidRPr="00A055D1">
          <w:rPr>
            <w:rStyle w:val="Hyperlink"/>
            <w:noProof/>
          </w:rPr>
          <w:t>PROGRAM DESCRIPTION</w:t>
        </w:r>
        <w:r>
          <w:rPr>
            <w:noProof/>
            <w:webHidden/>
          </w:rPr>
          <w:tab/>
        </w:r>
        <w:r>
          <w:rPr>
            <w:noProof/>
            <w:webHidden/>
          </w:rPr>
          <w:fldChar w:fldCharType="begin"/>
        </w:r>
        <w:r>
          <w:rPr>
            <w:noProof/>
            <w:webHidden/>
          </w:rPr>
          <w:instrText xml:space="preserve"> PAGEREF _Toc71186248 \h </w:instrText>
        </w:r>
        <w:r>
          <w:rPr>
            <w:noProof/>
            <w:webHidden/>
          </w:rPr>
        </w:r>
        <w:r>
          <w:rPr>
            <w:noProof/>
            <w:webHidden/>
          </w:rPr>
          <w:fldChar w:fldCharType="separate"/>
        </w:r>
        <w:r w:rsidR="004C1B17">
          <w:rPr>
            <w:noProof/>
            <w:webHidden/>
          </w:rPr>
          <w:t>5</w:t>
        </w:r>
        <w:r>
          <w:rPr>
            <w:noProof/>
            <w:webHidden/>
          </w:rPr>
          <w:fldChar w:fldCharType="end"/>
        </w:r>
      </w:hyperlink>
    </w:p>
    <w:p w14:paraId="158BD965" w14:textId="1FCBBBF3" w:rsidR="005C15FA" w:rsidRDefault="005C15FA">
      <w:pPr>
        <w:pStyle w:val="TOC2"/>
        <w:rPr>
          <w:rFonts w:asciiTheme="minorHAnsi" w:eastAsiaTheme="minorEastAsia" w:hAnsiTheme="minorHAnsi" w:cstheme="minorBidi"/>
          <w:noProof/>
          <w:sz w:val="22"/>
          <w:szCs w:val="22"/>
        </w:rPr>
      </w:pPr>
      <w:hyperlink w:anchor="_Toc71186249" w:history="1">
        <w:r w:rsidRPr="00A055D1">
          <w:rPr>
            <w:rStyle w:val="Hyperlink"/>
            <w:rFonts w:ascii="Times New Roman Bold" w:hAnsi="Times New Roman Bold"/>
            <w:noProof/>
          </w:rPr>
          <w:t>4.1</w:t>
        </w:r>
        <w:r>
          <w:rPr>
            <w:rFonts w:asciiTheme="minorHAnsi" w:eastAsiaTheme="minorEastAsia" w:hAnsiTheme="minorHAnsi" w:cstheme="minorBidi"/>
            <w:noProof/>
            <w:sz w:val="22"/>
            <w:szCs w:val="22"/>
          </w:rPr>
          <w:tab/>
        </w:r>
        <w:r w:rsidRPr="00A055D1">
          <w:rPr>
            <w:rStyle w:val="Hyperlink"/>
            <w:rFonts w:eastAsia="+mn-ea"/>
            <w:noProof/>
          </w:rPr>
          <w:t>Exceptions to purchasing SA items</w:t>
        </w:r>
        <w:r>
          <w:rPr>
            <w:noProof/>
            <w:webHidden/>
          </w:rPr>
          <w:tab/>
        </w:r>
        <w:r>
          <w:rPr>
            <w:noProof/>
            <w:webHidden/>
          </w:rPr>
          <w:fldChar w:fldCharType="begin"/>
        </w:r>
        <w:r>
          <w:rPr>
            <w:noProof/>
            <w:webHidden/>
          </w:rPr>
          <w:instrText xml:space="preserve"> PAGEREF _Toc71186249 \h </w:instrText>
        </w:r>
        <w:r>
          <w:rPr>
            <w:noProof/>
            <w:webHidden/>
          </w:rPr>
        </w:r>
        <w:r>
          <w:rPr>
            <w:noProof/>
            <w:webHidden/>
          </w:rPr>
          <w:fldChar w:fldCharType="separate"/>
        </w:r>
        <w:r w:rsidR="004C1B17">
          <w:rPr>
            <w:noProof/>
            <w:webHidden/>
          </w:rPr>
          <w:t>5</w:t>
        </w:r>
        <w:r>
          <w:rPr>
            <w:noProof/>
            <w:webHidden/>
          </w:rPr>
          <w:fldChar w:fldCharType="end"/>
        </w:r>
      </w:hyperlink>
    </w:p>
    <w:p w14:paraId="311FAADE" w14:textId="2B039D68" w:rsidR="005C15FA" w:rsidRDefault="005C15FA">
      <w:pPr>
        <w:pStyle w:val="TOC1"/>
        <w:rPr>
          <w:rFonts w:asciiTheme="minorHAnsi" w:eastAsiaTheme="minorEastAsia" w:hAnsiTheme="minorHAnsi" w:cstheme="minorBidi"/>
          <w:noProof/>
          <w:sz w:val="22"/>
          <w:szCs w:val="22"/>
        </w:rPr>
      </w:pPr>
      <w:hyperlink w:anchor="_Toc71186250" w:history="1">
        <w:r w:rsidRPr="00A055D1">
          <w:rPr>
            <w:rStyle w:val="Hyperlink"/>
            <w:rFonts w:ascii="Times New Roman Bold" w:hAnsi="Times New Roman Bold"/>
            <w:noProof/>
          </w:rPr>
          <w:t>5.0</w:t>
        </w:r>
        <w:r>
          <w:rPr>
            <w:rFonts w:asciiTheme="minorHAnsi" w:eastAsiaTheme="minorEastAsia" w:hAnsiTheme="minorHAnsi" w:cstheme="minorBidi"/>
            <w:noProof/>
            <w:sz w:val="22"/>
            <w:szCs w:val="22"/>
          </w:rPr>
          <w:tab/>
        </w:r>
        <w:r w:rsidRPr="00A055D1">
          <w:rPr>
            <w:rStyle w:val="Hyperlink"/>
            <w:noProof/>
          </w:rPr>
          <w:t>REFERENCES</w:t>
        </w:r>
        <w:r>
          <w:rPr>
            <w:noProof/>
            <w:webHidden/>
          </w:rPr>
          <w:tab/>
        </w:r>
        <w:r>
          <w:rPr>
            <w:noProof/>
            <w:webHidden/>
          </w:rPr>
          <w:fldChar w:fldCharType="begin"/>
        </w:r>
        <w:r>
          <w:rPr>
            <w:noProof/>
            <w:webHidden/>
          </w:rPr>
          <w:instrText xml:space="preserve"> PAGEREF _Toc71186250 \h </w:instrText>
        </w:r>
        <w:r>
          <w:rPr>
            <w:noProof/>
            <w:webHidden/>
          </w:rPr>
        </w:r>
        <w:r>
          <w:rPr>
            <w:noProof/>
            <w:webHidden/>
          </w:rPr>
          <w:fldChar w:fldCharType="separate"/>
        </w:r>
        <w:r w:rsidR="004C1B17">
          <w:rPr>
            <w:noProof/>
            <w:webHidden/>
          </w:rPr>
          <w:t>6</w:t>
        </w:r>
        <w:r>
          <w:rPr>
            <w:noProof/>
            <w:webHidden/>
          </w:rPr>
          <w:fldChar w:fldCharType="end"/>
        </w:r>
      </w:hyperlink>
    </w:p>
    <w:p w14:paraId="26EAE2D0" w14:textId="40AC7DB1" w:rsidR="005C15FA" w:rsidRDefault="005C15FA">
      <w:pPr>
        <w:pStyle w:val="TOC2"/>
        <w:rPr>
          <w:rFonts w:asciiTheme="minorHAnsi" w:eastAsiaTheme="minorEastAsia" w:hAnsiTheme="minorHAnsi" w:cstheme="minorBidi"/>
          <w:noProof/>
          <w:sz w:val="22"/>
          <w:szCs w:val="22"/>
        </w:rPr>
      </w:pPr>
      <w:hyperlink w:anchor="_Toc71186251" w:history="1">
        <w:r w:rsidRPr="00A055D1">
          <w:rPr>
            <w:rStyle w:val="Hyperlink"/>
            <w:rFonts w:ascii="Times New Roman Bold" w:hAnsi="Times New Roman Bold"/>
            <w:noProof/>
          </w:rPr>
          <w:t>5.1</w:t>
        </w:r>
        <w:r>
          <w:rPr>
            <w:rFonts w:asciiTheme="minorHAnsi" w:eastAsiaTheme="minorEastAsia" w:hAnsiTheme="minorHAnsi" w:cstheme="minorBidi"/>
            <w:noProof/>
            <w:sz w:val="22"/>
            <w:szCs w:val="22"/>
          </w:rPr>
          <w:tab/>
        </w:r>
        <w:r w:rsidRPr="00A055D1">
          <w:rPr>
            <w:rStyle w:val="Hyperlink"/>
            <w:noProof/>
          </w:rPr>
          <w:t>RESOURCES</w:t>
        </w:r>
        <w:r>
          <w:rPr>
            <w:noProof/>
            <w:webHidden/>
          </w:rPr>
          <w:tab/>
        </w:r>
        <w:r>
          <w:rPr>
            <w:noProof/>
            <w:webHidden/>
          </w:rPr>
          <w:fldChar w:fldCharType="begin"/>
        </w:r>
        <w:r>
          <w:rPr>
            <w:noProof/>
            <w:webHidden/>
          </w:rPr>
          <w:instrText xml:space="preserve"> PAGEREF _Toc71186251 \h </w:instrText>
        </w:r>
        <w:r>
          <w:rPr>
            <w:noProof/>
            <w:webHidden/>
          </w:rPr>
        </w:r>
        <w:r>
          <w:rPr>
            <w:noProof/>
            <w:webHidden/>
          </w:rPr>
          <w:fldChar w:fldCharType="separate"/>
        </w:r>
        <w:r w:rsidR="004C1B17">
          <w:rPr>
            <w:noProof/>
            <w:webHidden/>
          </w:rPr>
          <w:t>6</w:t>
        </w:r>
        <w:r>
          <w:rPr>
            <w:noProof/>
            <w:webHidden/>
          </w:rPr>
          <w:fldChar w:fldCharType="end"/>
        </w:r>
      </w:hyperlink>
    </w:p>
    <w:p w14:paraId="1C0C0913" w14:textId="34822E4D" w:rsidR="005C15FA" w:rsidRDefault="005C15FA">
      <w:pPr>
        <w:pStyle w:val="TOC2"/>
        <w:rPr>
          <w:rFonts w:asciiTheme="minorHAnsi" w:eastAsiaTheme="minorEastAsia" w:hAnsiTheme="minorHAnsi" w:cstheme="minorBidi"/>
          <w:noProof/>
          <w:sz w:val="22"/>
          <w:szCs w:val="22"/>
        </w:rPr>
      </w:pPr>
      <w:hyperlink w:anchor="_Toc71186252" w:history="1">
        <w:r w:rsidRPr="00A055D1">
          <w:rPr>
            <w:rStyle w:val="Hyperlink"/>
            <w:rFonts w:ascii="Times New Roman Bold" w:hAnsi="Times New Roman Bold"/>
            <w:noProof/>
          </w:rPr>
          <w:t>5.2</w:t>
        </w:r>
        <w:r>
          <w:rPr>
            <w:rFonts w:asciiTheme="minorHAnsi" w:eastAsiaTheme="minorEastAsia" w:hAnsiTheme="minorHAnsi" w:cstheme="minorBidi"/>
            <w:noProof/>
            <w:sz w:val="22"/>
            <w:szCs w:val="22"/>
          </w:rPr>
          <w:tab/>
        </w:r>
        <w:r w:rsidRPr="00A055D1">
          <w:rPr>
            <w:rStyle w:val="Hyperlink"/>
            <w:noProof/>
          </w:rPr>
          <w:t>ENERGY EFFICIENCY</w:t>
        </w:r>
        <w:r>
          <w:rPr>
            <w:noProof/>
            <w:webHidden/>
          </w:rPr>
          <w:tab/>
        </w:r>
        <w:r>
          <w:rPr>
            <w:noProof/>
            <w:webHidden/>
          </w:rPr>
          <w:fldChar w:fldCharType="begin"/>
        </w:r>
        <w:r>
          <w:rPr>
            <w:noProof/>
            <w:webHidden/>
          </w:rPr>
          <w:instrText xml:space="preserve"> PAGEREF _Toc71186252 \h </w:instrText>
        </w:r>
        <w:r>
          <w:rPr>
            <w:noProof/>
            <w:webHidden/>
          </w:rPr>
        </w:r>
        <w:r>
          <w:rPr>
            <w:noProof/>
            <w:webHidden/>
          </w:rPr>
          <w:fldChar w:fldCharType="separate"/>
        </w:r>
        <w:r w:rsidR="004C1B17">
          <w:rPr>
            <w:noProof/>
            <w:webHidden/>
          </w:rPr>
          <w:t>6</w:t>
        </w:r>
        <w:r>
          <w:rPr>
            <w:noProof/>
            <w:webHidden/>
          </w:rPr>
          <w:fldChar w:fldCharType="end"/>
        </w:r>
      </w:hyperlink>
    </w:p>
    <w:p w14:paraId="14C4EAA2" w14:textId="38D7DE64" w:rsidR="005C15FA" w:rsidRDefault="005C15FA">
      <w:pPr>
        <w:pStyle w:val="TOC2"/>
        <w:rPr>
          <w:rFonts w:asciiTheme="minorHAnsi" w:eastAsiaTheme="minorEastAsia" w:hAnsiTheme="minorHAnsi" w:cstheme="minorBidi"/>
          <w:noProof/>
          <w:sz w:val="22"/>
          <w:szCs w:val="22"/>
        </w:rPr>
      </w:pPr>
      <w:hyperlink w:anchor="_Toc71186253" w:history="1">
        <w:r w:rsidRPr="00A055D1">
          <w:rPr>
            <w:rStyle w:val="Hyperlink"/>
            <w:rFonts w:ascii="Times New Roman Bold" w:hAnsi="Times New Roman Bold"/>
            <w:noProof/>
          </w:rPr>
          <w:t>5.3</w:t>
        </w:r>
        <w:r>
          <w:rPr>
            <w:rFonts w:asciiTheme="minorHAnsi" w:eastAsiaTheme="minorEastAsia" w:hAnsiTheme="minorHAnsi" w:cstheme="minorBidi"/>
            <w:noProof/>
            <w:sz w:val="22"/>
            <w:szCs w:val="22"/>
          </w:rPr>
          <w:tab/>
        </w:r>
        <w:r w:rsidRPr="00A055D1">
          <w:rPr>
            <w:rStyle w:val="Hyperlink"/>
            <w:noProof/>
          </w:rPr>
          <w:t>SUSTAINABILITY</w:t>
        </w:r>
        <w:r>
          <w:rPr>
            <w:noProof/>
            <w:webHidden/>
          </w:rPr>
          <w:tab/>
        </w:r>
        <w:r>
          <w:rPr>
            <w:noProof/>
            <w:webHidden/>
          </w:rPr>
          <w:fldChar w:fldCharType="begin"/>
        </w:r>
        <w:r>
          <w:rPr>
            <w:noProof/>
            <w:webHidden/>
          </w:rPr>
          <w:instrText xml:space="preserve"> PAGEREF _Toc71186253 \h </w:instrText>
        </w:r>
        <w:r>
          <w:rPr>
            <w:noProof/>
            <w:webHidden/>
          </w:rPr>
        </w:r>
        <w:r>
          <w:rPr>
            <w:noProof/>
            <w:webHidden/>
          </w:rPr>
          <w:fldChar w:fldCharType="separate"/>
        </w:r>
        <w:r w:rsidR="004C1B17">
          <w:rPr>
            <w:noProof/>
            <w:webHidden/>
          </w:rPr>
          <w:t>6</w:t>
        </w:r>
        <w:r>
          <w:rPr>
            <w:noProof/>
            <w:webHidden/>
          </w:rPr>
          <w:fldChar w:fldCharType="end"/>
        </w:r>
      </w:hyperlink>
    </w:p>
    <w:p w14:paraId="6169FC53" w14:textId="38D5D511" w:rsidR="005C15FA" w:rsidRDefault="005C15FA">
      <w:pPr>
        <w:pStyle w:val="TOC2"/>
        <w:rPr>
          <w:rFonts w:asciiTheme="minorHAnsi" w:eastAsiaTheme="minorEastAsia" w:hAnsiTheme="minorHAnsi" w:cstheme="minorBidi"/>
          <w:noProof/>
          <w:sz w:val="22"/>
          <w:szCs w:val="22"/>
        </w:rPr>
      </w:pPr>
      <w:hyperlink w:anchor="_Toc71186254" w:history="1">
        <w:r w:rsidRPr="00A055D1">
          <w:rPr>
            <w:rStyle w:val="Hyperlink"/>
            <w:rFonts w:ascii="Times New Roman Bold" w:hAnsi="Times New Roman Bold"/>
            <w:noProof/>
          </w:rPr>
          <w:t>5.4</w:t>
        </w:r>
        <w:r>
          <w:rPr>
            <w:rFonts w:asciiTheme="minorHAnsi" w:eastAsiaTheme="minorEastAsia" w:hAnsiTheme="minorHAnsi" w:cstheme="minorBidi"/>
            <w:noProof/>
            <w:sz w:val="22"/>
            <w:szCs w:val="22"/>
          </w:rPr>
          <w:tab/>
        </w:r>
        <w:r w:rsidRPr="00A055D1">
          <w:rPr>
            <w:rStyle w:val="Hyperlink"/>
            <w:noProof/>
          </w:rPr>
          <w:t>WATER USE</w:t>
        </w:r>
        <w:r>
          <w:rPr>
            <w:noProof/>
            <w:webHidden/>
          </w:rPr>
          <w:tab/>
        </w:r>
        <w:r>
          <w:rPr>
            <w:noProof/>
            <w:webHidden/>
          </w:rPr>
          <w:fldChar w:fldCharType="begin"/>
        </w:r>
        <w:r>
          <w:rPr>
            <w:noProof/>
            <w:webHidden/>
          </w:rPr>
          <w:instrText xml:space="preserve"> PAGEREF _Toc71186254 \h </w:instrText>
        </w:r>
        <w:r>
          <w:rPr>
            <w:noProof/>
            <w:webHidden/>
          </w:rPr>
        </w:r>
        <w:r>
          <w:rPr>
            <w:noProof/>
            <w:webHidden/>
          </w:rPr>
          <w:fldChar w:fldCharType="separate"/>
        </w:r>
        <w:r w:rsidR="004C1B17">
          <w:rPr>
            <w:noProof/>
            <w:webHidden/>
          </w:rPr>
          <w:t>6</w:t>
        </w:r>
        <w:r>
          <w:rPr>
            <w:noProof/>
            <w:webHidden/>
          </w:rPr>
          <w:fldChar w:fldCharType="end"/>
        </w:r>
      </w:hyperlink>
    </w:p>
    <w:p w14:paraId="3A01F430" w14:textId="223C52A3" w:rsidR="005C15FA" w:rsidRDefault="005C15FA">
      <w:pPr>
        <w:pStyle w:val="TOC2"/>
        <w:rPr>
          <w:rFonts w:asciiTheme="minorHAnsi" w:eastAsiaTheme="minorEastAsia" w:hAnsiTheme="minorHAnsi" w:cstheme="minorBidi"/>
          <w:noProof/>
          <w:sz w:val="22"/>
          <w:szCs w:val="22"/>
        </w:rPr>
      </w:pPr>
      <w:hyperlink w:anchor="_Toc71186255" w:history="1">
        <w:r w:rsidRPr="00A055D1">
          <w:rPr>
            <w:rStyle w:val="Hyperlink"/>
            <w:rFonts w:ascii="Times New Roman Bold" w:hAnsi="Times New Roman Bold"/>
            <w:noProof/>
          </w:rPr>
          <w:t>5.5</w:t>
        </w:r>
        <w:r>
          <w:rPr>
            <w:rFonts w:asciiTheme="minorHAnsi" w:eastAsiaTheme="minorEastAsia" w:hAnsiTheme="minorHAnsi" w:cstheme="minorBidi"/>
            <w:noProof/>
            <w:sz w:val="22"/>
            <w:szCs w:val="22"/>
          </w:rPr>
          <w:tab/>
        </w:r>
        <w:r w:rsidRPr="00A055D1">
          <w:rPr>
            <w:rStyle w:val="Hyperlink"/>
            <w:noProof/>
          </w:rPr>
          <w:t>OZONE DEPLETION</w:t>
        </w:r>
        <w:r>
          <w:rPr>
            <w:noProof/>
            <w:webHidden/>
          </w:rPr>
          <w:tab/>
        </w:r>
        <w:r>
          <w:rPr>
            <w:noProof/>
            <w:webHidden/>
          </w:rPr>
          <w:fldChar w:fldCharType="begin"/>
        </w:r>
        <w:r>
          <w:rPr>
            <w:noProof/>
            <w:webHidden/>
          </w:rPr>
          <w:instrText xml:space="preserve"> PAGEREF _Toc71186255 \h </w:instrText>
        </w:r>
        <w:r>
          <w:rPr>
            <w:noProof/>
            <w:webHidden/>
          </w:rPr>
        </w:r>
        <w:r>
          <w:rPr>
            <w:noProof/>
            <w:webHidden/>
          </w:rPr>
          <w:fldChar w:fldCharType="separate"/>
        </w:r>
        <w:r w:rsidR="004C1B17">
          <w:rPr>
            <w:noProof/>
            <w:webHidden/>
          </w:rPr>
          <w:t>6</w:t>
        </w:r>
        <w:r>
          <w:rPr>
            <w:noProof/>
            <w:webHidden/>
          </w:rPr>
          <w:fldChar w:fldCharType="end"/>
        </w:r>
      </w:hyperlink>
    </w:p>
    <w:p w14:paraId="7801AED3" w14:textId="12CE9407" w:rsidR="005C15FA" w:rsidRDefault="005C15FA">
      <w:pPr>
        <w:pStyle w:val="TOC2"/>
        <w:rPr>
          <w:rFonts w:asciiTheme="minorHAnsi" w:eastAsiaTheme="minorEastAsia" w:hAnsiTheme="minorHAnsi" w:cstheme="minorBidi"/>
          <w:noProof/>
          <w:sz w:val="22"/>
          <w:szCs w:val="22"/>
        </w:rPr>
      </w:pPr>
      <w:hyperlink w:anchor="_Toc71186256" w:history="1">
        <w:r w:rsidRPr="00A055D1">
          <w:rPr>
            <w:rStyle w:val="Hyperlink"/>
            <w:rFonts w:ascii="Times New Roman Bold" w:hAnsi="Times New Roman Bold"/>
            <w:noProof/>
          </w:rPr>
          <w:t>5.6</w:t>
        </w:r>
        <w:r>
          <w:rPr>
            <w:rFonts w:asciiTheme="minorHAnsi" w:eastAsiaTheme="minorEastAsia" w:hAnsiTheme="minorHAnsi" w:cstheme="minorBidi"/>
            <w:noProof/>
            <w:sz w:val="22"/>
            <w:szCs w:val="22"/>
          </w:rPr>
          <w:tab/>
        </w:r>
        <w:r w:rsidRPr="00A055D1">
          <w:rPr>
            <w:rStyle w:val="Hyperlink"/>
            <w:noProof/>
          </w:rPr>
          <w:t>EDUCATION</w:t>
        </w:r>
        <w:r>
          <w:rPr>
            <w:noProof/>
            <w:webHidden/>
          </w:rPr>
          <w:tab/>
        </w:r>
        <w:r>
          <w:rPr>
            <w:noProof/>
            <w:webHidden/>
          </w:rPr>
          <w:fldChar w:fldCharType="begin"/>
        </w:r>
        <w:r>
          <w:rPr>
            <w:noProof/>
            <w:webHidden/>
          </w:rPr>
          <w:instrText xml:space="preserve"> PAGEREF _Toc71186256 \h </w:instrText>
        </w:r>
        <w:r>
          <w:rPr>
            <w:noProof/>
            <w:webHidden/>
          </w:rPr>
        </w:r>
        <w:r>
          <w:rPr>
            <w:noProof/>
            <w:webHidden/>
          </w:rPr>
          <w:fldChar w:fldCharType="separate"/>
        </w:r>
        <w:r w:rsidR="004C1B17">
          <w:rPr>
            <w:noProof/>
            <w:webHidden/>
          </w:rPr>
          <w:t>6</w:t>
        </w:r>
        <w:r>
          <w:rPr>
            <w:noProof/>
            <w:webHidden/>
          </w:rPr>
          <w:fldChar w:fldCharType="end"/>
        </w:r>
      </w:hyperlink>
    </w:p>
    <w:p w14:paraId="739CC93D" w14:textId="2D478263" w:rsidR="005C15FA" w:rsidRDefault="005C15FA">
      <w:pPr>
        <w:pStyle w:val="TOC2"/>
        <w:rPr>
          <w:rFonts w:asciiTheme="minorHAnsi" w:eastAsiaTheme="minorEastAsia" w:hAnsiTheme="minorHAnsi" w:cstheme="minorBidi"/>
          <w:noProof/>
          <w:sz w:val="22"/>
          <w:szCs w:val="22"/>
        </w:rPr>
      </w:pPr>
      <w:hyperlink w:anchor="_Toc71186257" w:history="1">
        <w:r w:rsidRPr="00A055D1">
          <w:rPr>
            <w:rStyle w:val="Hyperlink"/>
            <w:rFonts w:ascii="Times New Roman Bold" w:hAnsi="Times New Roman Bold"/>
            <w:noProof/>
          </w:rPr>
          <w:t>5.7</w:t>
        </w:r>
        <w:r>
          <w:rPr>
            <w:rFonts w:asciiTheme="minorHAnsi" w:eastAsiaTheme="minorEastAsia" w:hAnsiTheme="minorHAnsi" w:cstheme="minorBidi"/>
            <w:noProof/>
            <w:sz w:val="22"/>
            <w:szCs w:val="22"/>
          </w:rPr>
          <w:tab/>
        </w:r>
        <w:r w:rsidRPr="00A055D1">
          <w:rPr>
            <w:rStyle w:val="Hyperlink"/>
            <w:noProof/>
          </w:rPr>
          <w:t>SHOPPING</w:t>
        </w:r>
        <w:r>
          <w:rPr>
            <w:noProof/>
            <w:webHidden/>
          </w:rPr>
          <w:tab/>
        </w:r>
        <w:r>
          <w:rPr>
            <w:noProof/>
            <w:webHidden/>
          </w:rPr>
          <w:fldChar w:fldCharType="begin"/>
        </w:r>
        <w:r>
          <w:rPr>
            <w:noProof/>
            <w:webHidden/>
          </w:rPr>
          <w:instrText xml:space="preserve"> PAGEREF _Toc71186257 \h </w:instrText>
        </w:r>
        <w:r>
          <w:rPr>
            <w:noProof/>
            <w:webHidden/>
          </w:rPr>
        </w:r>
        <w:r>
          <w:rPr>
            <w:noProof/>
            <w:webHidden/>
          </w:rPr>
          <w:fldChar w:fldCharType="separate"/>
        </w:r>
        <w:r w:rsidR="004C1B17">
          <w:rPr>
            <w:noProof/>
            <w:webHidden/>
          </w:rPr>
          <w:t>7</w:t>
        </w:r>
        <w:r>
          <w:rPr>
            <w:noProof/>
            <w:webHidden/>
          </w:rPr>
          <w:fldChar w:fldCharType="end"/>
        </w:r>
      </w:hyperlink>
    </w:p>
    <w:p w14:paraId="362F2F88" w14:textId="60E11B46" w:rsidR="00A96FFC" w:rsidRDefault="00540D1C" w:rsidP="00DC1668">
      <w:pPr>
        <w:outlineLvl w:val="2"/>
        <w:rPr>
          <w:bCs/>
        </w:rPr>
      </w:pPr>
      <w:r>
        <w:rPr>
          <w:bCs/>
        </w:rPr>
        <w:fldChar w:fldCharType="end"/>
      </w:r>
    </w:p>
    <w:p w14:paraId="4B3F391D" w14:textId="77777777" w:rsidR="00084E8E" w:rsidRPr="00FA370A" w:rsidRDefault="00084E8E" w:rsidP="002441F5">
      <w:pPr>
        <w:jc w:val="left"/>
        <w:rPr>
          <w:bCs/>
        </w:rPr>
      </w:pPr>
    </w:p>
    <w:p w14:paraId="537EFD07" w14:textId="77777777" w:rsidR="00A96FFC" w:rsidRPr="00A96FFC" w:rsidRDefault="00A96FFC">
      <w:pPr>
        <w:rPr>
          <w:bCs/>
        </w:rPr>
      </w:pPr>
    </w:p>
    <w:p w14:paraId="49BDDA2C" w14:textId="77777777" w:rsidR="00A96FFC" w:rsidRDefault="00A96FFC">
      <w:pPr>
        <w:rPr>
          <w:bCs/>
        </w:rPr>
      </w:pPr>
    </w:p>
    <w:p w14:paraId="1367A1A7" w14:textId="77777777" w:rsidR="00DC1668" w:rsidRDefault="00DC1668">
      <w:pPr>
        <w:rPr>
          <w:bCs/>
        </w:rPr>
      </w:pPr>
    </w:p>
    <w:p w14:paraId="09B14B14" w14:textId="77777777" w:rsidR="00DC1668" w:rsidRDefault="00DC1668">
      <w:pPr>
        <w:rPr>
          <w:bCs/>
        </w:rPr>
      </w:pPr>
    </w:p>
    <w:p w14:paraId="7199F5B6" w14:textId="77777777" w:rsidR="00DC1668" w:rsidRPr="00A96FFC" w:rsidRDefault="00DC1668">
      <w:pPr>
        <w:rPr>
          <w:bCs/>
        </w:rPr>
        <w:sectPr w:rsidR="00DC1668" w:rsidRPr="00A96FFC" w:rsidSect="00561E3D">
          <w:pgSz w:w="12240" w:h="15840" w:code="1"/>
          <w:pgMar w:top="720" w:right="1080" w:bottom="720" w:left="1440" w:header="720" w:footer="389" w:gutter="0"/>
          <w:pgNumType w:start="2"/>
          <w:cols w:space="720"/>
          <w:docGrid w:linePitch="360"/>
        </w:sectPr>
      </w:pPr>
    </w:p>
    <w:p w14:paraId="3A7430D7" w14:textId="77777777" w:rsidR="00D52AE5" w:rsidRPr="00D52AE5" w:rsidRDefault="00D52AE5" w:rsidP="00D52AE5">
      <w:pPr>
        <w:pStyle w:val="Heading1"/>
        <w:numPr>
          <w:ilvl w:val="0"/>
          <w:numId w:val="0"/>
        </w:numPr>
        <w:ind w:left="360"/>
        <w:jc w:val="both"/>
        <w:rPr>
          <w:b w:val="0"/>
          <w:sz w:val="24"/>
          <w:szCs w:val="24"/>
        </w:rPr>
      </w:pPr>
    </w:p>
    <w:p w14:paraId="16828D56" w14:textId="77777777" w:rsidR="00CE5B8A" w:rsidRPr="00774629" w:rsidRDefault="007D5A75" w:rsidP="007D5A75">
      <w:pPr>
        <w:pStyle w:val="Heading1"/>
      </w:pPr>
      <w:bookmarkStart w:id="1" w:name="_Toc71186239"/>
      <w:r>
        <w:t>INTRODUCTION</w:t>
      </w:r>
      <w:bookmarkEnd w:id="1"/>
    </w:p>
    <w:p w14:paraId="2974DEEE" w14:textId="77777777" w:rsidR="00D435EC" w:rsidRPr="007D5A75" w:rsidRDefault="00D435EC"/>
    <w:p w14:paraId="03991D44" w14:textId="77777777" w:rsidR="0082309B" w:rsidRPr="007E0CA4" w:rsidRDefault="00A13702" w:rsidP="00A13702">
      <w:r w:rsidRPr="007E0CA4">
        <w:t xml:space="preserve">Fermilab’s </w:t>
      </w:r>
      <w:r>
        <w:t>Sustainable Acquisition</w:t>
      </w:r>
      <w:r w:rsidR="00862A32">
        <w:t xml:space="preserve"> (SA)</w:t>
      </w:r>
      <w:r w:rsidRPr="007E0CA4">
        <w:t xml:space="preserve"> program has been developed to su</w:t>
      </w:r>
      <w:r>
        <w:t>pport the Department of Energy</w:t>
      </w:r>
      <w:r w:rsidRPr="007E0CA4">
        <w:t xml:space="preserve"> and Fermilab’s commitment to Executive Order </w:t>
      </w:r>
      <w:r w:rsidR="00862A32" w:rsidRPr="007E0CA4">
        <w:t>13</w:t>
      </w:r>
      <w:r w:rsidR="00862A32">
        <w:t>693</w:t>
      </w:r>
      <w:r w:rsidR="00862A32" w:rsidRPr="007E0CA4">
        <w:t xml:space="preserve"> </w:t>
      </w:r>
      <w:r w:rsidRPr="007E0CA4">
        <w:t>-</w:t>
      </w:r>
      <w:r w:rsidR="00862A32">
        <w:t xml:space="preserve"> Planning for Federal Sustainability in the Next Decade</w:t>
      </w:r>
      <w:r w:rsidRPr="007E0CA4">
        <w:t xml:space="preserve">.  </w:t>
      </w:r>
      <w:r w:rsidR="00862A32">
        <w:t xml:space="preserve">The purpose of the order is to maintain Federal leadership in sustainability and reduce greenhouse gas emissions.  </w:t>
      </w:r>
    </w:p>
    <w:p w14:paraId="24047426" w14:textId="77777777" w:rsidR="0082309B" w:rsidRPr="007E0CA4" w:rsidRDefault="0082309B" w:rsidP="00A13702"/>
    <w:p w14:paraId="59E8A35B" w14:textId="77777777" w:rsidR="00A13702" w:rsidRPr="007E0CA4" w:rsidRDefault="00A13702" w:rsidP="00A13702">
      <w:r w:rsidRPr="007E0CA4">
        <w:t xml:space="preserve">This chapter </w:t>
      </w:r>
      <w:r>
        <w:t>provides information and resources for employees to</w:t>
      </w:r>
      <w:r w:rsidRPr="007E0CA4">
        <w:t xml:space="preserve"> specify </w:t>
      </w:r>
      <w:r>
        <w:t xml:space="preserve">SA </w:t>
      </w:r>
      <w:r w:rsidRPr="007E0CA4">
        <w:t xml:space="preserve">products and services </w:t>
      </w:r>
      <w:r w:rsidR="00774C8F">
        <w:t xml:space="preserve">in their purchases as well as </w:t>
      </w:r>
      <w:r w:rsidRPr="007E0CA4">
        <w:t xml:space="preserve">in contracts.  </w:t>
      </w:r>
    </w:p>
    <w:p w14:paraId="4CCFB3D2" w14:textId="77777777" w:rsidR="00C771FD" w:rsidRDefault="00C771FD" w:rsidP="00E00D72"/>
    <w:p w14:paraId="5732705B" w14:textId="77777777" w:rsidR="007D5A75" w:rsidRDefault="007D5A75" w:rsidP="007D5A75">
      <w:pPr>
        <w:pStyle w:val="Heading1"/>
        <w:rPr>
          <w:kern w:val="0"/>
        </w:rPr>
      </w:pPr>
      <w:bookmarkStart w:id="2" w:name="_Toc71186240"/>
      <w:r>
        <w:rPr>
          <w:kern w:val="0"/>
        </w:rPr>
        <w:t>DEFINITIONS</w:t>
      </w:r>
      <w:bookmarkEnd w:id="2"/>
    </w:p>
    <w:p w14:paraId="450D3092" w14:textId="77777777" w:rsidR="007D5A75" w:rsidRPr="007D5A75" w:rsidRDefault="007D5A75" w:rsidP="00E00D72"/>
    <w:p w14:paraId="260D1EE4" w14:textId="77777777" w:rsidR="00A13702" w:rsidRPr="007E0CA4" w:rsidRDefault="00A13702" w:rsidP="00BA19D4">
      <w:pPr>
        <w:jc w:val="left"/>
      </w:pPr>
      <w:r w:rsidRPr="007E0CA4">
        <w:rPr>
          <w:u w:val="single"/>
        </w:rPr>
        <w:t>Alternative Fuels</w:t>
      </w:r>
      <w:r w:rsidRPr="007E0CA4">
        <w:t xml:space="preserve"> -  </w:t>
      </w:r>
      <w:r>
        <w:t>D</w:t>
      </w:r>
      <w:r w:rsidRPr="007E0CA4">
        <w:rPr>
          <w:color w:val="000000"/>
        </w:rPr>
        <w:t>enatured ethanol, and other alcohols; mixtures conta</w:t>
      </w:r>
      <w:r>
        <w:rPr>
          <w:color w:val="000000"/>
        </w:rPr>
        <w:t xml:space="preserve">ining 85% or more by volume of </w:t>
      </w:r>
      <w:r w:rsidRPr="007E0CA4">
        <w:rPr>
          <w:color w:val="000000"/>
        </w:rPr>
        <w:t>denatured ethanol, and other alcohols with gasoline or other fuels; natural gas; liquefied petroleum gas; hydrogen; coal-derived liquid fuels; non-alcohol fuels (such as biodiesel) derived from biological material; ‘P-Series’ fuels; and electricity</w:t>
      </w:r>
      <w:r w:rsidR="00BA19D4">
        <w:rPr>
          <w:color w:val="000000"/>
        </w:rPr>
        <w:t>:</w:t>
      </w:r>
      <w:r w:rsidR="00055912">
        <w:rPr>
          <w:color w:val="000000"/>
        </w:rPr>
        <w:t xml:space="preserve"> </w:t>
      </w:r>
      <w:r w:rsidRPr="007E0CA4">
        <w:rPr>
          <w:color w:val="000000"/>
        </w:rPr>
        <w:t>(</w:t>
      </w:r>
      <w:hyperlink r:id="rId14" w:history="1">
        <w:r w:rsidRPr="007E0CA4">
          <w:rPr>
            <w:rStyle w:val="Hyperlink"/>
          </w:rPr>
          <w:t>http://www.afdc.energy.gov/afdc/glossary.html</w:t>
        </w:r>
      </w:hyperlink>
      <w:r w:rsidR="00055912">
        <w:rPr>
          <w:color w:val="000000"/>
        </w:rPr>
        <w:t>).</w:t>
      </w:r>
    </w:p>
    <w:p w14:paraId="6066E01A" w14:textId="77777777" w:rsidR="00302F65" w:rsidRDefault="00302F65" w:rsidP="00BA19D4">
      <w:pPr>
        <w:jc w:val="left"/>
        <w:rPr>
          <w:u w:val="single"/>
        </w:rPr>
      </w:pPr>
    </w:p>
    <w:p w14:paraId="65B02607" w14:textId="77777777" w:rsidR="00A13702" w:rsidRPr="007E0CA4" w:rsidRDefault="00A13702" w:rsidP="00BA19D4">
      <w:pPr>
        <w:jc w:val="left"/>
      </w:pPr>
      <w:r w:rsidRPr="007E0CA4">
        <w:rPr>
          <w:u w:val="single"/>
        </w:rPr>
        <w:t>Alternative Vehicles</w:t>
      </w:r>
      <w:r w:rsidRPr="007E0CA4">
        <w:t xml:space="preserve"> - </w:t>
      </w:r>
      <w:r w:rsidRPr="007E0CA4">
        <w:rPr>
          <w:color w:val="000000"/>
        </w:rPr>
        <w:t>As defined by the Energy Policy Act, any dedicated, flexible-fuel, or dual-fuel vehicle designed to operate o</w:t>
      </w:r>
      <w:r w:rsidR="00BA19D4">
        <w:rPr>
          <w:color w:val="000000"/>
        </w:rPr>
        <w:t xml:space="preserve">n at least one alternative fuel: </w:t>
      </w:r>
      <w:r w:rsidRPr="007E0CA4">
        <w:rPr>
          <w:color w:val="000000"/>
        </w:rPr>
        <w:t>(</w:t>
      </w:r>
      <w:hyperlink r:id="rId15" w:history="1">
        <w:r w:rsidRPr="007E0CA4">
          <w:rPr>
            <w:rStyle w:val="Hyperlink"/>
          </w:rPr>
          <w:t>http://www.afdc.energy.gov/afdc/glossary.html</w:t>
        </w:r>
      </w:hyperlink>
      <w:r w:rsidRPr="007E0CA4">
        <w:rPr>
          <w:color w:val="000000"/>
        </w:rPr>
        <w:t>).</w:t>
      </w:r>
    </w:p>
    <w:p w14:paraId="31AFB98E" w14:textId="77777777" w:rsidR="00A13702" w:rsidRPr="007E0CA4" w:rsidRDefault="00A13702" w:rsidP="00915676">
      <w:pPr>
        <w:pStyle w:val="ListParagraph"/>
        <w:numPr>
          <w:ilvl w:val="0"/>
          <w:numId w:val="10"/>
        </w:numPr>
        <w:spacing w:after="200" w:line="276" w:lineRule="auto"/>
        <w:jc w:val="left"/>
      </w:pPr>
      <w:r w:rsidRPr="007E0CA4">
        <w:rPr>
          <w:u w:val="single"/>
        </w:rPr>
        <w:t>Flexible-fuel vehicle</w:t>
      </w:r>
      <w:r w:rsidRPr="007E0CA4">
        <w:t xml:space="preserve"> – </w:t>
      </w:r>
      <w:r w:rsidRPr="007E0CA4">
        <w:rPr>
          <w:color w:val="000000"/>
        </w:rPr>
        <w:t>A vehicle with a common fuel tank designed to run on varying blends of unleaded gasoline with either ethanol or methanol.</w:t>
      </w:r>
    </w:p>
    <w:p w14:paraId="3D6E3C5A" w14:textId="77777777" w:rsidR="00A13702" w:rsidRPr="007E0CA4" w:rsidRDefault="00A13702" w:rsidP="00915676">
      <w:pPr>
        <w:pStyle w:val="ListParagraph"/>
        <w:numPr>
          <w:ilvl w:val="0"/>
          <w:numId w:val="10"/>
        </w:numPr>
        <w:spacing w:after="200" w:line="276" w:lineRule="auto"/>
        <w:jc w:val="left"/>
      </w:pPr>
      <w:r w:rsidRPr="007E0CA4">
        <w:rPr>
          <w:u w:val="single"/>
        </w:rPr>
        <w:t>Dual-fuel vehicle</w:t>
      </w:r>
      <w:r w:rsidRPr="007E0CA4">
        <w:t xml:space="preserve"> - </w:t>
      </w:r>
      <w:r w:rsidRPr="007E0CA4">
        <w:rPr>
          <w:color w:val="000000"/>
        </w:rPr>
        <w:t>Vehicle designed to operate on a combination of an alternative fuel and a conventional fuel. This includes vehicles using a mixture of gasoline or diesel and an alternative fuel in one fuel tank, commonly called flexible-fueled vehicles; and vehicles capable of operating either on an alternative fuel (usually compressed natural gas or propane), a conventional fuel, or both, simultaneously using two fuel systems. These are commonly called bi-fuel vehicles.</w:t>
      </w:r>
    </w:p>
    <w:p w14:paraId="490E1246" w14:textId="77777777" w:rsidR="00A13702" w:rsidRDefault="00A13702" w:rsidP="00A13702">
      <w:r w:rsidRPr="007E0CA4">
        <w:rPr>
          <w:u w:val="single"/>
        </w:rPr>
        <w:t>Biobased</w:t>
      </w:r>
      <w:r w:rsidRPr="007E0CA4">
        <w:t xml:space="preserve"> - A product determined by the Secretary of Agriculture to be a commercial or industrial product (other than food or feed) that is composed, in whole or in significant part, of biological products or renewable domestic agricultural materials (including plant, animal, and marine ma</w:t>
      </w:r>
      <w:r w:rsidR="00055912">
        <w:t>terials) or forestry materials</w:t>
      </w:r>
      <w:r w:rsidRPr="007E0CA4">
        <w:t xml:space="preserve">.  </w:t>
      </w:r>
    </w:p>
    <w:p w14:paraId="3BDFEF81" w14:textId="77777777" w:rsidR="00302F65" w:rsidRDefault="00302F65" w:rsidP="00A13702">
      <w:pPr>
        <w:rPr>
          <w:u w:val="single"/>
        </w:rPr>
      </w:pPr>
    </w:p>
    <w:p w14:paraId="18F40D2B" w14:textId="77777777" w:rsidR="00D0655A" w:rsidRDefault="00A13702" w:rsidP="0082309B">
      <w:pPr>
        <w:rPr>
          <w:color w:val="000000"/>
        </w:rPr>
      </w:pPr>
      <w:r w:rsidRPr="007E0CA4">
        <w:rPr>
          <w:u w:val="single"/>
        </w:rPr>
        <w:t xml:space="preserve">Energy </w:t>
      </w:r>
      <w:r w:rsidRPr="00774C8F">
        <w:rPr>
          <w:u w:val="single"/>
        </w:rPr>
        <w:t>Efficient</w:t>
      </w:r>
      <w:r w:rsidRPr="00EB724B">
        <w:rPr>
          <w:u w:val="single"/>
        </w:rPr>
        <w:t xml:space="preserve"> </w:t>
      </w:r>
      <w:r w:rsidR="00774C8F" w:rsidRPr="00EB724B">
        <w:rPr>
          <w:u w:val="single"/>
        </w:rPr>
        <w:t>–</w:t>
      </w:r>
      <w:r w:rsidRPr="00EB724B">
        <w:rPr>
          <w:u w:val="single"/>
        </w:rPr>
        <w:t xml:space="preserve"> </w:t>
      </w:r>
      <w:r w:rsidRPr="00EB724B">
        <w:rPr>
          <w:bCs/>
          <w:color w:val="000000"/>
          <w:u w:val="single"/>
        </w:rPr>
        <w:t>Electricity</w:t>
      </w:r>
      <w:r w:rsidR="00774C8F">
        <w:rPr>
          <w:bCs/>
          <w:color w:val="000000"/>
        </w:rPr>
        <w:t xml:space="preserve"> -</w:t>
      </w:r>
      <w:r w:rsidRPr="007E0CA4">
        <w:rPr>
          <w:color w:val="000000"/>
        </w:rPr>
        <w:t xml:space="preserve"> Refers to equipment or programs that are aimed at reducing the energy used by specific end-use devices and systems, typically without affecting the services provided. Examples include high-efficiency appliances, efficient lighting programs, high-efficiency heating, ventilating and air conditioning (HVAC) systems or control modifications, effi</w:t>
      </w:r>
      <w:r w:rsidR="0082309B">
        <w:rPr>
          <w:color w:val="000000"/>
        </w:rPr>
        <w:t xml:space="preserve">cient building design, advanced </w:t>
      </w:r>
      <w:r w:rsidRPr="007E0CA4">
        <w:rPr>
          <w:color w:val="000000"/>
        </w:rPr>
        <w:t>electric motor dri</w:t>
      </w:r>
      <w:r w:rsidR="0082309B">
        <w:rPr>
          <w:color w:val="000000"/>
        </w:rPr>
        <w:t xml:space="preserve">ves, and heat recovery systems.  </w:t>
      </w:r>
    </w:p>
    <w:p w14:paraId="65A9F446" w14:textId="77777777" w:rsidR="00A13702" w:rsidRPr="007E0CA4" w:rsidRDefault="00A13702" w:rsidP="0082309B">
      <w:pPr>
        <w:rPr>
          <w:color w:val="000000"/>
        </w:rPr>
      </w:pPr>
      <w:r w:rsidRPr="007E0CA4">
        <w:rPr>
          <w:color w:val="000000"/>
        </w:rPr>
        <w:t>(</w:t>
      </w:r>
      <w:hyperlink r:id="rId16" w:history="1">
        <w:r w:rsidRPr="007E0CA4">
          <w:rPr>
            <w:rStyle w:val="Hyperlink"/>
          </w:rPr>
          <w:t>http://www.eia.doe.gov/glossary/glossary_e.htm</w:t>
        </w:r>
      </w:hyperlink>
      <w:r w:rsidRPr="007E0CA4">
        <w:rPr>
          <w:color w:val="000000"/>
        </w:rPr>
        <w:t>)</w:t>
      </w:r>
    </w:p>
    <w:p w14:paraId="440D1079" w14:textId="77777777" w:rsidR="00302F65" w:rsidRDefault="00302F65" w:rsidP="00A13702">
      <w:pPr>
        <w:rPr>
          <w:u w:val="single"/>
        </w:rPr>
      </w:pPr>
    </w:p>
    <w:p w14:paraId="443DD324" w14:textId="77777777" w:rsidR="00A13702" w:rsidRPr="007E0CA4" w:rsidRDefault="00523F8D" w:rsidP="00A13702">
      <w:r w:rsidRPr="00523F8D">
        <w:rPr>
          <w:u w:val="single"/>
        </w:rPr>
        <w:lastRenderedPageBreak/>
        <w:t>Electronic Product Environmental Assessment Tool (</w:t>
      </w:r>
      <w:hyperlink r:id="rId17" w:history="1">
        <w:r w:rsidRPr="00523F8D">
          <w:rPr>
            <w:rStyle w:val="Hyperlink"/>
          </w:rPr>
          <w:t>EPEAT</w:t>
        </w:r>
      </w:hyperlink>
      <w:r w:rsidRPr="00523F8D">
        <w:rPr>
          <w:u w:val="single"/>
        </w:rPr>
        <w:t>)</w:t>
      </w:r>
      <w:r w:rsidRPr="007E0CA4">
        <w:t xml:space="preserve"> </w:t>
      </w:r>
      <w:r w:rsidR="00A13702" w:rsidRPr="007E0CA4">
        <w:t>- a tool designed to help purchasers in the public and private sectors evaluate, compare and select electronic products (currently desktop and notebook/laptop computers and monitors) based on their environmental attribut</w:t>
      </w:r>
      <w:r>
        <w:t>es.</w:t>
      </w:r>
    </w:p>
    <w:p w14:paraId="12D9D61C" w14:textId="77777777" w:rsidR="00302F65" w:rsidRDefault="00302F65" w:rsidP="00A13702">
      <w:pPr>
        <w:rPr>
          <w:u w:val="single"/>
        </w:rPr>
      </w:pPr>
    </w:p>
    <w:p w14:paraId="49F7B555" w14:textId="77777777" w:rsidR="00A13702" w:rsidRPr="007E0CA4" w:rsidRDefault="00D965E2" w:rsidP="00A13702">
      <w:r>
        <w:rPr>
          <w:u w:val="single"/>
        </w:rPr>
        <w:t>L</w:t>
      </w:r>
      <w:r w:rsidR="00A13702" w:rsidRPr="007E0CA4">
        <w:rPr>
          <w:u w:val="single"/>
        </w:rPr>
        <w:t>evel certification</w:t>
      </w:r>
      <w:r w:rsidR="00A13702" w:rsidRPr="007E0CA4">
        <w:t xml:space="preserve"> - Business and Industrial Furniture Manufacturer’s Association’s (BIFMA’s) multi-attribute sustainability standard, and third-party certification program for the furniture industry (</w:t>
      </w:r>
      <w:hyperlink r:id="rId18" w:history="1">
        <w:r w:rsidR="00A13702" w:rsidRPr="007E0CA4">
          <w:rPr>
            <w:rStyle w:val="Hyperlink"/>
          </w:rPr>
          <w:t>http://levelcertified.org/</w:t>
        </w:r>
      </w:hyperlink>
      <w:r w:rsidR="00A13702" w:rsidRPr="007E0CA4">
        <w:t>).</w:t>
      </w:r>
    </w:p>
    <w:p w14:paraId="3EF44A75" w14:textId="77777777" w:rsidR="00A13702" w:rsidRPr="007E0CA4" w:rsidRDefault="00A13702" w:rsidP="00EC0A59">
      <w:pPr>
        <w:pStyle w:val="ListParagraph"/>
        <w:numPr>
          <w:ilvl w:val="0"/>
          <w:numId w:val="11"/>
        </w:numPr>
        <w:spacing w:after="200"/>
        <w:jc w:val="left"/>
      </w:pPr>
      <w:r w:rsidRPr="007E0CA4">
        <w:t>Products can be awarded a level 1, level 2 or level 3 compliance mark based on the combined score achieved in th</w:t>
      </w:r>
      <w:r w:rsidR="00055912">
        <w:t xml:space="preserve">eir sustainability evaluation. </w:t>
      </w:r>
      <w:r w:rsidR="00D51ABA">
        <w:t xml:space="preserve"> </w:t>
      </w:r>
      <w:r w:rsidR="00055912">
        <w:t>L</w:t>
      </w:r>
      <w:r w:rsidRPr="007E0CA4">
        <w:t>evel 3 is the highest award a product can achieve.</w:t>
      </w:r>
    </w:p>
    <w:p w14:paraId="3CD93668" w14:textId="77777777" w:rsidR="00A13702" w:rsidRPr="007E0CA4" w:rsidRDefault="00A13702" w:rsidP="00A13702">
      <w:r w:rsidRPr="007E0CA4">
        <w:rPr>
          <w:u w:val="single"/>
        </w:rPr>
        <w:t>Non-Ozone Depleting Substances</w:t>
      </w:r>
      <w:r w:rsidRPr="007E0CA4">
        <w:t xml:space="preserve"> - </w:t>
      </w:r>
      <w:r w:rsidRPr="007E0CA4">
        <w:rPr>
          <w:bCs/>
          <w:color w:val="000000"/>
        </w:rPr>
        <w:t xml:space="preserve">a compound that does not contribute to stratospheric ozone depletion.  </w:t>
      </w:r>
    </w:p>
    <w:p w14:paraId="74090DB1" w14:textId="77777777" w:rsidR="00A13702" w:rsidRPr="007E0CA4" w:rsidRDefault="00A13702" w:rsidP="00915676">
      <w:pPr>
        <w:pStyle w:val="ListParagraph"/>
        <w:numPr>
          <w:ilvl w:val="0"/>
          <w:numId w:val="11"/>
        </w:numPr>
        <w:spacing w:after="200" w:line="276" w:lineRule="auto"/>
        <w:jc w:val="left"/>
      </w:pPr>
      <w:r w:rsidRPr="007E0CA4">
        <w:rPr>
          <w:u w:val="single"/>
        </w:rPr>
        <w:t>Ozone Depleting Substances (ODS)</w:t>
      </w:r>
      <w:r w:rsidRPr="007E0CA4">
        <w:t xml:space="preserve"> – a compound that contributes to stratospheric ozone depletion:</w:t>
      </w:r>
    </w:p>
    <w:p w14:paraId="1A5F3E4F" w14:textId="77777777" w:rsidR="00A13702" w:rsidRPr="007E0CA4" w:rsidRDefault="00A13702" w:rsidP="00EC0A59">
      <w:pPr>
        <w:pStyle w:val="ListParagraph"/>
        <w:numPr>
          <w:ilvl w:val="1"/>
          <w:numId w:val="11"/>
        </w:numPr>
        <w:spacing w:after="200"/>
        <w:jc w:val="left"/>
      </w:pPr>
      <w:r w:rsidRPr="007E0CA4">
        <w:rPr>
          <w:color w:val="000000"/>
        </w:rPr>
        <w:t xml:space="preserve">ODS include </w:t>
      </w:r>
      <w:r w:rsidR="00774C8F" w:rsidRPr="00EB724B">
        <w:t>chlorofluorocarbons (CFCs)</w:t>
      </w:r>
      <w:r w:rsidRPr="007E0CA4">
        <w:rPr>
          <w:color w:val="000000"/>
        </w:rPr>
        <w:t xml:space="preserve">, </w:t>
      </w:r>
      <w:r w:rsidR="00774C8F" w:rsidRPr="00EB724B">
        <w:t>hydrochlorofluorocarbons (HCFCs)</w:t>
      </w:r>
      <w:r w:rsidRPr="007E0CA4">
        <w:rPr>
          <w:color w:val="000000"/>
        </w:rPr>
        <w:t xml:space="preserve">, </w:t>
      </w:r>
      <w:r w:rsidR="00774C8F" w:rsidRPr="00EB724B">
        <w:t>halons</w:t>
      </w:r>
      <w:r w:rsidRPr="007E0CA4">
        <w:rPr>
          <w:color w:val="000000"/>
        </w:rPr>
        <w:t xml:space="preserve">, </w:t>
      </w:r>
      <w:r w:rsidR="00774C8F" w:rsidRPr="00EB724B">
        <w:t>methyl bromide</w:t>
      </w:r>
      <w:r w:rsidRPr="007E0CA4">
        <w:rPr>
          <w:color w:val="000000"/>
        </w:rPr>
        <w:t xml:space="preserve">, </w:t>
      </w:r>
      <w:r w:rsidR="00774C8F" w:rsidRPr="00EB724B">
        <w:t>carbon tetrachloride</w:t>
      </w:r>
      <w:r w:rsidRPr="007E0CA4">
        <w:rPr>
          <w:color w:val="000000"/>
        </w:rPr>
        <w:t xml:space="preserve">, </w:t>
      </w:r>
      <w:proofErr w:type="spellStart"/>
      <w:r w:rsidR="00774C8F" w:rsidRPr="00EB724B">
        <w:t>hydrobromofluorocarbons</w:t>
      </w:r>
      <w:proofErr w:type="spellEnd"/>
      <w:r w:rsidRPr="007E0CA4">
        <w:rPr>
          <w:color w:val="000000"/>
        </w:rPr>
        <w:t xml:space="preserve">, </w:t>
      </w:r>
      <w:proofErr w:type="spellStart"/>
      <w:r w:rsidRPr="007E0CA4">
        <w:rPr>
          <w:color w:val="000000"/>
        </w:rPr>
        <w:t>chlorobromomethane</w:t>
      </w:r>
      <w:proofErr w:type="spellEnd"/>
      <w:r w:rsidRPr="007E0CA4">
        <w:rPr>
          <w:color w:val="000000"/>
        </w:rPr>
        <w:t xml:space="preserve">, and </w:t>
      </w:r>
      <w:r w:rsidR="00774C8F" w:rsidRPr="00EB724B">
        <w:t>methyl chloroform</w:t>
      </w:r>
      <w:r w:rsidRPr="007E0CA4">
        <w:rPr>
          <w:color w:val="000000"/>
        </w:rPr>
        <w:t xml:space="preserve">. </w:t>
      </w:r>
      <w:r w:rsidR="00D51ABA">
        <w:rPr>
          <w:color w:val="000000"/>
        </w:rPr>
        <w:t xml:space="preserve"> </w:t>
      </w:r>
      <w:r w:rsidRPr="007E0CA4">
        <w:rPr>
          <w:color w:val="000000"/>
        </w:rPr>
        <w:t xml:space="preserve">ODS are generally very stable in the troposphere and only degrade under intense </w:t>
      </w:r>
      <w:r w:rsidRPr="004E707D">
        <w:t>ultraviolet light</w:t>
      </w:r>
      <w:r w:rsidRPr="007E0CA4">
        <w:rPr>
          <w:color w:val="000000"/>
        </w:rPr>
        <w:t xml:space="preserve"> in the stratosphere. </w:t>
      </w:r>
      <w:r w:rsidR="00D51ABA">
        <w:rPr>
          <w:color w:val="000000"/>
        </w:rPr>
        <w:t xml:space="preserve"> </w:t>
      </w:r>
      <w:r w:rsidRPr="007E0CA4">
        <w:rPr>
          <w:color w:val="000000"/>
        </w:rPr>
        <w:t xml:space="preserve">When they break down, they release chlorine or bromine atoms, which then deplete ozone. </w:t>
      </w:r>
      <w:r w:rsidR="00D51ABA">
        <w:rPr>
          <w:color w:val="000000"/>
        </w:rPr>
        <w:t xml:space="preserve"> </w:t>
      </w:r>
      <w:r w:rsidR="00774C8F" w:rsidRPr="00EB724B">
        <w:t>A detailed list</w:t>
      </w:r>
      <w:r w:rsidRPr="007E0CA4">
        <w:rPr>
          <w:color w:val="000000"/>
        </w:rPr>
        <w:t xml:space="preserve"> of </w:t>
      </w:r>
      <w:r w:rsidR="00290514">
        <w:t>C</w:t>
      </w:r>
      <w:r w:rsidRPr="00290514">
        <w:t>lass I</w:t>
      </w:r>
      <w:r w:rsidRPr="007E0CA4">
        <w:rPr>
          <w:color w:val="000000"/>
        </w:rPr>
        <w:t xml:space="preserve"> and </w:t>
      </w:r>
      <w:r w:rsidR="00290514" w:rsidRPr="00290514">
        <w:t>C</w:t>
      </w:r>
      <w:r w:rsidRPr="00290514">
        <w:t>lass II</w:t>
      </w:r>
      <w:r w:rsidRPr="007E0CA4">
        <w:rPr>
          <w:color w:val="000000"/>
        </w:rPr>
        <w:t xml:space="preserve"> substances with their Ozone Depleting Potential (</w:t>
      </w:r>
      <w:r w:rsidR="00774C8F" w:rsidRPr="00EB724B">
        <w:t>ODP</w:t>
      </w:r>
      <w:r w:rsidRPr="007E0CA4">
        <w:t>)</w:t>
      </w:r>
      <w:r w:rsidRPr="007E0CA4">
        <w:rPr>
          <w:color w:val="000000"/>
        </w:rPr>
        <w:t>, Global Warming Potential (</w:t>
      </w:r>
      <w:r w:rsidR="00774C8F" w:rsidRPr="00EB724B">
        <w:t>GWP</w:t>
      </w:r>
      <w:r w:rsidRPr="007E0CA4">
        <w:t>)</w:t>
      </w:r>
      <w:r w:rsidRPr="007E0CA4">
        <w:rPr>
          <w:color w:val="000000"/>
        </w:rPr>
        <w:t>, and CAS numbers are available</w:t>
      </w:r>
      <w:r w:rsidR="00774C8F">
        <w:rPr>
          <w:color w:val="000000"/>
        </w:rPr>
        <w:t xml:space="preserve"> at the </w:t>
      </w:r>
      <w:hyperlink r:id="rId19" w:history="1">
        <w:r w:rsidR="00774C8F" w:rsidRPr="00774C8F">
          <w:rPr>
            <w:rStyle w:val="Hyperlink"/>
          </w:rPr>
          <w:t>US EPA website</w:t>
        </w:r>
      </w:hyperlink>
      <w:r w:rsidRPr="007E0CA4">
        <w:rPr>
          <w:color w:val="000000"/>
        </w:rPr>
        <w:t>.</w:t>
      </w:r>
    </w:p>
    <w:p w14:paraId="52E60BAE" w14:textId="77777777" w:rsidR="00A13702" w:rsidRDefault="00A13702" w:rsidP="00290514">
      <w:pPr>
        <w:rPr>
          <w:color w:val="000000"/>
        </w:rPr>
      </w:pPr>
      <w:r w:rsidRPr="007E0CA4">
        <w:rPr>
          <w:u w:val="single"/>
        </w:rPr>
        <w:t>Recycled Content or Recovered Materials</w:t>
      </w:r>
      <w:r w:rsidRPr="007E0CA4">
        <w:t xml:space="preserve"> - </w:t>
      </w:r>
      <w:r w:rsidRPr="007E0CA4">
        <w:rPr>
          <w:color w:val="000000"/>
        </w:rPr>
        <w:t>Waste materials and byproducts that have been recovered or diverted from solid waste, but do not include materials and byproducts generated from, and commonly reused within, an original manufacturing process</w:t>
      </w:r>
      <w:r w:rsidR="00290514">
        <w:rPr>
          <w:color w:val="000000"/>
        </w:rPr>
        <w:t>.</w:t>
      </w:r>
    </w:p>
    <w:p w14:paraId="5E5AE7C7" w14:textId="77777777" w:rsidR="00302F65" w:rsidRDefault="00302F65" w:rsidP="00A13702">
      <w:pPr>
        <w:rPr>
          <w:color w:val="000000"/>
          <w:u w:val="single"/>
        </w:rPr>
      </w:pPr>
    </w:p>
    <w:p w14:paraId="607AA7C4" w14:textId="77777777" w:rsidR="00A13702" w:rsidRPr="007E0CA4" w:rsidRDefault="00A13702" w:rsidP="00A13702">
      <w:r w:rsidRPr="006161BB">
        <w:rPr>
          <w:color w:val="000000"/>
          <w:u w:val="single"/>
        </w:rPr>
        <w:t>Sustainable Acquisition</w:t>
      </w:r>
      <w:r>
        <w:rPr>
          <w:color w:val="000000"/>
        </w:rPr>
        <w:t xml:space="preserve"> or Environmentally Preferable Purchasing - </w:t>
      </w:r>
      <w:r w:rsidRPr="007E0CA4">
        <w:rPr>
          <w:color w:val="000000"/>
        </w:rPr>
        <w:t>products or services that have a lesser or reduced effect on human health and the environment when compared with competing products or services that serve the same purpose.  Within the DOE</w:t>
      </w:r>
      <w:r w:rsidR="00515CD8">
        <w:rPr>
          <w:color w:val="000000"/>
        </w:rPr>
        <w:t>,</w:t>
      </w:r>
      <w:r w:rsidRPr="007E0CA4">
        <w:rPr>
          <w:color w:val="000000"/>
        </w:rPr>
        <w:t xml:space="preserve"> that means </w:t>
      </w:r>
      <w:r w:rsidRPr="007E0CA4">
        <w:rPr>
          <w:color w:val="333333"/>
        </w:rPr>
        <w:t>biobased, energy and water efficient, recycled content, alternative fuels and vehicles, an</w:t>
      </w:r>
      <w:r w:rsidR="00290514">
        <w:rPr>
          <w:color w:val="333333"/>
        </w:rPr>
        <w:t>d non-ozone depleting products</w:t>
      </w:r>
      <w:r w:rsidRPr="007E0CA4">
        <w:rPr>
          <w:color w:val="333333"/>
        </w:rPr>
        <w:t>.</w:t>
      </w:r>
    </w:p>
    <w:p w14:paraId="5C82E850" w14:textId="77777777" w:rsidR="00302F65" w:rsidRDefault="00302F65" w:rsidP="00A13702">
      <w:pPr>
        <w:rPr>
          <w:u w:val="single"/>
        </w:rPr>
      </w:pPr>
    </w:p>
    <w:p w14:paraId="2517244C" w14:textId="77777777" w:rsidR="00302F65" w:rsidRPr="00515CD8" w:rsidRDefault="00A13702" w:rsidP="00A13702">
      <w:pPr>
        <w:rPr>
          <w:color w:val="222222"/>
        </w:rPr>
      </w:pPr>
      <w:r w:rsidRPr="007E0CA4">
        <w:rPr>
          <w:u w:val="single"/>
        </w:rPr>
        <w:t>Water Efficient</w:t>
      </w:r>
      <w:r w:rsidRPr="007E0CA4">
        <w:t xml:space="preserve"> - </w:t>
      </w:r>
      <w:r w:rsidRPr="007E0CA4">
        <w:rPr>
          <w:color w:val="222222"/>
        </w:rPr>
        <w:t>saving water resources through the employment of water-savi</w:t>
      </w:r>
      <w:r w:rsidR="00290514">
        <w:rPr>
          <w:color w:val="222222"/>
        </w:rPr>
        <w:t>ng technologies and activities</w:t>
      </w:r>
      <w:r w:rsidRPr="007E0CA4">
        <w:rPr>
          <w:color w:val="222222"/>
        </w:rPr>
        <w:t>.</w:t>
      </w:r>
    </w:p>
    <w:p w14:paraId="03D84C48" w14:textId="77777777" w:rsidR="006A7918" w:rsidRDefault="006A7918" w:rsidP="00E00D72"/>
    <w:p w14:paraId="1BF32360" w14:textId="77777777" w:rsidR="00EC0A59" w:rsidRDefault="00EC0A59" w:rsidP="00E00D72"/>
    <w:p w14:paraId="59A0DCB6" w14:textId="77777777" w:rsidR="00554664" w:rsidRDefault="00554664" w:rsidP="006A7918">
      <w:pPr>
        <w:pStyle w:val="Heading1"/>
        <w:keepNext w:val="0"/>
      </w:pPr>
      <w:bookmarkStart w:id="3" w:name="_Toc71186241"/>
      <w:r>
        <w:t>RESPONSIBL</w:t>
      </w:r>
      <w:r w:rsidR="007D5A75">
        <w:t>ILITIES</w:t>
      </w:r>
      <w:bookmarkEnd w:id="3"/>
    </w:p>
    <w:p w14:paraId="0B400CDC" w14:textId="77777777" w:rsidR="00554664" w:rsidRPr="00263F3B" w:rsidRDefault="00554664" w:rsidP="00E00D72"/>
    <w:p w14:paraId="333A0620" w14:textId="77777777" w:rsidR="003E2A77" w:rsidRPr="00DE2BC0" w:rsidRDefault="00774C8F" w:rsidP="003E2A77">
      <w:pPr>
        <w:pStyle w:val="Heading2"/>
        <w:keepNext w:val="0"/>
        <w:rPr>
          <w:b w:val="0"/>
        </w:rPr>
      </w:pPr>
      <w:bookmarkStart w:id="4" w:name="_Toc71186242"/>
      <w:r>
        <w:t xml:space="preserve">Finance Section, </w:t>
      </w:r>
      <w:r w:rsidR="00915676">
        <w:t>Procurement</w:t>
      </w:r>
      <w:bookmarkEnd w:id="4"/>
    </w:p>
    <w:p w14:paraId="5409C7ED" w14:textId="77777777" w:rsidR="00915676" w:rsidRDefault="00915676" w:rsidP="00915676">
      <w:r>
        <w:t>Procurement</w:t>
      </w:r>
      <w:r w:rsidRPr="007E0CA4">
        <w:t xml:space="preserve"> </w:t>
      </w:r>
      <w:r>
        <w:t>will c</w:t>
      </w:r>
      <w:r w:rsidRPr="007E0CA4">
        <w:t xml:space="preserve">ontinue and forge new relationships with vendors that can provide </w:t>
      </w:r>
      <w:r>
        <w:t>SA</w:t>
      </w:r>
      <w:r w:rsidRPr="007E0CA4">
        <w:t xml:space="preserve"> products/services to Fermilab</w:t>
      </w:r>
      <w:r>
        <w:t xml:space="preserve">, and include SA clauses in contracts as detailed in the </w:t>
      </w:r>
      <w:hyperlink r:id="rId20" w:history="1">
        <w:r w:rsidRPr="00E43ABC">
          <w:rPr>
            <w:rStyle w:val="Hyperlink"/>
          </w:rPr>
          <w:t>Fermilab Procurement Policies and Procedures Manual</w:t>
        </w:r>
      </w:hyperlink>
      <w:r>
        <w:t xml:space="preserve"> and required by the Fermilab Prime Contract.</w:t>
      </w:r>
      <w:r w:rsidRPr="007E0CA4">
        <w:t xml:space="preserve">  </w:t>
      </w:r>
      <w:r w:rsidR="002D1F85">
        <w:t>They</w:t>
      </w:r>
      <w:r>
        <w:t xml:space="preserve"> will also report to the </w:t>
      </w:r>
      <w:r w:rsidR="00515CD8">
        <w:t>Chief Safety Officer on SA contract a</w:t>
      </w:r>
      <w:r>
        <w:t>ctions as requested.</w:t>
      </w:r>
    </w:p>
    <w:p w14:paraId="1647A1D2" w14:textId="77777777" w:rsidR="00E7004C" w:rsidRPr="00E7004C" w:rsidRDefault="00E7004C" w:rsidP="00E00D72">
      <w:pPr>
        <w:rPr>
          <w:b/>
          <w:highlight w:val="yellow"/>
        </w:rPr>
      </w:pPr>
    </w:p>
    <w:p w14:paraId="5517BD25" w14:textId="77777777" w:rsidR="006E7F4F" w:rsidRDefault="00915676" w:rsidP="003E2A77">
      <w:pPr>
        <w:pStyle w:val="Heading2"/>
        <w:keepNext w:val="0"/>
        <w:jc w:val="both"/>
        <w:rPr>
          <w:b w:val="0"/>
        </w:rPr>
      </w:pPr>
      <w:bookmarkStart w:id="5" w:name="_Toc71186243"/>
      <w:r>
        <w:t>Construction Coordinator/Task Manager/Service Coordinator</w:t>
      </w:r>
      <w:bookmarkEnd w:id="5"/>
    </w:p>
    <w:p w14:paraId="0AC015B4" w14:textId="77777777" w:rsidR="00915676" w:rsidRPr="007E0CA4" w:rsidRDefault="00915676" w:rsidP="00915676">
      <w:pPr>
        <w:rPr>
          <w:b/>
        </w:rPr>
      </w:pPr>
      <w:r w:rsidRPr="00915676">
        <w:lastRenderedPageBreak/>
        <w:t>Construction Coordinator/Task Manager/Service Coordinator</w:t>
      </w:r>
      <w:r>
        <w:rPr>
          <w:b/>
        </w:rPr>
        <w:t xml:space="preserve"> </w:t>
      </w:r>
      <w:r w:rsidRPr="00915676">
        <w:t>o</w:t>
      </w:r>
      <w:r w:rsidRPr="007E0CA4">
        <w:t xml:space="preserve">versees or directs the work of a subcontract for conformance with the subcontract documents.  In this case, ensure that specified </w:t>
      </w:r>
      <w:r>
        <w:t>SA</w:t>
      </w:r>
      <w:r w:rsidRPr="007E0CA4">
        <w:t xml:space="preserve"> items are used to carry out the subcontract.</w:t>
      </w:r>
    </w:p>
    <w:p w14:paraId="060D4507" w14:textId="77777777" w:rsidR="00E7004C" w:rsidRDefault="00E7004C" w:rsidP="00E00D72"/>
    <w:p w14:paraId="461DDE95" w14:textId="77777777" w:rsidR="00915676" w:rsidRPr="00915676" w:rsidRDefault="00F50369" w:rsidP="00915676">
      <w:pPr>
        <w:pStyle w:val="Heading2"/>
        <w:keepNext w:val="0"/>
        <w:jc w:val="both"/>
      </w:pPr>
      <w:bookmarkStart w:id="6" w:name="_Toc71186244"/>
      <w:r>
        <w:t>Division/</w:t>
      </w:r>
      <w:r w:rsidR="00515CD8">
        <w:t xml:space="preserve">Section </w:t>
      </w:r>
      <w:r w:rsidR="008532CC">
        <w:t>Heads</w:t>
      </w:r>
      <w:r w:rsidR="00D51ABA">
        <w:t xml:space="preserve"> and Project Managers (</w:t>
      </w:r>
      <w:r>
        <w:t>D/</w:t>
      </w:r>
      <w:r w:rsidR="00D965E2">
        <w:t>S/</w:t>
      </w:r>
      <w:r w:rsidR="00D51ABA">
        <w:t>P)</w:t>
      </w:r>
      <w:bookmarkEnd w:id="6"/>
    </w:p>
    <w:p w14:paraId="02F0C716" w14:textId="77777777" w:rsidR="00915676" w:rsidRDefault="00F50369" w:rsidP="00915676">
      <w:r>
        <w:t>D/</w:t>
      </w:r>
      <w:r w:rsidR="00D51ABA">
        <w:t>S/P’s</w:t>
      </w:r>
      <w:r w:rsidR="00915676" w:rsidRPr="007E0CA4">
        <w:t xml:space="preserve"> </w:t>
      </w:r>
      <w:r w:rsidR="00915676">
        <w:t>w</w:t>
      </w:r>
      <w:r w:rsidR="00915676" w:rsidRPr="007E0CA4">
        <w:t xml:space="preserve">ill ensure the requirements of this chapter are fulfilled, including requiring &gt;95% of all new contracts </w:t>
      </w:r>
      <w:r w:rsidR="00302F65">
        <w:t>to include</w:t>
      </w:r>
      <w:r w:rsidR="00915676" w:rsidRPr="007E0CA4">
        <w:t xml:space="preserve"> energy efficient, water efficient, biobased, environmentally preferable, non-ozone depleting, contain recycled content, or are non- or less-toxic alternatives, where such </w:t>
      </w:r>
      <w:r w:rsidR="00515CD8">
        <w:t xml:space="preserve">products and services meet </w:t>
      </w:r>
      <w:r>
        <w:t>D/</w:t>
      </w:r>
      <w:r w:rsidR="00515CD8">
        <w:t>S</w:t>
      </w:r>
      <w:r w:rsidR="00D51ABA">
        <w:t>/P</w:t>
      </w:r>
      <w:r w:rsidR="00915676" w:rsidRPr="007E0CA4">
        <w:t xml:space="preserve"> performance requirements</w:t>
      </w:r>
      <w:r w:rsidR="00D51ABA">
        <w:t>.  They will</w:t>
      </w:r>
      <w:r w:rsidR="00915676">
        <w:t xml:space="preserve"> report SA information to </w:t>
      </w:r>
      <w:r w:rsidR="00515CD8">
        <w:t>the Chief Safety Officer</w:t>
      </w:r>
      <w:r w:rsidR="00915676">
        <w:t xml:space="preserve"> as requested</w:t>
      </w:r>
      <w:r w:rsidR="00915676" w:rsidRPr="007E0CA4">
        <w:t xml:space="preserve">. </w:t>
      </w:r>
      <w:r w:rsidR="00915676">
        <w:t xml:space="preserve"> </w:t>
      </w:r>
      <w:r w:rsidR="00915676" w:rsidRPr="007E0CA4">
        <w:t xml:space="preserve"> </w:t>
      </w:r>
    </w:p>
    <w:p w14:paraId="6A123902" w14:textId="77777777" w:rsidR="00915676" w:rsidRDefault="00915676" w:rsidP="00915676">
      <w:pPr>
        <w:rPr>
          <w:b/>
        </w:rPr>
      </w:pPr>
    </w:p>
    <w:p w14:paraId="5821ED66" w14:textId="77777777" w:rsidR="00915676" w:rsidRDefault="00515CD8" w:rsidP="00915676">
      <w:pPr>
        <w:pStyle w:val="Heading2"/>
      </w:pPr>
      <w:bookmarkStart w:id="7" w:name="_Toc71186245"/>
      <w:r>
        <w:t>Chief Safety Officer</w:t>
      </w:r>
      <w:bookmarkEnd w:id="7"/>
    </w:p>
    <w:p w14:paraId="289D5393" w14:textId="77777777" w:rsidR="00915676" w:rsidRPr="007E0CA4" w:rsidRDefault="00915676" w:rsidP="00915676">
      <w:pPr>
        <w:rPr>
          <w:b/>
        </w:rPr>
      </w:pPr>
      <w:r>
        <w:t xml:space="preserve">The </w:t>
      </w:r>
      <w:r w:rsidR="00515CD8">
        <w:t>Chief Safety Officer</w:t>
      </w:r>
      <w:r>
        <w:t xml:space="preserve"> </w:t>
      </w:r>
      <w:r w:rsidRPr="007E0CA4">
        <w:t xml:space="preserve">will </w:t>
      </w:r>
      <w:r>
        <w:t xml:space="preserve">develop and provide SA training, and </w:t>
      </w:r>
      <w:r w:rsidRPr="007E0CA4">
        <w:t xml:space="preserve">ensure that </w:t>
      </w:r>
      <w:r>
        <w:t>SA</w:t>
      </w:r>
      <w:r w:rsidRPr="007E0CA4">
        <w:t xml:space="preserve"> resources are avail</w:t>
      </w:r>
      <w:r w:rsidR="002D1F85">
        <w:t>able via ES</w:t>
      </w:r>
      <w:r w:rsidR="009B7893">
        <w:t>&amp;</w:t>
      </w:r>
      <w:r w:rsidR="002D1F85">
        <w:t>H</w:t>
      </w:r>
      <w:r w:rsidR="00515CD8">
        <w:t xml:space="preserve"> Section</w:t>
      </w:r>
      <w:r w:rsidRPr="007E0CA4">
        <w:t xml:space="preserve"> web pages.  </w:t>
      </w:r>
      <w:r>
        <w:t xml:space="preserve">Submit purchasing data </w:t>
      </w:r>
      <w:r w:rsidR="005F3D81">
        <w:t>to the DOE annually through the Consolidated Energy Data Report (CEDR)</w:t>
      </w:r>
      <w:r>
        <w:t>.</w:t>
      </w:r>
      <w:r w:rsidRPr="007E0CA4">
        <w:rPr>
          <w:b/>
        </w:rPr>
        <w:t xml:space="preserve"> </w:t>
      </w:r>
    </w:p>
    <w:p w14:paraId="369BE8FF" w14:textId="77777777" w:rsidR="00915676" w:rsidRDefault="00915676" w:rsidP="00915676">
      <w:pPr>
        <w:rPr>
          <w:b/>
        </w:rPr>
      </w:pPr>
    </w:p>
    <w:p w14:paraId="16465A21" w14:textId="77777777" w:rsidR="00915676" w:rsidRDefault="00915676" w:rsidP="00915676">
      <w:pPr>
        <w:pStyle w:val="Heading2"/>
      </w:pPr>
      <w:bookmarkStart w:id="8" w:name="_Toc71186246"/>
      <w:r w:rsidRPr="007E0CA4">
        <w:t>Employees</w:t>
      </w:r>
      <w:bookmarkEnd w:id="8"/>
    </w:p>
    <w:p w14:paraId="23FC4F26" w14:textId="77777777" w:rsidR="00915676" w:rsidRDefault="00915676" w:rsidP="00915676">
      <w:r>
        <w:t xml:space="preserve">Employees </w:t>
      </w:r>
      <w:r w:rsidRPr="007E0CA4">
        <w:t xml:space="preserve">will specify </w:t>
      </w:r>
      <w:r>
        <w:t>SA</w:t>
      </w:r>
      <w:r w:rsidRPr="007E0CA4">
        <w:t xml:space="preserve"> in service and product contracts</w:t>
      </w:r>
      <w:r w:rsidR="00515CD8">
        <w:t>,</w:t>
      </w:r>
      <w:r>
        <w:t xml:space="preserve"> complete the Sustainable Acquisition training as required</w:t>
      </w:r>
      <w:r w:rsidR="00515CD8">
        <w:t xml:space="preserve"> and</w:t>
      </w:r>
      <w:r>
        <w:t xml:space="preserve"> purchase SA</w:t>
      </w:r>
      <w:r w:rsidRPr="007E0CA4">
        <w:t xml:space="preserve"> products any time a</w:t>
      </w:r>
      <w:r>
        <w:t xml:space="preserve"> SA product is available unless one of the exceptions listed below applies.</w:t>
      </w:r>
      <w:r w:rsidRPr="007E0CA4">
        <w:t xml:space="preserve">  </w:t>
      </w:r>
    </w:p>
    <w:p w14:paraId="21753042" w14:textId="77777777" w:rsidR="00915676" w:rsidRDefault="00915676" w:rsidP="00915676">
      <w:pPr>
        <w:rPr>
          <w:b/>
        </w:rPr>
      </w:pPr>
    </w:p>
    <w:p w14:paraId="27C92A72" w14:textId="77777777" w:rsidR="00915676" w:rsidRDefault="00F50369" w:rsidP="00915676">
      <w:pPr>
        <w:pStyle w:val="Heading2"/>
      </w:pPr>
      <w:bookmarkStart w:id="9" w:name="_Toc71186247"/>
      <w:r>
        <w:t>Division</w:t>
      </w:r>
      <w:r w:rsidR="00515CD8">
        <w:t xml:space="preserve"> Safety</w:t>
      </w:r>
      <w:r w:rsidR="00915676" w:rsidRPr="007E0CA4">
        <w:t xml:space="preserve"> Officer</w:t>
      </w:r>
      <w:r w:rsidR="00515CD8">
        <w:t xml:space="preserve"> (</w:t>
      </w:r>
      <w:r>
        <w:t>D</w:t>
      </w:r>
      <w:r w:rsidR="00515CD8">
        <w:t>SO)</w:t>
      </w:r>
      <w:bookmarkEnd w:id="9"/>
      <w:r w:rsidR="00915676" w:rsidRPr="007E0CA4">
        <w:t xml:space="preserve"> </w:t>
      </w:r>
    </w:p>
    <w:p w14:paraId="6B6E226A" w14:textId="77777777" w:rsidR="00915676" w:rsidRDefault="00F50369" w:rsidP="00915676">
      <w:r>
        <w:t>D</w:t>
      </w:r>
      <w:r w:rsidR="00515CD8">
        <w:t>SO’</w:t>
      </w:r>
      <w:r w:rsidR="00915676">
        <w:t xml:space="preserve">s </w:t>
      </w:r>
      <w:r w:rsidR="00D51ABA">
        <w:t>will provide support to D/S/P’s</w:t>
      </w:r>
      <w:r w:rsidR="00915676" w:rsidRPr="007E0CA4">
        <w:t xml:space="preserve"> and employees in implementing t</w:t>
      </w:r>
      <w:r w:rsidR="00C04011">
        <w:t>he requirements of this chapter</w:t>
      </w:r>
      <w:r w:rsidR="00915676" w:rsidRPr="007E0CA4">
        <w:t xml:space="preserve"> and will </w:t>
      </w:r>
      <w:r w:rsidR="00915676">
        <w:t>ensure the preference o</w:t>
      </w:r>
      <w:r w:rsidR="00C04011">
        <w:t>f SA products via their r</w:t>
      </w:r>
      <w:r w:rsidR="00915676">
        <w:t xml:space="preserve">eview of Purchase Requisitions.  </w:t>
      </w:r>
    </w:p>
    <w:p w14:paraId="7B2B35E3" w14:textId="77777777" w:rsidR="00244E31" w:rsidRDefault="00244E31" w:rsidP="00E00D72"/>
    <w:p w14:paraId="43BF4F8F" w14:textId="77777777" w:rsidR="00E47427" w:rsidRDefault="00021BF3" w:rsidP="00E47427">
      <w:pPr>
        <w:pStyle w:val="Heading1"/>
      </w:pPr>
      <w:bookmarkStart w:id="10" w:name="_Toc71186248"/>
      <w:r>
        <w:t>PROGRAM DESCRIPTION</w:t>
      </w:r>
      <w:bookmarkEnd w:id="10"/>
    </w:p>
    <w:p w14:paraId="1D5BF1CD" w14:textId="77777777" w:rsidR="00E47427" w:rsidRDefault="00E47427" w:rsidP="00E00D72"/>
    <w:p w14:paraId="6B57F892" w14:textId="77777777" w:rsidR="00A13702" w:rsidRDefault="00A13702" w:rsidP="00A13702">
      <w:r w:rsidRPr="007E0CA4">
        <w:t xml:space="preserve">The </w:t>
      </w:r>
      <w:r>
        <w:t>SA</w:t>
      </w:r>
      <w:r w:rsidRPr="007E0CA4">
        <w:t xml:space="preserve"> program is one aspect of Fermilab’s Pollution Prevention</w:t>
      </w:r>
      <w:r w:rsidR="00C04011">
        <w:t xml:space="preserve"> and Waste Minimization program which</w:t>
      </w:r>
      <w:r w:rsidRPr="007E0CA4">
        <w:t xml:space="preserve"> help</w:t>
      </w:r>
      <w:r w:rsidR="00C04011">
        <w:t>s</w:t>
      </w:r>
      <w:r w:rsidR="00596198">
        <w:t xml:space="preserve"> Fermilab</w:t>
      </w:r>
      <w:r w:rsidRPr="007E0CA4">
        <w:t xml:space="preserve"> reduce its impact on the environment.</w:t>
      </w:r>
      <w:r w:rsidR="00596198">
        <w:t xml:space="preserve">  It</w:t>
      </w:r>
      <w:r w:rsidRPr="007E0CA4">
        <w:t xml:space="preserve"> </w:t>
      </w:r>
      <w:r w:rsidR="00596198">
        <w:t>helps employees</w:t>
      </w:r>
      <w:r w:rsidRPr="007E0CA4">
        <w:t xml:space="preserve"> purchase products and services that have the least adver</w:t>
      </w:r>
      <w:r w:rsidR="00C04011">
        <w:t xml:space="preserve">se impact to the environment.  </w:t>
      </w:r>
      <w:r>
        <w:t>SA</w:t>
      </w:r>
      <w:r w:rsidRPr="007E0CA4">
        <w:t xml:space="preserve"> </w:t>
      </w:r>
      <w:r w:rsidR="00C04011">
        <w:t>p</w:t>
      </w:r>
      <w:r w:rsidR="00C04011" w:rsidRPr="007E0CA4">
        <w:t xml:space="preserve">rimarily </w:t>
      </w:r>
      <w:r w:rsidRPr="007E0CA4">
        <w:t>focuses on products</w:t>
      </w:r>
      <w:r>
        <w:t xml:space="preserve"> or services</w:t>
      </w:r>
      <w:r w:rsidR="00596198">
        <w:t xml:space="preserve"> that are efficient in water or energy use</w:t>
      </w:r>
      <w:r w:rsidRPr="007E0CA4">
        <w:t xml:space="preserve">, contain sustainable components (either biobased products or </w:t>
      </w:r>
      <w:r w:rsidR="00C04011">
        <w:t>use alternative fuels</w:t>
      </w:r>
      <w:r w:rsidRPr="007E0CA4">
        <w:t>) or contain recycled content.</w:t>
      </w:r>
      <w:r>
        <w:t xml:space="preserve">  </w:t>
      </w:r>
      <w:r w:rsidRPr="009952B0">
        <w:t>Sustainable Acquisition should be considered for</w:t>
      </w:r>
      <w:r>
        <w:t xml:space="preserve"> every purchase Fermilab makes including purchase requisitions/orders, </w:t>
      </w:r>
      <w:proofErr w:type="spellStart"/>
      <w:r>
        <w:t>ProCard</w:t>
      </w:r>
      <w:proofErr w:type="spellEnd"/>
      <w:r>
        <w:t xml:space="preserve"> purchases, and subcontracts</w:t>
      </w:r>
      <w:r w:rsidR="00C04011">
        <w:t xml:space="preserve"> for goods and services.  Scope</w:t>
      </w:r>
      <w:r>
        <w:t xml:space="preserve"> of work for goods/services subcontracts should call out the SA produ</w:t>
      </w:r>
      <w:r w:rsidR="00596198">
        <w:t xml:space="preserve">cts to be used </w:t>
      </w:r>
      <w:proofErr w:type="gramStart"/>
      <w:r w:rsidR="00596198">
        <w:t>during the course</w:t>
      </w:r>
      <w:r>
        <w:t xml:space="preserve"> of</w:t>
      </w:r>
      <w:proofErr w:type="gramEnd"/>
      <w:r>
        <w:t xml:space="preserve"> the contract.</w:t>
      </w:r>
    </w:p>
    <w:p w14:paraId="28E7F499" w14:textId="77777777" w:rsidR="00C04011" w:rsidRDefault="00C04011" w:rsidP="00A13702"/>
    <w:p w14:paraId="659F5949" w14:textId="77777777" w:rsidR="00A13702" w:rsidRDefault="00C04011" w:rsidP="00A13702">
      <w:pPr>
        <w:pStyle w:val="PlainText"/>
        <w:rPr>
          <w:rFonts w:ascii="Times New Roman" w:eastAsia="+mn-ea" w:hAnsi="Times New Roman"/>
          <w:color w:val="464646"/>
          <w:kern w:val="24"/>
          <w:sz w:val="24"/>
          <w:szCs w:val="24"/>
        </w:rPr>
      </w:pPr>
      <w:r w:rsidRPr="0085789B">
        <w:rPr>
          <w:rFonts w:ascii="Times New Roman" w:hAnsi="Times New Roman"/>
          <w:sz w:val="24"/>
          <w:szCs w:val="24"/>
        </w:rPr>
        <w:t>S</w:t>
      </w:r>
      <w:r w:rsidR="00A13702" w:rsidRPr="0085789B">
        <w:rPr>
          <w:rFonts w:ascii="Times New Roman" w:hAnsi="Times New Roman"/>
          <w:sz w:val="24"/>
          <w:szCs w:val="24"/>
        </w:rPr>
        <w:t>ection</w:t>
      </w:r>
      <w:r w:rsidRPr="0085789B">
        <w:rPr>
          <w:rFonts w:ascii="Times New Roman" w:hAnsi="Times New Roman"/>
          <w:sz w:val="24"/>
          <w:szCs w:val="24"/>
        </w:rPr>
        <w:t xml:space="preserve"> 5,</w:t>
      </w:r>
      <w:r w:rsidR="00A13702" w:rsidRPr="0085789B">
        <w:rPr>
          <w:rFonts w:ascii="Times New Roman" w:hAnsi="Times New Roman"/>
          <w:sz w:val="24"/>
          <w:szCs w:val="24"/>
        </w:rPr>
        <w:t xml:space="preserve"> below</w:t>
      </w:r>
      <w:r w:rsidRPr="0085789B">
        <w:rPr>
          <w:rFonts w:ascii="Times New Roman" w:hAnsi="Times New Roman"/>
          <w:sz w:val="24"/>
          <w:szCs w:val="24"/>
        </w:rPr>
        <w:t>,</w:t>
      </w:r>
      <w:r w:rsidR="00A13702" w:rsidRPr="0085789B">
        <w:rPr>
          <w:rFonts w:ascii="Times New Roman" w:hAnsi="Times New Roman"/>
          <w:sz w:val="24"/>
          <w:szCs w:val="24"/>
        </w:rPr>
        <w:t xml:space="preserve"> provides web links to a variety of SA information.  The </w:t>
      </w:r>
      <w:r w:rsidR="0085789B" w:rsidRPr="00EB724B">
        <w:rPr>
          <w:rFonts w:ascii="Times New Roman" w:hAnsi="Times New Roman"/>
          <w:sz w:val="24"/>
          <w:szCs w:val="24"/>
        </w:rPr>
        <w:t xml:space="preserve">General Services Administration’s </w:t>
      </w:r>
      <w:hyperlink r:id="rId21" w:history="1">
        <w:r w:rsidR="0085789B" w:rsidRPr="00EB724B">
          <w:rPr>
            <w:rStyle w:val="Hyperlink"/>
            <w:rFonts w:ascii="Times New Roman" w:hAnsi="Times New Roman"/>
            <w:sz w:val="24"/>
            <w:szCs w:val="24"/>
          </w:rPr>
          <w:t>Sustainable Facilities Tool</w:t>
        </w:r>
      </w:hyperlink>
      <w:r w:rsidR="0085789B" w:rsidRPr="00EB724B">
        <w:rPr>
          <w:rFonts w:ascii="Times New Roman" w:hAnsi="Times New Roman"/>
          <w:sz w:val="24"/>
          <w:szCs w:val="24"/>
        </w:rPr>
        <w:t xml:space="preserve"> is </w:t>
      </w:r>
      <w:r w:rsidR="00A13702" w:rsidRPr="0085789B">
        <w:rPr>
          <w:rFonts w:ascii="Times New Roman" w:hAnsi="Times New Roman"/>
          <w:sz w:val="24"/>
          <w:szCs w:val="24"/>
        </w:rPr>
        <w:t xml:space="preserve">a useful </w:t>
      </w:r>
      <w:r w:rsidR="0085789B" w:rsidRPr="00EB724B">
        <w:rPr>
          <w:rFonts w:ascii="Times New Roman" w:hAnsi="Times New Roman"/>
          <w:sz w:val="24"/>
          <w:szCs w:val="24"/>
        </w:rPr>
        <w:t>website to explore</w:t>
      </w:r>
      <w:r w:rsidR="00A13702" w:rsidRPr="0085789B">
        <w:rPr>
          <w:rFonts w:ascii="Times New Roman" w:hAnsi="Times New Roman"/>
          <w:sz w:val="24"/>
          <w:szCs w:val="24"/>
        </w:rPr>
        <w:t>.  Before making a purchase, employees should research products with SA characteristics to determine if it meets the performance requirements.</w:t>
      </w:r>
      <w:r w:rsidR="00A13702">
        <w:rPr>
          <w:rFonts w:ascii="Times New Roman" w:hAnsi="Times New Roman"/>
          <w:sz w:val="24"/>
          <w:szCs w:val="24"/>
        </w:rPr>
        <w:t xml:space="preserve"> </w:t>
      </w:r>
    </w:p>
    <w:p w14:paraId="2D313F34" w14:textId="77777777" w:rsidR="00A13702" w:rsidRDefault="00A13702" w:rsidP="00A13702">
      <w:pPr>
        <w:pStyle w:val="PlainText"/>
        <w:rPr>
          <w:rFonts w:ascii="Times New Roman" w:eastAsia="+mn-ea" w:hAnsi="Times New Roman"/>
          <w:color w:val="464646"/>
          <w:kern w:val="24"/>
          <w:sz w:val="24"/>
          <w:szCs w:val="24"/>
        </w:rPr>
      </w:pPr>
    </w:p>
    <w:p w14:paraId="55528721" w14:textId="77777777" w:rsidR="00A13702" w:rsidRPr="007E0CA4" w:rsidRDefault="00C04011" w:rsidP="00D51ABA">
      <w:pPr>
        <w:pStyle w:val="Heading2"/>
      </w:pPr>
      <w:bookmarkStart w:id="11" w:name="_Toc71186249"/>
      <w:r>
        <w:rPr>
          <w:rFonts w:eastAsia="+mn-ea"/>
        </w:rPr>
        <w:t>E</w:t>
      </w:r>
      <w:r w:rsidR="00A13702">
        <w:rPr>
          <w:rFonts w:eastAsia="+mn-ea"/>
        </w:rPr>
        <w:t>xceptions to purchasing SA</w:t>
      </w:r>
      <w:r w:rsidR="00D51ABA">
        <w:rPr>
          <w:rFonts w:eastAsia="+mn-ea"/>
        </w:rPr>
        <w:t xml:space="preserve"> items</w:t>
      </w:r>
      <w:bookmarkEnd w:id="11"/>
    </w:p>
    <w:p w14:paraId="5A16E3A4" w14:textId="77777777" w:rsidR="00A13702" w:rsidRPr="005213A9" w:rsidRDefault="00A13702" w:rsidP="00C04011">
      <w:pPr>
        <w:pStyle w:val="PlainText"/>
        <w:numPr>
          <w:ilvl w:val="1"/>
          <w:numId w:val="16"/>
        </w:numPr>
        <w:ind w:left="720"/>
        <w:rPr>
          <w:rFonts w:ascii="Times New Roman" w:hAnsi="Times New Roman"/>
          <w:sz w:val="24"/>
          <w:szCs w:val="24"/>
        </w:rPr>
      </w:pPr>
      <w:r w:rsidRPr="005213A9">
        <w:rPr>
          <w:rFonts w:ascii="Times New Roman" w:hAnsi="Times New Roman"/>
          <w:sz w:val="24"/>
          <w:szCs w:val="24"/>
        </w:rPr>
        <w:t>The item will not meet r</w:t>
      </w:r>
      <w:r w:rsidR="00C04011">
        <w:rPr>
          <w:rFonts w:ascii="Times New Roman" w:hAnsi="Times New Roman"/>
          <w:sz w:val="24"/>
          <w:szCs w:val="24"/>
        </w:rPr>
        <w:t>easonable performance standards,</w:t>
      </w:r>
    </w:p>
    <w:p w14:paraId="3B27DE93" w14:textId="77777777" w:rsidR="00A13702" w:rsidRDefault="00A13702" w:rsidP="00C04011">
      <w:pPr>
        <w:pStyle w:val="PlainText"/>
        <w:numPr>
          <w:ilvl w:val="1"/>
          <w:numId w:val="16"/>
        </w:numPr>
        <w:ind w:left="720"/>
        <w:rPr>
          <w:rFonts w:ascii="Times New Roman" w:hAnsi="Times New Roman"/>
          <w:sz w:val="24"/>
          <w:szCs w:val="24"/>
        </w:rPr>
      </w:pPr>
      <w:r w:rsidRPr="007E0CA4">
        <w:rPr>
          <w:rFonts w:ascii="Times New Roman" w:hAnsi="Times New Roman"/>
          <w:sz w:val="24"/>
          <w:szCs w:val="24"/>
        </w:rPr>
        <w:t xml:space="preserve">The item is unavailable </w:t>
      </w:r>
      <w:r w:rsidR="00C04011">
        <w:rPr>
          <w:rFonts w:ascii="Times New Roman" w:hAnsi="Times New Roman"/>
          <w:sz w:val="24"/>
          <w:szCs w:val="24"/>
        </w:rPr>
        <w:t>in time to meet a critical need,</w:t>
      </w:r>
    </w:p>
    <w:p w14:paraId="6F58D9DF" w14:textId="1A03391D" w:rsidR="00A13702" w:rsidRPr="005C15FA" w:rsidRDefault="00C04011" w:rsidP="00A13702">
      <w:pPr>
        <w:pStyle w:val="PlainText"/>
        <w:numPr>
          <w:ilvl w:val="1"/>
          <w:numId w:val="16"/>
        </w:numPr>
        <w:ind w:left="720"/>
        <w:rPr>
          <w:rFonts w:ascii="Times New Roman" w:hAnsi="Times New Roman"/>
          <w:sz w:val="24"/>
          <w:szCs w:val="24"/>
        </w:rPr>
      </w:pPr>
      <w:r>
        <w:rPr>
          <w:rFonts w:ascii="Times New Roman" w:hAnsi="Times New Roman"/>
          <w:sz w:val="24"/>
          <w:szCs w:val="24"/>
        </w:rPr>
        <w:lastRenderedPageBreak/>
        <w:t>The item is not life cycle cost effective or exceeds 110% of the price of the non-sustainable item.  However, SA items that are more costly should still be carefully considered before being disregarded.</w:t>
      </w:r>
    </w:p>
    <w:p w14:paraId="3EAB3846" w14:textId="77777777" w:rsidR="00DC1668" w:rsidRDefault="00A13702" w:rsidP="00596198">
      <w:pPr>
        <w:pStyle w:val="ListParagraph"/>
        <w:spacing w:line="276" w:lineRule="auto"/>
        <w:jc w:val="left"/>
      </w:pPr>
      <w:r>
        <w:t xml:space="preserve">  </w:t>
      </w:r>
    </w:p>
    <w:p w14:paraId="499A9D6F" w14:textId="77777777" w:rsidR="00A13702" w:rsidRPr="00C771FD" w:rsidRDefault="00C704B6" w:rsidP="00A13702">
      <w:pPr>
        <w:pStyle w:val="Heading1"/>
        <w:keepNext w:val="0"/>
        <w:rPr>
          <w:sz w:val="24"/>
          <w:szCs w:val="24"/>
        </w:rPr>
      </w:pPr>
      <w:bookmarkStart w:id="12" w:name="_Toc71186250"/>
      <w:r w:rsidRPr="00C771FD">
        <w:t>REFERENCES</w:t>
      </w:r>
      <w:bookmarkEnd w:id="12"/>
    </w:p>
    <w:p w14:paraId="4B969A84" w14:textId="77777777" w:rsidR="00A13702" w:rsidRPr="009D5651" w:rsidRDefault="00A13702" w:rsidP="00A13702">
      <w:pPr>
        <w:rPr>
          <w:b/>
        </w:rPr>
      </w:pPr>
    </w:p>
    <w:tbl>
      <w:tblPr>
        <w:tblStyle w:val="MediumList21"/>
        <w:tblW w:w="10015" w:type="dxa"/>
        <w:tblLayout w:type="fixed"/>
        <w:tblCellMar>
          <w:top w:w="58" w:type="dxa"/>
          <w:left w:w="115" w:type="dxa"/>
          <w:bottom w:w="58" w:type="dxa"/>
          <w:right w:w="115" w:type="dxa"/>
        </w:tblCellMar>
        <w:tblLook w:val="04A0" w:firstRow="1" w:lastRow="0" w:firstColumn="1" w:lastColumn="0" w:noHBand="0" w:noVBand="1"/>
      </w:tblPr>
      <w:tblGrid>
        <w:gridCol w:w="4608"/>
        <w:gridCol w:w="5407"/>
      </w:tblGrid>
      <w:tr w:rsidR="00A13702" w:rsidRPr="009D5651" w14:paraId="400CFFB1" w14:textId="77777777" w:rsidTr="00523F8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15" w:type="dxa"/>
            <w:gridSpan w:val="2"/>
          </w:tcPr>
          <w:p w14:paraId="6BB2A912" w14:textId="77777777" w:rsidR="00A13702" w:rsidRPr="009D5651" w:rsidRDefault="00A13702" w:rsidP="00DC1668">
            <w:pPr>
              <w:pStyle w:val="Heading2"/>
              <w:outlineLvl w:val="1"/>
              <w:rPr>
                <w:rFonts w:ascii="Times New Roman" w:hAnsi="Times New Roman" w:cs="Times New Roman"/>
                <w:b w:val="0"/>
                <w:color w:val="auto"/>
              </w:rPr>
            </w:pPr>
            <w:bookmarkStart w:id="13" w:name="_Toc71186251"/>
            <w:r w:rsidRPr="009D5651">
              <w:rPr>
                <w:rFonts w:ascii="Times New Roman" w:hAnsi="Times New Roman" w:cs="Times New Roman"/>
                <w:color w:val="auto"/>
              </w:rPr>
              <w:t>RESOURCES</w:t>
            </w:r>
            <w:bookmarkEnd w:id="13"/>
          </w:p>
        </w:tc>
      </w:tr>
      <w:tr w:rsidR="00A13702" w:rsidRPr="009D5651" w14:paraId="04716502" w14:textId="77777777" w:rsidTr="00EB7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8" w:type="dxa"/>
            <w:tcBorders>
              <w:left w:val="single" w:sz="4" w:space="0" w:color="auto"/>
            </w:tcBorders>
            <w:shd w:val="clear" w:color="auto" w:fill="BFBFBF" w:themeFill="background1" w:themeFillShade="BF"/>
          </w:tcPr>
          <w:p w14:paraId="4DB9EF5C" w14:textId="77777777" w:rsidR="00A13702" w:rsidRPr="009D5651" w:rsidRDefault="002D1F85" w:rsidP="00A13702">
            <w:pPr>
              <w:spacing w:before="100" w:beforeAutospacing="1" w:after="100" w:afterAutospacing="1"/>
              <w:rPr>
                <w:color w:val="auto"/>
              </w:rPr>
            </w:pPr>
            <w:r>
              <w:rPr>
                <w:color w:val="auto"/>
              </w:rPr>
              <w:t>ES</w:t>
            </w:r>
            <w:r w:rsidR="00832167">
              <w:rPr>
                <w:color w:val="auto"/>
              </w:rPr>
              <w:t>&amp;</w:t>
            </w:r>
            <w:r>
              <w:rPr>
                <w:color w:val="auto"/>
              </w:rPr>
              <w:t>H</w:t>
            </w:r>
            <w:r w:rsidR="00A13702" w:rsidRPr="009D5651">
              <w:rPr>
                <w:color w:val="auto"/>
              </w:rPr>
              <w:t xml:space="preserve"> Section Sustainable Acquisition</w:t>
            </w:r>
          </w:p>
        </w:tc>
        <w:tc>
          <w:tcPr>
            <w:tcW w:w="5407" w:type="dxa"/>
          </w:tcPr>
          <w:p w14:paraId="71206FE4" w14:textId="77777777" w:rsidR="00600FCE" w:rsidRPr="00600FCE" w:rsidRDefault="00573E15" w:rsidP="00A13702">
            <w:pPr>
              <w:cnfStyle w:val="000000100000" w:firstRow="0" w:lastRow="0" w:firstColumn="0" w:lastColumn="0" w:oddVBand="0" w:evenVBand="0" w:oddHBand="1" w:evenHBand="0" w:firstRowFirstColumn="0" w:firstRowLastColumn="0" w:lastRowFirstColumn="0" w:lastRowLastColumn="0"/>
            </w:pPr>
            <w:hyperlink r:id="rId22" w:history="1">
              <w:r w:rsidR="00600FCE" w:rsidRPr="00403DA7">
                <w:rPr>
                  <w:rStyle w:val="Hyperlink"/>
                </w:rPr>
                <w:t>https://eshq.fnal.gov/atwork/ep/sa/</w:t>
              </w:r>
            </w:hyperlink>
          </w:p>
        </w:tc>
      </w:tr>
      <w:tr w:rsidR="00A13702" w:rsidRPr="009D5651" w14:paraId="7828B7EC" w14:textId="77777777" w:rsidTr="00EB724B">
        <w:tc>
          <w:tcPr>
            <w:cnfStyle w:val="001000000000" w:firstRow="0" w:lastRow="0" w:firstColumn="1" w:lastColumn="0" w:oddVBand="0" w:evenVBand="0" w:oddHBand="0" w:evenHBand="0" w:firstRowFirstColumn="0" w:firstRowLastColumn="0" w:lastRowFirstColumn="0" w:lastRowLastColumn="0"/>
            <w:tcW w:w="4608" w:type="dxa"/>
            <w:tcBorders>
              <w:left w:val="single" w:sz="4" w:space="0" w:color="auto"/>
              <w:bottom w:val="single" w:sz="4" w:space="0" w:color="auto"/>
            </w:tcBorders>
          </w:tcPr>
          <w:p w14:paraId="0D3CB5DA" w14:textId="77777777" w:rsidR="00A13702" w:rsidRPr="009D5651" w:rsidRDefault="00A13702" w:rsidP="00A13702">
            <w:pPr>
              <w:spacing w:before="100" w:beforeAutospacing="1" w:after="100" w:afterAutospacing="1"/>
              <w:rPr>
                <w:color w:val="auto"/>
              </w:rPr>
            </w:pPr>
            <w:r w:rsidRPr="009D5651">
              <w:rPr>
                <w:color w:val="auto"/>
              </w:rPr>
              <w:t>Procurement Office</w:t>
            </w:r>
          </w:p>
        </w:tc>
        <w:tc>
          <w:tcPr>
            <w:tcW w:w="5407" w:type="dxa"/>
            <w:tcBorders>
              <w:top w:val="nil"/>
              <w:bottom w:val="single" w:sz="4" w:space="0" w:color="auto"/>
            </w:tcBorders>
          </w:tcPr>
          <w:p w14:paraId="6D19218B" w14:textId="77777777" w:rsidR="00600FCE" w:rsidRPr="00600FCE" w:rsidRDefault="00573E15" w:rsidP="00600FC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hyperlink r:id="rId23" w:history="1">
              <w:r w:rsidR="00600FCE" w:rsidRPr="00403DA7">
                <w:rPr>
                  <w:rStyle w:val="Hyperlink"/>
                </w:rPr>
                <w:t>https://fermipoint.fnal.gov/org/fin/fin-prc/SitePages/Home.aspx</w:t>
              </w:r>
            </w:hyperlink>
          </w:p>
        </w:tc>
      </w:tr>
      <w:tr w:rsidR="0085789B" w:rsidRPr="009D5651" w14:paraId="4D13B01B" w14:textId="77777777" w:rsidTr="00EB7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24BE43" w14:textId="77777777" w:rsidR="0085789B" w:rsidRPr="009D5651" w:rsidRDefault="0085789B" w:rsidP="00A13702">
            <w:pPr>
              <w:spacing w:before="100" w:beforeAutospacing="1" w:after="100" w:afterAutospacing="1"/>
            </w:pPr>
            <w:r>
              <w:t>GSA Green Procurement Compilation</w:t>
            </w:r>
          </w:p>
        </w:tc>
        <w:tc>
          <w:tcPr>
            <w:tcW w:w="54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A3EEFA" w14:textId="77777777" w:rsidR="0085789B" w:rsidRDefault="00573E15" w:rsidP="000D63F0">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hyperlink r:id="rId24" w:history="1">
              <w:r w:rsidR="0085789B" w:rsidRPr="00C121D1">
                <w:rPr>
                  <w:rStyle w:val="Hyperlink"/>
                </w:rPr>
                <w:t>https://sftool.gov/GreenProcurement</w:t>
              </w:r>
            </w:hyperlink>
            <w:r w:rsidR="0085789B">
              <w:t xml:space="preserve"> </w:t>
            </w:r>
          </w:p>
        </w:tc>
      </w:tr>
    </w:tbl>
    <w:p w14:paraId="0757D9FF" w14:textId="77777777" w:rsidR="00A13702" w:rsidRPr="000D63F0" w:rsidRDefault="00A13702" w:rsidP="00C04011">
      <w:pPr>
        <w:rPr>
          <w:b/>
          <w:bCs/>
          <w:color w:val="000000" w:themeColor="text1"/>
          <w:sz w:val="10"/>
          <w:szCs w:val="16"/>
        </w:rPr>
      </w:pPr>
    </w:p>
    <w:tbl>
      <w:tblPr>
        <w:tblStyle w:val="MediumList21"/>
        <w:tblW w:w="10015" w:type="dxa"/>
        <w:tblLayout w:type="fixed"/>
        <w:tblCellMar>
          <w:top w:w="58" w:type="dxa"/>
          <w:left w:w="115" w:type="dxa"/>
          <w:bottom w:w="58" w:type="dxa"/>
          <w:right w:w="115" w:type="dxa"/>
        </w:tblCellMar>
        <w:tblLook w:val="04A0" w:firstRow="1" w:lastRow="0" w:firstColumn="1" w:lastColumn="0" w:noHBand="0" w:noVBand="1"/>
      </w:tblPr>
      <w:tblGrid>
        <w:gridCol w:w="4608"/>
        <w:gridCol w:w="5407"/>
      </w:tblGrid>
      <w:tr w:rsidR="00DC1668" w14:paraId="1354D7DF" w14:textId="77777777" w:rsidTr="00523F8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15" w:type="dxa"/>
            <w:gridSpan w:val="2"/>
          </w:tcPr>
          <w:p w14:paraId="5052CB7A" w14:textId="77777777" w:rsidR="00DC1668" w:rsidRPr="00733647" w:rsidRDefault="00DC1668" w:rsidP="00DC1668">
            <w:pPr>
              <w:pStyle w:val="Heading2"/>
              <w:outlineLvl w:val="1"/>
              <w:rPr>
                <w:b w:val="0"/>
              </w:rPr>
            </w:pPr>
            <w:bookmarkStart w:id="14" w:name="_Toc71186252"/>
            <w:r>
              <w:rPr>
                <w:rFonts w:ascii="Times New Roman" w:hAnsi="Times New Roman" w:cs="Times New Roman"/>
              </w:rPr>
              <w:t>ENERGY EFFICIENCY</w:t>
            </w:r>
            <w:bookmarkEnd w:id="14"/>
            <w:r>
              <w:rPr>
                <w:rFonts w:ascii="Times New Roman" w:hAnsi="Times New Roman" w:cs="Times New Roman"/>
              </w:rPr>
              <w:t xml:space="preserve"> </w:t>
            </w:r>
          </w:p>
        </w:tc>
      </w:tr>
      <w:tr w:rsidR="00A13702" w14:paraId="6E91D041" w14:textId="77777777" w:rsidTr="00523F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8" w:type="dxa"/>
            <w:tcBorders>
              <w:top w:val="single" w:sz="24" w:space="0" w:color="000000" w:themeColor="text1"/>
              <w:left w:val="single" w:sz="4" w:space="0" w:color="auto"/>
            </w:tcBorders>
            <w:shd w:val="clear" w:color="auto" w:fill="BFBFBF" w:themeFill="background1" w:themeFillShade="BF"/>
          </w:tcPr>
          <w:p w14:paraId="38EA439B" w14:textId="77777777" w:rsidR="00A13702" w:rsidRDefault="00A13702" w:rsidP="00A13702">
            <w:pPr>
              <w:spacing w:before="100" w:beforeAutospacing="1" w:after="100" w:afterAutospacing="1"/>
              <w:rPr>
                <w:b/>
                <w:bCs/>
              </w:rPr>
            </w:pPr>
            <w:r w:rsidRPr="00E223C6">
              <w:rPr>
                <w:bCs/>
              </w:rPr>
              <w:t>Energy Star</w:t>
            </w:r>
          </w:p>
        </w:tc>
        <w:tc>
          <w:tcPr>
            <w:tcW w:w="5407" w:type="dxa"/>
          </w:tcPr>
          <w:p w14:paraId="0E3050A0" w14:textId="77777777" w:rsidR="00A13702" w:rsidRPr="009D5651" w:rsidRDefault="00573E15" w:rsidP="00A13702">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bCs/>
              </w:rPr>
            </w:pPr>
            <w:hyperlink r:id="rId25" w:history="1">
              <w:r w:rsidR="00A13702" w:rsidRPr="009D5651">
                <w:rPr>
                  <w:rStyle w:val="Hyperlink"/>
                  <w:bCs/>
                </w:rPr>
                <w:t>http://www.energystar.gov/</w:t>
              </w:r>
            </w:hyperlink>
          </w:p>
        </w:tc>
      </w:tr>
      <w:tr w:rsidR="00A13702" w14:paraId="0E51220C" w14:textId="77777777" w:rsidTr="00523F8D">
        <w:tc>
          <w:tcPr>
            <w:cnfStyle w:val="001000000000" w:firstRow="0" w:lastRow="0" w:firstColumn="1" w:lastColumn="0" w:oddVBand="0" w:evenVBand="0" w:oddHBand="0" w:evenHBand="0" w:firstRowFirstColumn="0" w:firstRowLastColumn="0" w:lastRowFirstColumn="0" w:lastRowLastColumn="0"/>
            <w:tcW w:w="4608" w:type="dxa"/>
            <w:tcBorders>
              <w:left w:val="single" w:sz="4" w:space="0" w:color="auto"/>
            </w:tcBorders>
          </w:tcPr>
          <w:p w14:paraId="6AEF4E6A" w14:textId="77777777" w:rsidR="00A13702" w:rsidRDefault="00A13702" w:rsidP="00A13702">
            <w:pPr>
              <w:spacing w:before="100" w:beforeAutospacing="1" w:after="100" w:afterAutospacing="1"/>
              <w:rPr>
                <w:b/>
                <w:bCs/>
              </w:rPr>
            </w:pPr>
            <w:r w:rsidRPr="00E223C6">
              <w:rPr>
                <w:bCs/>
              </w:rPr>
              <w:t>Federal Energy Management Program (FEMP)</w:t>
            </w:r>
          </w:p>
        </w:tc>
        <w:tc>
          <w:tcPr>
            <w:tcW w:w="5407" w:type="dxa"/>
            <w:tcBorders>
              <w:bottom w:val="nil"/>
            </w:tcBorders>
          </w:tcPr>
          <w:p w14:paraId="79A01BA2" w14:textId="77777777" w:rsidR="00600FCE" w:rsidRPr="00A46165" w:rsidRDefault="00573E15" w:rsidP="00600FC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bCs/>
              </w:rPr>
            </w:pPr>
            <w:hyperlink r:id="rId26" w:history="1">
              <w:r w:rsidR="00600FCE" w:rsidRPr="00403DA7">
                <w:rPr>
                  <w:rStyle w:val="Hyperlink"/>
                </w:rPr>
                <w:t>http://energy.gov/eere/femp/federal-energy-management-program</w:t>
              </w:r>
            </w:hyperlink>
          </w:p>
        </w:tc>
      </w:tr>
      <w:tr w:rsidR="00A13702" w14:paraId="4A802435" w14:textId="77777777" w:rsidTr="00523F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8" w:type="dxa"/>
            <w:tcBorders>
              <w:left w:val="single" w:sz="4" w:space="0" w:color="auto"/>
              <w:bottom w:val="single" w:sz="4" w:space="0" w:color="auto"/>
            </w:tcBorders>
            <w:shd w:val="clear" w:color="auto" w:fill="BFBFBF" w:themeFill="background1" w:themeFillShade="BF"/>
          </w:tcPr>
          <w:p w14:paraId="5993D424" w14:textId="77777777" w:rsidR="00A13702" w:rsidRDefault="00523F8D" w:rsidP="00523F8D">
            <w:pPr>
              <w:spacing w:before="100" w:beforeAutospacing="1" w:after="100" w:afterAutospacing="1"/>
              <w:rPr>
                <w:b/>
                <w:bCs/>
              </w:rPr>
            </w:pPr>
            <w:r>
              <w:rPr>
                <w:bCs/>
              </w:rPr>
              <w:t>EPEAT</w:t>
            </w:r>
          </w:p>
        </w:tc>
        <w:tc>
          <w:tcPr>
            <w:tcW w:w="5407" w:type="dxa"/>
            <w:tcBorders>
              <w:bottom w:val="single" w:sz="4" w:space="0" w:color="auto"/>
            </w:tcBorders>
          </w:tcPr>
          <w:p w14:paraId="173E423F" w14:textId="77777777" w:rsidR="00A13702" w:rsidRDefault="00A13702" w:rsidP="0029051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b/>
                <w:bCs/>
              </w:rPr>
            </w:pPr>
            <w:r w:rsidRPr="00E223C6">
              <w:rPr>
                <w:bCs/>
              </w:rPr>
              <w:t xml:space="preserve"> </w:t>
            </w:r>
            <w:hyperlink r:id="rId27" w:history="1">
              <w:r w:rsidR="00290514">
                <w:rPr>
                  <w:rStyle w:val="Hyperlink"/>
                  <w:bCs/>
                </w:rPr>
                <w:t>http://www.epeat.net/</w:t>
              </w:r>
            </w:hyperlink>
          </w:p>
        </w:tc>
      </w:tr>
    </w:tbl>
    <w:p w14:paraId="30F9DD5F" w14:textId="77777777" w:rsidR="00A13702" w:rsidRPr="000D63F0" w:rsidRDefault="00A13702" w:rsidP="00523F8D">
      <w:pPr>
        <w:tabs>
          <w:tab w:val="center" w:pos="4680"/>
          <w:tab w:val="left" w:pos="6415"/>
        </w:tabs>
        <w:outlineLvl w:val="4"/>
        <w:rPr>
          <w:b/>
          <w:bCs/>
          <w:color w:val="000000" w:themeColor="text1"/>
          <w:sz w:val="10"/>
          <w:szCs w:val="16"/>
        </w:rPr>
      </w:pPr>
    </w:p>
    <w:tbl>
      <w:tblPr>
        <w:tblStyle w:val="MediumList21"/>
        <w:tblW w:w="10105" w:type="dxa"/>
        <w:tblLayout w:type="fixed"/>
        <w:tblCellMar>
          <w:top w:w="58" w:type="dxa"/>
          <w:left w:w="115" w:type="dxa"/>
          <w:bottom w:w="58" w:type="dxa"/>
          <w:right w:w="115" w:type="dxa"/>
        </w:tblCellMar>
        <w:tblLook w:val="04A0" w:firstRow="1" w:lastRow="0" w:firstColumn="1" w:lastColumn="0" w:noHBand="0" w:noVBand="1"/>
      </w:tblPr>
      <w:tblGrid>
        <w:gridCol w:w="4608"/>
        <w:gridCol w:w="5497"/>
      </w:tblGrid>
      <w:tr w:rsidR="00DC1668" w14:paraId="464DEB3B" w14:textId="77777777" w:rsidTr="00523F8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05" w:type="dxa"/>
            <w:gridSpan w:val="2"/>
          </w:tcPr>
          <w:p w14:paraId="7CAE505D" w14:textId="77777777" w:rsidR="00DC1668" w:rsidRPr="00E223C6" w:rsidRDefault="00DC1668" w:rsidP="00DC1668">
            <w:pPr>
              <w:pStyle w:val="Heading2"/>
              <w:outlineLvl w:val="1"/>
              <w:rPr>
                <w:bCs w:val="0"/>
              </w:rPr>
            </w:pPr>
            <w:bookmarkStart w:id="15" w:name="_Toc71186253"/>
            <w:r>
              <w:rPr>
                <w:rFonts w:ascii="Times New Roman" w:hAnsi="Times New Roman" w:cs="Times New Roman"/>
              </w:rPr>
              <w:t>SUSTAINABILITY</w:t>
            </w:r>
            <w:bookmarkEnd w:id="15"/>
          </w:p>
        </w:tc>
      </w:tr>
      <w:tr w:rsidR="00A13702" w14:paraId="4A31EF28" w14:textId="77777777" w:rsidTr="00523F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8" w:type="dxa"/>
            <w:tcBorders>
              <w:top w:val="single" w:sz="24" w:space="0" w:color="000000" w:themeColor="text1"/>
              <w:left w:val="single" w:sz="4" w:space="0" w:color="auto"/>
            </w:tcBorders>
            <w:shd w:val="clear" w:color="auto" w:fill="BFBFBF" w:themeFill="background1" w:themeFillShade="BF"/>
          </w:tcPr>
          <w:p w14:paraId="3646228E" w14:textId="77777777" w:rsidR="00A13702" w:rsidRDefault="00290514" w:rsidP="001D78BB">
            <w:pPr>
              <w:tabs>
                <w:tab w:val="center" w:pos="4680"/>
                <w:tab w:val="left" w:pos="6415"/>
              </w:tabs>
              <w:outlineLvl w:val="4"/>
              <w:rPr>
                <w:b/>
                <w:bCs/>
              </w:rPr>
            </w:pPr>
            <w:r>
              <w:rPr>
                <w:bCs/>
              </w:rPr>
              <w:t>l</w:t>
            </w:r>
            <w:r w:rsidR="00A13702" w:rsidRPr="00E223C6">
              <w:rPr>
                <w:bCs/>
              </w:rPr>
              <w:t>evel Certification</w:t>
            </w:r>
          </w:p>
        </w:tc>
        <w:tc>
          <w:tcPr>
            <w:tcW w:w="5497" w:type="dxa"/>
          </w:tcPr>
          <w:p w14:paraId="3BA87F8C" w14:textId="77777777" w:rsidR="00600FCE" w:rsidRDefault="00573E15" w:rsidP="00600FCE">
            <w:pPr>
              <w:tabs>
                <w:tab w:val="center" w:pos="4680"/>
                <w:tab w:val="left" w:pos="6415"/>
              </w:tabs>
              <w:spacing w:after="60"/>
              <w:outlineLvl w:val="4"/>
              <w:cnfStyle w:val="000000100000" w:firstRow="0" w:lastRow="0" w:firstColumn="0" w:lastColumn="0" w:oddVBand="0" w:evenVBand="0" w:oddHBand="1" w:evenHBand="0" w:firstRowFirstColumn="0" w:firstRowLastColumn="0" w:lastRowFirstColumn="0" w:lastRowLastColumn="0"/>
              <w:rPr>
                <w:b/>
                <w:bCs/>
              </w:rPr>
            </w:pPr>
            <w:hyperlink r:id="rId28" w:history="1">
              <w:r w:rsidR="00600FCE" w:rsidRPr="00403DA7">
                <w:rPr>
                  <w:rStyle w:val="Hyperlink"/>
                </w:rPr>
                <w:t>https://www.levelcertified.org/</w:t>
              </w:r>
            </w:hyperlink>
          </w:p>
        </w:tc>
      </w:tr>
      <w:tr w:rsidR="00A13702" w14:paraId="6738330E" w14:textId="77777777" w:rsidTr="00523F8D">
        <w:tc>
          <w:tcPr>
            <w:cnfStyle w:val="001000000000" w:firstRow="0" w:lastRow="0" w:firstColumn="1" w:lastColumn="0" w:oddVBand="0" w:evenVBand="0" w:oddHBand="0" w:evenHBand="0" w:firstRowFirstColumn="0" w:firstRowLastColumn="0" w:lastRowFirstColumn="0" w:lastRowLastColumn="0"/>
            <w:tcW w:w="4608" w:type="dxa"/>
            <w:tcBorders>
              <w:left w:val="single" w:sz="4" w:space="0" w:color="auto"/>
              <w:bottom w:val="single" w:sz="4" w:space="0" w:color="auto"/>
              <w:right w:val="single" w:sz="4" w:space="0" w:color="auto"/>
            </w:tcBorders>
          </w:tcPr>
          <w:p w14:paraId="78B0AE70" w14:textId="77777777" w:rsidR="00A13702" w:rsidRDefault="00A13702" w:rsidP="001D78BB">
            <w:pPr>
              <w:tabs>
                <w:tab w:val="center" w:pos="4680"/>
                <w:tab w:val="left" w:pos="6415"/>
              </w:tabs>
              <w:outlineLvl w:val="4"/>
              <w:rPr>
                <w:b/>
                <w:bCs/>
              </w:rPr>
            </w:pPr>
            <w:r w:rsidRPr="00E223C6">
              <w:t xml:space="preserve">US Department of Agriculture </w:t>
            </w:r>
            <w:proofErr w:type="spellStart"/>
            <w:r w:rsidRPr="00E223C6">
              <w:t>Biopreferred</w:t>
            </w:r>
            <w:proofErr w:type="spellEnd"/>
          </w:p>
        </w:tc>
        <w:tc>
          <w:tcPr>
            <w:tcW w:w="5497" w:type="dxa"/>
            <w:tcBorders>
              <w:top w:val="nil"/>
              <w:left w:val="single" w:sz="4" w:space="0" w:color="auto"/>
              <w:bottom w:val="single" w:sz="4" w:space="0" w:color="auto"/>
              <w:right w:val="single" w:sz="4" w:space="0" w:color="auto"/>
            </w:tcBorders>
          </w:tcPr>
          <w:p w14:paraId="2D2107E2" w14:textId="77777777" w:rsidR="00A13702" w:rsidRPr="00A46165" w:rsidRDefault="00573E15" w:rsidP="001D78BB">
            <w:pPr>
              <w:tabs>
                <w:tab w:val="center" w:pos="4680"/>
                <w:tab w:val="left" w:pos="6415"/>
              </w:tabs>
              <w:outlineLvl w:val="4"/>
              <w:cnfStyle w:val="000000000000" w:firstRow="0" w:lastRow="0" w:firstColumn="0" w:lastColumn="0" w:oddVBand="0" w:evenVBand="0" w:oddHBand="0" w:evenHBand="0" w:firstRowFirstColumn="0" w:firstRowLastColumn="0" w:lastRowFirstColumn="0" w:lastRowLastColumn="0"/>
            </w:pPr>
            <w:hyperlink r:id="rId29" w:history="1">
              <w:r w:rsidR="00290514">
                <w:rPr>
                  <w:rStyle w:val="Hyperlink"/>
                </w:rPr>
                <w:t>http://www.biopreferred.gov/BioPreferred/faces/catalog/Catalog.xhtml</w:t>
              </w:r>
            </w:hyperlink>
          </w:p>
        </w:tc>
      </w:tr>
    </w:tbl>
    <w:p w14:paraId="720B84A3" w14:textId="77777777" w:rsidR="00A13702" w:rsidRPr="00596198" w:rsidRDefault="00A13702" w:rsidP="00523F8D">
      <w:pPr>
        <w:tabs>
          <w:tab w:val="center" w:pos="4680"/>
          <w:tab w:val="left" w:pos="6415"/>
        </w:tabs>
        <w:outlineLvl w:val="4"/>
        <w:rPr>
          <w:b/>
          <w:bCs/>
          <w:color w:val="000000" w:themeColor="text1"/>
          <w:sz w:val="16"/>
          <w:szCs w:val="16"/>
        </w:rPr>
      </w:pPr>
      <w:r w:rsidRPr="00596198">
        <w:rPr>
          <w:b/>
          <w:bCs/>
          <w:color w:val="000000" w:themeColor="text1"/>
          <w:sz w:val="16"/>
          <w:szCs w:val="16"/>
        </w:rPr>
        <w:tab/>
      </w:r>
    </w:p>
    <w:tbl>
      <w:tblPr>
        <w:tblStyle w:val="MediumList21"/>
        <w:tblW w:w="10105" w:type="dxa"/>
        <w:tblCellMar>
          <w:top w:w="58" w:type="dxa"/>
          <w:left w:w="115" w:type="dxa"/>
          <w:bottom w:w="58" w:type="dxa"/>
          <w:right w:w="115" w:type="dxa"/>
        </w:tblCellMar>
        <w:tblLook w:val="04A0" w:firstRow="1" w:lastRow="0" w:firstColumn="1" w:lastColumn="0" w:noHBand="0" w:noVBand="1"/>
      </w:tblPr>
      <w:tblGrid>
        <w:gridCol w:w="4608"/>
        <w:gridCol w:w="5497"/>
      </w:tblGrid>
      <w:tr w:rsidR="00DC1668" w14:paraId="0C036766" w14:textId="77777777" w:rsidTr="00523F8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05" w:type="dxa"/>
            <w:gridSpan w:val="2"/>
          </w:tcPr>
          <w:p w14:paraId="3EEC5847" w14:textId="77777777" w:rsidR="00DC1668" w:rsidRPr="009D5651" w:rsidRDefault="00DC1668" w:rsidP="00DC1668">
            <w:pPr>
              <w:pStyle w:val="Heading2"/>
              <w:outlineLvl w:val="1"/>
              <w:rPr>
                <w:b w:val="0"/>
              </w:rPr>
            </w:pPr>
            <w:bookmarkStart w:id="16" w:name="_Toc71186254"/>
            <w:r>
              <w:rPr>
                <w:rFonts w:ascii="Times New Roman" w:hAnsi="Times New Roman" w:cs="Times New Roman"/>
              </w:rPr>
              <w:t>WATER USE</w:t>
            </w:r>
            <w:bookmarkEnd w:id="16"/>
          </w:p>
        </w:tc>
      </w:tr>
      <w:tr w:rsidR="00A13702" w14:paraId="60079150" w14:textId="77777777" w:rsidTr="00523F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8" w:type="dxa"/>
            <w:tcBorders>
              <w:top w:val="single" w:sz="24" w:space="0" w:color="000000" w:themeColor="text1"/>
              <w:left w:val="single" w:sz="4" w:space="0" w:color="auto"/>
              <w:bottom w:val="single" w:sz="4" w:space="0" w:color="auto"/>
            </w:tcBorders>
            <w:shd w:val="clear" w:color="auto" w:fill="BFBFBF" w:themeFill="background1" w:themeFillShade="BF"/>
          </w:tcPr>
          <w:p w14:paraId="79A27218" w14:textId="77777777" w:rsidR="00A13702" w:rsidRDefault="00A13702" w:rsidP="001D78BB">
            <w:pPr>
              <w:tabs>
                <w:tab w:val="center" w:pos="4680"/>
                <w:tab w:val="left" w:pos="6415"/>
              </w:tabs>
              <w:outlineLvl w:val="4"/>
            </w:pPr>
            <w:r w:rsidRPr="00E223C6">
              <w:rPr>
                <w:bCs/>
              </w:rPr>
              <w:t xml:space="preserve">Water Sense </w:t>
            </w:r>
          </w:p>
        </w:tc>
        <w:tc>
          <w:tcPr>
            <w:tcW w:w="5497" w:type="dxa"/>
            <w:tcBorders>
              <w:bottom w:val="single" w:sz="4" w:space="0" w:color="auto"/>
            </w:tcBorders>
          </w:tcPr>
          <w:p w14:paraId="67FFEBD7" w14:textId="77777777" w:rsidR="00A13702" w:rsidRPr="00EA49D4" w:rsidRDefault="00573E15" w:rsidP="001D78BB">
            <w:pPr>
              <w:tabs>
                <w:tab w:val="center" w:pos="4680"/>
                <w:tab w:val="left" w:pos="6415"/>
              </w:tabs>
              <w:outlineLvl w:val="4"/>
              <w:cnfStyle w:val="000000100000" w:firstRow="0" w:lastRow="0" w:firstColumn="0" w:lastColumn="0" w:oddVBand="0" w:evenVBand="0" w:oddHBand="1" w:evenHBand="0" w:firstRowFirstColumn="0" w:firstRowLastColumn="0" w:lastRowFirstColumn="0" w:lastRowLastColumn="0"/>
            </w:pPr>
            <w:hyperlink r:id="rId30" w:history="1">
              <w:r w:rsidR="00A13702" w:rsidRPr="00EA49D4">
                <w:rPr>
                  <w:rStyle w:val="Hyperlink"/>
                  <w:bCs/>
                </w:rPr>
                <w:t>http://epa.gov/watersense/</w:t>
              </w:r>
            </w:hyperlink>
          </w:p>
        </w:tc>
      </w:tr>
    </w:tbl>
    <w:p w14:paraId="1D5E8DB8" w14:textId="77777777" w:rsidR="006E01C4" w:rsidRPr="000D63F0" w:rsidRDefault="00A13702" w:rsidP="00523F8D">
      <w:pPr>
        <w:tabs>
          <w:tab w:val="center" w:pos="4680"/>
          <w:tab w:val="left" w:pos="6415"/>
        </w:tabs>
        <w:outlineLvl w:val="4"/>
        <w:rPr>
          <w:color w:val="000000" w:themeColor="text1"/>
          <w:sz w:val="10"/>
          <w:szCs w:val="16"/>
        </w:rPr>
      </w:pPr>
      <w:r w:rsidRPr="00596198">
        <w:rPr>
          <w:color w:val="000000" w:themeColor="text1"/>
          <w:sz w:val="16"/>
          <w:szCs w:val="16"/>
        </w:rPr>
        <w:t xml:space="preserve"> </w:t>
      </w:r>
    </w:p>
    <w:tbl>
      <w:tblPr>
        <w:tblStyle w:val="MediumList21"/>
        <w:tblW w:w="10105" w:type="dxa"/>
        <w:tblLayout w:type="fixed"/>
        <w:tblCellMar>
          <w:top w:w="58" w:type="dxa"/>
          <w:left w:w="115" w:type="dxa"/>
          <w:bottom w:w="58" w:type="dxa"/>
          <w:right w:w="115" w:type="dxa"/>
        </w:tblCellMar>
        <w:tblLook w:val="04A0" w:firstRow="1" w:lastRow="0" w:firstColumn="1" w:lastColumn="0" w:noHBand="0" w:noVBand="1"/>
      </w:tblPr>
      <w:tblGrid>
        <w:gridCol w:w="4615"/>
        <w:gridCol w:w="5490"/>
      </w:tblGrid>
      <w:tr w:rsidR="00DC1668" w14:paraId="06CCD7ED" w14:textId="77777777" w:rsidTr="00523F8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05" w:type="dxa"/>
            <w:gridSpan w:val="2"/>
          </w:tcPr>
          <w:p w14:paraId="4F6F95A6" w14:textId="77777777" w:rsidR="00DC1668" w:rsidRDefault="00DC1668" w:rsidP="00DC1668">
            <w:pPr>
              <w:pStyle w:val="Heading2"/>
              <w:outlineLvl w:val="1"/>
            </w:pPr>
            <w:bookmarkStart w:id="17" w:name="_Toc71186255"/>
            <w:r>
              <w:rPr>
                <w:rFonts w:ascii="Times New Roman" w:hAnsi="Times New Roman" w:cs="Times New Roman"/>
              </w:rPr>
              <w:t>OZONE DEPLETION</w:t>
            </w:r>
            <w:bookmarkEnd w:id="17"/>
          </w:p>
        </w:tc>
      </w:tr>
      <w:tr w:rsidR="00A13702" w14:paraId="510FF2C1" w14:textId="77777777" w:rsidTr="00523F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5" w:type="dxa"/>
            <w:tcBorders>
              <w:top w:val="single" w:sz="24" w:space="0" w:color="000000" w:themeColor="text1"/>
              <w:bottom w:val="single" w:sz="4" w:space="0" w:color="auto"/>
            </w:tcBorders>
            <w:shd w:val="clear" w:color="auto" w:fill="BFBFBF" w:themeFill="background1" w:themeFillShade="BF"/>
          </w:tcPr>
          <w:p w14:paraId="7B8451AC" w14:textId="77777777" w:rsidR="00A13702" w:rsidRDefault="00A13702" w:rsidP="001D78BB">
            <w:pPr>
              <w:tabs>
                <w:tab w:val="center" w:pos="4680"/>
                <w:tab w:val="left" w:pos="6415"/>
              </w:tabs>
              <w:outlineLvl w:val="4"/>
            </w:pPr>
            <w:r w:rsidRPr="00E223C6">
              <w:rPr>
                <w:bCs/>
              </w:rPr>
              <w:t>Significan</w:t>
            </w:r>
            <w:r w:rsidR="00596198">
              <w:rPr>
                <w:bCs/>
              </w:rPr>
              <w:t>t New Alternatives Policy</w:t>
            </w:r>
          </w:p>
        </w:tc>
        <w:tc>
          <w:tcPr>
            <w:tcW w:w="5490" w:type="dxa"/>
            <w:tcBorders>
              <w:top w:val="single" w:sz="24" w:space="0" w:color="000000" w:themeColor="text1"/>
              <w:bottom w:val="single" w:sz="4" w:space="0" w:color="auto"/>
            </w:tcBorders>
          </w:tcPr>
          <w:p w14:paraId="1E3E24A1" w14:textId="77777777" w:rsidR="00600FCE" w:rsidRPr="00A46165" w:rsidRDefault="00573E15" w:rsidP="00600FCE">
            <w:pPr>
              <w:outlineLvl w:val="4"/>
              <w:cnfStyle w:val="000000100000" w:firstRow="0" w:lastRow="0" w:firstColumn="0" w:lastColumn="0" w:oddVBand="0" w:evenVBand="0" w:oddHBand="1" w:evenHBand="0" w:firstRowFirstColumn="0" w:firstRowLastColumn="0" w:lastRowFirstColumn="0" w:lastRowLastColumn="0"/>
              <w:rPr>
                <w:bCs/>
              </w:rPr>
            </w:pPr>
            <w:hyperlink r:id="rId31" w:history="1">
              <w:r w:rsidR="00600FCE" w:rsidRPr="00403DA7">
                <w:rPr>
                  <w:rStyle w:val="Hyperlink"/>
                </w:rPr>
                <w:t>https://www.epa.gov/snap</w:t>
              </w:r>
            </w:hyperlink>
          </w:p>
        </w:tc>
      </w:tr>
    </w:tbl>
    <w:p w14:paraId="6BE0ADC7" w14:textId="77777777" w:rsidR="006E01C4" w:rsidRPr="000D63F0" w:rsidRDefault="006E01C4" w:rsidP="00523F8D">
      <w:pPr>
        <w:outlineLvl w:val="4"/>
        <w:rPr>
          <w:b/>
          <w:bCs/>
          <w:color w:val="000000" w:themeColor="text1"/>
          <w:sz w:val="10"/>
          <w:szCs w:val="16"/>
        </w:rPr>
      </w:pPr>
    </w:p>
    <w:tbl>
      <w:tblPr>
        <w:tblStyle w:val="MediumList21"/>
        <w:tblW w:w="10105" w:type="dxa"/>
        <w:tblLayout w:type="fixed"/>
        <w:tblCellMar>
          <w:top w:w="58" w:type="dxa"/>
          <w:left w:w="115" w:type="dxa"/>
          <w:bottom w:w="58" w:type="dxa"/>
          <w:right w:w="115" w:type="dxa"/>
        </w:tblCellMar>
        <w:tblLook w:val="04A0" w:firstRow="1" w:lastRow="0" w:firstColumn="1" w:lastColumn="0" w:noHBand="0" w:noVBand="1"/>
      </w:tblPr>
      <w:tblGrid>
        <w:gridCol w:w="4608"/>
        <w:gridCol w:w="5497"/>
      </w:tblGrid>
      <w:tr w:rsidR="00DC1668" w14:paraId="7837D8B2" w14:textId="77777777" w:rsidTr="00523F8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05" w:type="dxa"/>
            <w:gridSpan w:val="2"/>
          </w:tcPr>
          <w:p w14:paraId="25779911" w14:textId="77777777" w:rsidR="00DC1668" w:rsidRPr="009D5651" w:rsidRDefault="00DC1668" w:rsidP="00DC1668">
            <w:pPr>
              <w:pStyle w:val="Heading2"/>
              <w:outlineLvl w:val="1"/>
              <w:rPr>
                <w:b w:val="0"/>
              </w:rPr>
            </w:pPr>
            <w:r w:rsidRPr="00E223C6">
              <w:rPr>
                <w:rFonts w:ascii="Times New Roman" w:hAnsi="Times New Roman" w:cs="Times New Roman"/>
              </w:rPr>
              <w:t xml:space="preserve"> </w:t>
            </w:r>
            <w:bookmarkStart w:id="18" w:name="_Toc71186256"/>
            <w:r>
              <w:rPr>
                <w:rFonts w:ascii="Times New Roman" w:hAnsi="Times New Roman" w:cs="Times New Roman"/>
              </w:rPr>
              <w:t>EDUCATION</w:t>
            </w:r>
            <w:bookmarkEnd w:id="18"/>
          </w:p>
        </w:tc>
      </w:tr>
      <w:tr w:rsidR="00A13702" w14:paraId="1924C5D0" w14:textId="77777777" w:rsidTr="00523F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8" w:type="dxa"/>
            <w:tcBorders>
              <w:top w:val="single" w:sz="24" w:space="0" w:color="000000" w:themeColor="text1"/>
              <w:left w:val="single" w:sz="4" w:space="0" w:color="auto"/>
            </w:tcBorders>
            <w:shd w:val="clear" w:color="auto" w:fill="BFBFBF" w:themeFill="background1" w:themeFillShade="BF"/>
          </w:tcPr>
          <w:p w14:paraId="1181155C" w14:textId="77777777" w:rsidR="00A13702" w:rsidRPr="007E02A3" w:rsidRDefault="00A13702" w:rsidP="00523F8D">
            <w:pPr>
              <w:spacing w:after="60"/>
              <w:outlineLvl w:val="4"/>
              <w:rPr>
                <w:bCs/>
              </w:rPr>
            </w:pPr>
            <w:r w:rsidRPr="007E02A3">
              <w:rPr>
                <w:bCs/>
              </w:rPr>
              <w:t xml:space="preserve">National Renewable Energy Lab (NREL) </w:t>
            </w:r>
          </w:p>
        </w:tc>
        <w:tc>
          <w:tcPr>
            <w:tcW w:w="5497" w:type="dxa"/>
          </w:tcPr>
          <w:p w14:paraId="201D2518" w14:textId="77777777" w:rsidR="00600FCE" w:rsidRPr="00EA49D4" w:rsidRDefault="00573E15" w:rsidP="00600FCE">
            <w:pPr>
              <w:spacing w:after="60"/>
              <w:outlineLvl w:val="4"/>
              <w:cnfStyle w:val="000000100000" w:firstRow="0" w:lastRow="0" w:firstColumn="0" w:lastColumn="0" w:oddVBand="0" w:evenVBand="0" w:oddHBand="1" w:evenHBand="0" w:firstRowFirstColumn="0" w:firstRowLastColumn="0" w:lastRowFirstColumn="0" w:lastRowLastColumn="0"/>
              <w:rPr>
                <w:bCs/>
              </w:rPr>
            </w:pPr>
            <w:hyperlink r:id="rId32" w:history="1">
              <w:r w:rsidR="00600FCE" w:rsidRPr="00403DA7">
                <w:rPr>
                  <w:rStyle w:val="Hyperlink"/>
                </w:rPr>
                <w:t>https://www.nrel.gov/</w:t>
              </w:r>
            </w:hyperlink>
          </w:p>
        </w:tc>
      </w:tr>
      <w:tr w:rsidR="00A13702" w14:paraId="4B3204E5" w14:textId="77777777" w:rsidTr="00523F8D">
        <w:tc>
          <w:tcPr>
            <w:cnfStyle w:val="001000000000" w:firstRow="0" w:lastRow="0" w:firstColumn="1" w:lastColumn="0" w:oddVBand="0" w:evenVBand="0" w:oddHBand="0" w:evenHBand="0" w:firstRowFirstColumn="0" w:firstRowLastColumn="0" w:lastRowFirstColumn="0" w:lastRowLastColumn="0"/>
            <w:tcW w:w="4608" w:type="dxa"/>
            <w:tcBorders>
              <w:left w:val="single" w:sz="4" w:space="0" w:color="auto"/>
            </w:tcBorders>
          </w:tcPr>
          <w:p w14:paraId="32C589F7" w14:textId="77777777" w:rsidR="00A13702" w:rsidRPr="007E02A3" w:rsidRDefault="00A13702" w:rsidP="00523F8D">
            <w:pPr>
              <w:spacing w:after="60"/>
              <w:outlineLvl w:val="4"/>
              <w:rPr>
                <w:bCs/>
              </w:rPr>
            </w:pPr>
            <w:r w:rsidRPr="007E02A3">
              <w:rPr>
                <w:bCs/>
              </w:rPr>
              <w:t xml:space="preserve">US Department of Energy (DOE) </w:t>
            </w:r>
          </w:p>
        </w:tc>
        <w:tc>
          <w:tcPr>
            <w:tcW w:w="5497" w:type="dxa"/>
          </w:tcPr>
          <w:p w14:paraId="5F4A948E" w14:textId="77777777" w:rsidR="00A13702" w:rsidRPr="00A46165" w:rsidRDefault="00573E15" w:rsidP="00523F8D">
            <w:pPr>
              <w:spacing w:after="60"/>
              <w:outlineLvl w:val="4"/>
              <w:cnfStyle w:val="000000000000" w:firstRow="0" w:lastRow="0" w:firstColumn="0" w:lastColumn="0" w:oddVBand="0" w:evenVBand="0" w:oddHBand="0" w:evenHBand="0" w:firstRowFirstColumn="0" w:firstRowLastColumn="0" w:lastRowFirstColumn="0" w:lastRowLastColumn="0"/>
              <w:rPr>
                <w:bCs/>
              </w:rPr>
            </w:pPr>
            <w:hyperlink r:id="rId33" w:history="1">
              <w:r w:rsidR="00290514">
                <w:rPr>
                  <w:rStyle w:val="Hyperlink"/>
                  <w:bCs/>
                </w:rPr>
                <w:t>http://energy.gov/ehss/services/environment</w:t>
              </w:r>
            </w:hyperlink>
          </w:p>
        </w:tc>
      </w:tr>
      <w:tr w:rsidR="00A13702" w14:paraId="676E73E4" w14:textId="77777777" w:rsidTr="00523F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8" w:type="dxa"/>
            <w:tcBorders>
              <w:left w:val="single" w:sz="4" w:space="0" w:color="auto"/>
            </w:tcBorders>
            <w:shd w:val="clear" w:color="auto" w:fill="BFBFBF" w:themeFill="background1" w:themeFillShade="BF"/>
          </w:tcPr>
          <w:p w14:paraId="58F2A1F4" w14:textId="77777777" w:rsidR="00A13702" w:rsidRPr="007E02A3" w:rsidRDefault="00A13702" w:rsidP="00523F8D">
            <w:pPr>
              <w:spacing w:after="60"/>
              <w:outlineLvl w:val="4"/>
              <w:rPr>
                <w:bCs/>
              </w:rPr>
            </w:pPr>
            <w:r w:rsidRPr="007E02A3">
              <w:rPr>
                <w:bCs/>
              </w:rPr>
              <w:t xml:space="preserve">Environmental Protection Agency (EPA) </w:t>
            </w:r>
          </w:p>
        </w:tc>
        <w:tc>
          <w:tcPr>
            <w:tcW w:w="5497" w:type="dxa"/>
          </w:tcPr>
          <w:p w14:paraId="6F3BE288" w14:textId="77777777" w:rsidR="00A13702" w:rsidRDefault="00573E15" w:rsidP="00523F8D">
            <w:pPr>
              <w:spacing w:after="60"/>
              <w:outlineLvl w:val="4"/>
              <w:cnfStyle w:val="000000100000" w:firstRow="0" w:lastRow="0" w:firstColumn="0" w:lastColumn="0" w:oddVBand="0" w:evenVBand="0" w:oddHBand="1" w:evenHBand="0" w:firstRowFirstColumn="0" w:firstRowLastColumn="0" w:lastRowFirstColumn="0" w:lastRowLastColumn="0"/>
              <w:rPr>
                <w:b/>
                <w:bCs/>
              </w:rPr>
            </w:pPr>
            <w:hyperlink r:id="rId34" w:history="1">
              <w:r w:rsidR="00991E3B">
                <w:rPr>
                  <w:rStyle w:val="Hyperlink"/>
                  <w:bCs/>
                </w:rPr>
                <w:t>http://www3.epa.gov/</w:t>
              </w:r>
            </w:hyperlink>
          </w:p>
        </w:tc>
      </w:tr>
      <w:tr w:rsidR="00A13702" w14:paraId="3C0C560D" w14:textId="77777777" w:rsidTr="00523F8D">
        <w:tc>
          <w:tcPr>
            <w:cnfStyle w:val="001000000000" w:firstRow="0" w:lastRow="0" w:firstColumn="1" w:lastColumn="0" w:oddVBand="0" w:evenVBand="0" w:oddHBand="0" w:evenHBand="0" w:firstRowFirstColumn="0" w:firstRowLastColumn="0" w:lastRowFirstColumn="0" w:lastRowLastColumn="0"/>
            <w:tcW w:w="4608" w:type="dxa"/>
            <w:tcBorders>
              <w:left w:val="single" w:sz="4" w:space="0" w:color="auto"/>
              <w:bottom w:val="single" w:sz="4" w:space="0" w:color="auto"/>
              <w:right w:val="single" w:sz="4" w:space="0" w:color="auto"/>
            </w:tcBorders>
          </w:tcPr>
          <w:p w14:paraId="1360CEAB" w14:textId="77777777" w:rsidR="00A13702" w:rsidRPr="007E02A3" w:rsidRDefault="005F3D81" w:rsidP="001D78BB">
            <w:pPr>
              <w:outlineLvl w:val="4"/>
              <w:rPr>
                <w:bCs/>
              </w:rPr>
            </w:pPr>
            <w:r>
              <w:t>EPA Sustainable Marketplace:  Greener Products and Services</w:t>
            </w:r>
          </w:p>
        </w:tc>
        <w:tc>
          <w:tcPr>
            <w:tcW w:w="5497" w:type="dxa"/>
            <w:tcBorders>
              <w:top w:val="nil"/>
              <w:left w:val="single" w:sz="4" w:space="0" w:color="auto"/>
              <w:bottom w:val="single" w:sz="4" w:space="0" w:color="auto"/>
              <w:right w:val="single" w:sz="4" w:space="0" w:color="auto"/>
            </w:tcBorders>
          </w:tcPr>
          <w:p w14:paraId="03E52BA0" w14:textId="77777777" w:rsidR="00A13702" w:rsidRDefault="00573E15" w:rsidP="001D78BB">
            <w:pPr>
              <w:outlineLvl w:val="4"/>
              <w:cnfStyle w:val="000000000000" w:firstRow="0" w:lastRow="0" w:firstColumn="0" w:lastColumn="0" w:oddVBand="0" w:evenVBand="0" w:oddHBand="0" w:evenHBand="0" w:firstRowFirstColumn="0" w:firstRowLastColumn="0" w:lastRowFirstColumn="0" w:lastRowLastColumn="0"/>
            </w:pPr>
            <w:hyperlink r:id="rId35" w:history="1">
              <w:r w:rsidR="00947BDD" w:rsidRPr="00403DA7">
                <w:rPr>
                  <w:rStyle w:val="Hyperlink"/>
                </w:rPr>
                <w:t>https://www.epa.gov/greenerproducts</w:t>
              </w:r>
            </w:hyperlink>
          </w:p>
          <w:p w14:paraId="09C740C4" w14:textId="77777777" w:rsidR="00947BDD" w:rsidRPr="00A46165" w:rsidRDefault="00947BDD" w:rsidP="001D78BB">
            <w:pPr>
              <w:outlineLvl w:val="4"/>
              <w:cnfStyle w:val="000000000000" w:firstRow="0" w:lastRow="0" w:firstColumn="0" w:lastColumn="0" w:oddVBand="0" w:evenVBand="0" w:oddHBand="0" w:evenHBand="0" w:firstRowFirstColumn="0" w:firstRowLastColumn="0" w:lastRowFirstColumn="0" w:lastRowLastColumn="0"/>
              <w:rPr>
                <w:bCs/>
              </w:rPr>
            </w:pPr>
          </w:p>
        </w:tc>
      </w:tr>
    </w:tbl>
    <w:p w14:paraId="404E0910" w14:textId="77777777" w:rsidR="006E01C4" w:rsidRPr="000D63F0" w:rsidRDefault="006E01C4" w:rsidP="00523F8D">
      <w:pPr>
        <w:outlineLvl w:val="4"/>
        <w:rPr>
          <w:b/>
          <w:bCs/>
          <w:color w:val="000000" w:themeColor="text1"/>
          <w:sz w:val="10"/>
          <w:szCs w:val="16"/>
        </w:rPr>
      </w:pPr>
    </w:p>
    <w:tbl>
      <w:tblPr>
        <w:tblStyle w:val="MediumList21"/>
        <w:tblW w:w="10105" w:type="dxa"/>
        <w:tblLayout w:type="fixed"/>
        <w:tblCellMar>
          <w:top w:w="58" w:type="dxa"/>
          <w:left w:w="115" w:type="dxa"/>
          <w:bottom w:w="58" w:type="dxa"/>
          <w:right w:w="115" w:type="dxa"/>
        </w:tblCellMar>
        <w:tblLook w:val="04A0" w:firstRow="1" w:lastRow="0" w:firstColumn="1" w:lastColumn="0" w:noHBand="0" w:noVBand="1"/>
      </w:tblPr>
      <w:tblGrid>
        <w:gridCol w:w="4608"/>
        <w:gridCol w:w="5497"/>
      </w:tblGrid>
      <w:tr w:rsidR="00DC1668" w14:paraId="04D6E221" w14:textId="77777777" w:rsidTr="00523F8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05" w:type="dxa"/>
            <w:gridSpan w:val="2"/>
          </w:tcPr>
          <w:p w14:paraId="0CBE8A93" w14:textId="77777777" w:rsidR="00DC1668" w:rsidRPr="009D5651" w:rsidRDefault="00DC1668" w:rsidP="00DC1668">
            <w:pPr>
              <w:pStyle w:val="Heading2"/>
              <w:outlineLvl w:val="1"/>
              <w:rPr>
                <w:b w:val="0"/>
              </w:rPr>
            </w:pPr>
            <w:bookmarkStart w:id="19" w:name="_Toc71186257"/>
            <w:r>
              <w:rPr>
                <w:rFonts w:ascii="Times New Roman" w:hAnsi="Times New Roman" w:cs="Times New Roman"/>
              </w:rPr>
              <w:lastRenderedPageBreak/>
              <w:t>SHOPPING</w:t>
            </w:r>
            <w:bookmarkEnd w:id="19"/>
          </w:p>
        </w:tc>
      </w:tr>
      <w:tr w:rsidR="00A13702" w14:paraId="4B404230" w14:textId="77777777" w:rsidTr="00523F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8" w:type="dxa"/>
            <w:tcBorders>
              <w:top w:val="single" w:sz="24" w:space="0" w:color="000000" w:themeColor="text1"/>
              <w:left w:val="single" w:sz="4" w:space="0" w:color="auto"/>
            </w:tcBorders>
            <w:shd w:val="clear" w:color="auto" w:fill="BFBFBF" w:themeFill="background1" w:themeFillShade="BF"/>
          </w:tcPr>
          <w:p w14:paraId="42ADAC5C" w14:textId="77777777" w:rsidR="00A13702" w:rsidRPr="00C771FD" w:rsidRDefault="00A13702" w:rsidP="00A13702">
            <w:pPr>
              <w:spacing w:before="100" w:beforeAutospacing="1" w:after="100" w:afterAutospacing="1"/>
              <w:rPr>
                <w:rStyle w:val="red1"/>
                <w:color w:val="auto"/>
              </w:rPr>
            </w:pPr>
            <w:r w:rsidRPr="00C771FD">
              <w:rPr>
                <w:rStyle w:val="red1"/>
                <w:color w:val="auto"/>
              </w:rPr>
              <w:t xml:space="preserve">Ability One Go Green </w:t>
            </w:r>
          </w:p>
        </w:tc>
        <w:tc>
          <w:tcPr>
            <w:tcW w:w="5497" w:type="dxa"/>
          </w:tcPr>
          <w:p w14:paraId="1BBA0AE2" w14:textId="77777777" w:rsidR="00947BDD" w:rsidRPr="00EA49D4" w:rsidRDefault="00573E15" w:rsidP="00947BDD">
            <w:pPr>
              <w:outlineLvl w:val="4"/>
              <w:cnfStyle w:val="000000100000" w:firstRow="0" w:lastRow="0" w:firstColumn="0" w:lastColumn="0" w:oddVBand="0" w:evenVBand="0" w:oddHBand="1" w:evenHBand="0" w:firstRowFirstColumn="0" w:firstRowLastColumn="0" w:lastRowFirstColumn="0" w:lastRowLastColumn="0"/>
              <w:rPr>
                <w:bCs/>
              </w:rPr>
            </w:pPr>
            <w:hyperlink r:id="rId36" w:history="1">
              <w:r w:rsidR="00947BDD" w:rsidRPr="00403DA7">
                <w:rPr>
                  <w:rStyle w:val="Hyperlink"/>
                </w:rPr>
                <w:t>https://www.abilityone.gov/</w:t>
              </w:r>
            </w:hyperlink>
          </w:p>
        </w:tc>
      </w:tr>
      <w:tr w:rsidR="00A13702" w14:paraId="6CD6F507" w14:textId="77777777" w:rsidTr="00523F8D">
        <w:tc>
          <w:tcPr>
            <w:cnfStyle w:val="001000000000" w:firstRow="0" w:lastRow="0" w:firstColumn="1" w:lastColumn="0" w:oddVBand="0" w:evenVBand="0" w:oddHBand="0" w:evenHBand="0" w:firstRowFirstColumn="0" w:firstRowLastColumn="0" w:lastRowFirstColumn="0" w:lastRowLastColumn="0"/>
            <w:tcW w:w="4608" w:type="dxa"/>
            <w:tcBorders>
              <w:left w:val="single" w:sz="4" w:space="0" w:color="auto"/>
            </w:tcBorders>
          </w:tcPr>
          <w:p w14:paraId="7B380D37" w14:textId="77777777" w:rsidR="00A13702" w:rsidRPr="00C771FD" w:rsidRDefault="00A13702" w:rsidP="00A13702">
            <w:pPr>
              <w:spacing w:before="100" w:beforeAutospacing="1" w:after="100" w:afterAutospacing="1"/>
              <w:rPr>
                <w:color w:val="auto"/>
              </w:rPr>
            </w:pPr>
            <w:r w:rsidRPr="00C771FD">
              <w:rPr>
                <w:rStyle w:val="red1"/>
                <w:color w:val="auto"/>
              </w:rPr>
              <w:t xml:space="preserve">General Services Administration (GSA) – GSA Advantage </w:t>
            </w:r>
          </w:p>
        </w:tc>
        <w:tc>
          <w:tcPr>
            <w:tcW w:w="5497" w:type="dxa"/>
          </w:tcPr>
          <w:p w14:paraId="305FF8C2" w14:textId="77777777" w:rsidR="00947BDD" w:rsidRDefault="00573E15" w:rsidP="00947BDD">
            <w:pPr>
              <w:outlineLvl w:val="4"/>
              <w:cnfStyle w:val="000000000000" w:firstRow="0" w:lastRow="0" w:firstColumn="0" w:lastColumn="0" w:oddVBand="0" w:evenVBand="0" w:oddHBand="0" w:evenHBand="0" w:firstRowFirstColumn="0" w:firstRowLastColumn="0" w:lastRowFirstColumn="0" w:lastRowLastColumn="0"/>
              <w:rPr>
                <w:b/>
                <w:bCs/>
              </w:rPr>
            </w:pPr>
            <w:hyperlink r:id="rId37" w:history="1">
              <w:r w:rsidR="00947BDD" w:rsidRPr="00403DA7">
                <w:rPr>
                  <w:rStyle w:val="Hyperlink"/>
                </w:rPr>
                <w:t>https://www.gsaadvantage.gov/advantage/ws/main/start_page</w:t>
              </w:r>
            </w:hyperlink>
          </w:p>
        </w:tc>
      </w:tr>
      <w:tr w:rsidR="00A13702" w14:paraId="2BB86F90" w14:textId="77777777" w:rsidTr="00523F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8" w:type="dxa"/>
            <w:tcBorders>
              <w:left w:val="single" w:sz="4" w:space="0" w:color="auto"/>
            </w:tcBorders>
            <w:shd w:val="clear" w:color="auto" w:fill="BFBFBF" w:themeFill="background1" w:themeFillShade="BF"/>
          </w:tcPr>
          <w:p w14:paraId="0D83037C" w14:textId="77777777" w:rsidR="00A13702" w:rsidRPr="00C771FD" w:rsidRDefault="00A13702" w:rsidP="00A13702">
            <w:pPr>
              <w:spacing w:before="100" w:beforeAutospacing="1" w:after="100" w:afterAutospacing="1"/>
              <w:rPr>
                <w:color w:val="auto"/>
              </w:rPr>
            </w:pPr>
            <w:r w:rsidRPr="00C771FD">
              <w:rPr>
                <w:color w:val="auto"/>
              </w:rPr>
              <w:t xml:space="preserve">Green Depot </w:t>
            </w:r>
          </w:p>
        </w:tc>
        <w:tc>
          <w:tcPr>
            <w:tcW w:w="5497" w:type="dxa"/>
          </w:tcPr>
          <w:p w14:paraId="76295BEC" w14:textId="77777777" w:rsidR="00947BDD" w:rsidRDefault="00573E15" w:rsidP="00947BDD">
            <w:pPr>
              <w:outlineLvl w:val="4"/>
              <w:cnfStyle w:val="000000100000" w:firstRow="0" w:lastRow="0" w:firstColumn="0" w:lastColumn="0" w:oddVBand="0" w:evenVBand="0" w:oddHBand="1" w:evenHBand="0" w:firstRowFirstColumn="0" w:firstRowLastColumn="0" w:lastRowFirstColumn="0" w:lastRowLastColumn="0"/>
              <w:rPr>
                <w:b/>
                <w:bCs/>
              </w:rPr>
            </w:pPr>
            <w:hyperlink r:id="rId38" w:history="1">
              <w:r w:rsidR="00947BDD" w:rsidRPr="00403DA7">
                <w:rPr>
                  <w:rStyle w:val="Hyperlink"/>
                </w:rPr>
                <w:t>https://greendepot.com/</w:t>
              </w:r>
            </w:hyperlink>
          </w:p>
        </w:tc>
      </w:tr>
      <w:tr w:rsidR="00A13702" w14:paraId="1FAEA72B" w14:textId="77777777" w:rsidTr="00523F8D">
        <w:tc>
          <w:tcPr>
            <w:cnfStyle w:val="001000000000" w:firstRow="0" w:lastRow="0" w:firstColumn="1" w:lastColumn="0" w:oddVBand="0" w:evenVBand="0" w:oddHBand="0" w:evenHBand="0" w:firstRowFirstColumn="0" w:firstRowLastColumn="0" w:lastRowFirstColumn="0" w:lastRowLastColumn="0"/>
            <w:tcW w:w="4608" w:type="dxa"/>
            <w:tcBorders>
              <w:left w:val="single" w:sz="4" w:space="0" w:color="auto"/>
            </w:tcBorders>
          </w:tcPr>
          <w:p w14:paraId="5D9CA07B" w14:textId="77777777" w:rsidR="00A13702" w:rsidRPr="00C771FD" w:rsidRDefault="00A13702" w:rsidP="00A13702">
            <w:pPr>
              <w:spacing w:before="100" w:beforeAutospacing="1" w:after="100" w:afterAutospacing="1"/>
              <w:rPr>
                <w:color w:val="auto"/>
              </w:rPr>
            </w:pPr>
            <w:r w:rsidRPr="00C771FD">
              <w:rPr>
                <w:color w:val="auto"/>
              </w:rPr>
              <w:t xml:space="preserve">Green Seal </w:t>
            </w:r>
          </w:p>
        </w:tc>
        <w:tc>
          <w:tcPr>
            <w:tcW w:w="5497" w:type="dxa"/>
          </w:tcPr>
          <w:p w14:paraId="5CC57F39" w14:textId="77777777" w:rsidR="00947BDD" w:rsidRDefault="00573E15" w:rsidP="00947BDD">
            <w:pPr>
              <w:outlineLvl w:val="4"/>
              <w:cnfStyle w:val="000000000000" w:firstRow="0" w:lastRow="0" w:firstColumn="0" w:lastColumn="0" w:oddVBand="0" w:evenVBand="0" w:oddHBand="0" w:evenHBand="0" w:firstRowFirstColumn="0" w:firstRowLastColumn="0" w:lastRowFirstColumn="0" w:lastRowLastColumn="0"/>
              <w:rPr>
                <w:b/>
                <w:bCs/>
              </w:rPr>
            </w:pPr>
            <w:hyperlink r:id="rId39" w:history="1">
              <w:r w:rsidR="00947BDD" w:rsidRPr="00403DA7">
                <w:rPr>
                  <w:rStyle w:val="Hyperlink"/>
                </w:rPr>
                <w:t>https://www.greenseal.org/</w:t>
              </w:r>
            </w:hyperlink>
          </w:p>
        </w:tc>
      </w:tr>
      <w:tr w:rsidR="00A13702" w14:paraId="06AB76E8" w14:textId="77777777" w:rsidTr="00EB7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8" w:type="dxa"/>
            <w:tcBorders>
              <w:left w:val="single" w:sz="4" w:space="0" w:color="auto"/>
              <w:bottom w:val="single" w:sz="4" w:space="0" w:color="auto"/>
            </w:tcBorders>
            <w:shd w:val="clear" w:color="auto" w:fill="BFBFBF" w:themeFill="background1" w:themeFillShade="BF"/>
          </w:tcPr>
          <w:p w14:paraId="0A4FE0F6" w14:textId="77777777" w:rsidR="00A13702" w:rsidRPr="00A37017" w:rsidRDefault="00A13702" w:rsidP="00A13702">
            <w:r>
              <w:t>Stock Room Catalog</w:t>
            </w:r>
          </w:p>
        </w:tc>
        <w:tc>
          <w:tcPr>
            <w:tcW w:w="5497" w:type="dxa"/>
            <w:tcBorders>
              <w:bottom w:val="single" w:sz="4" w:space="0" w:color="auto"/>
            </w:tcBorders>
            <w:shd w:val="clear" w:color="auto" w:fill="BFBFBF" w:themeFill="background1" w:themeFillShade="BF"/>
          </w:tcPr>
          <w:p w14:paraId="3575E3A8" w14:textId="77777777" w:rsidR="00F16102" w:rsidRDefault="00573E15" w:rsidP="00F16102">
            <w:pPr>
              <w:outlineLvl w:val="4"/>
              <w:cnfStyle w:val="000000100000" w:firstRow="0" w:lastRow="0" w:firstColumn="0" w:lastColumn="0" w:oddVBand="0" w:evenVBand="0" w:oddHBand="1" w:evenHBand="0" w:firstRowFirstColumn="0" w:firstRowLastColumn="0" w:lastRowFirstColumn="0" w:lastRowLastColumn="0"/>
              <w:rPr>
                <w:b/>
                <w:bCs/>
              </w:rPr>
            </w:pPr>
            <w:hyperlink r:id="rId40" w:history="1">
              <w:r w:rsidR="00F16102" w:rsidRPr="00403DA7">
                <w:rPr>
                  <w:rStyle w:val="Hyperlink"/>
                </w:rPr>
                <w:t>https://fermi.servicenowservices.com/nav_to.do?uri=%2Fstock_catalog.do</w:t>
              </w:r>
            </w:hyperlink>
          </w:p>
        </w:tc>
      </w:tr>
    </w:tbl>
    <w:p w14:paraId="7AFD51B5" w14:textId="77777777" w:rsidR="00A13702" w:rsidRPr="00E223C6" w:rsidRDefault="00A13702" w:rsidP="00C771FD">
      <w:pPr>
        <w:spacing w:after="144"/>
        <w:outlineLvl w:val="4"/>
        <w:rPr>
          <w:b/>
          <w:bCs/>
          <w:color w:val="000000" w:themeColor="text1"/>
        </w:rPr>
      </w:pPr>
    </w:p>
    <w:sectPr w:rsidR="00A13702" w:rsidRPr="00E223C6" w:rsidSect="005C15FA">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A9A58" w14:textId="77777777" w:rsidR="00573E15" w:rsidRDefault="00573E15" w:rsidP="00CB66DF">
      <w:r>
        <w:separator/>
      </w:r>
    </w:p>
  </w:endnote>
  <w:endnote w:type="continuationSeparator" w:id="0">
    <w:p w14:paraId="7A2DF775" w14:textId="77777777" w:rsidR="00573E15" w:rsidRDefault="00573E15"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D09C7" w14:textId="77777777" w:rsidR="004C1B17" w:rsidRDefault="004C1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B5F9C" w14:textId="77777777" w:rsidR="00055912" w:rsidRDefault="00055912" w:rsidP="004D0103">
    <w:pPr>
      <w:pStyle w:val="Footer"/>
      <w:pBdr>
        <w:top w:val="single" w:sz="6" w:space="0" w:color="auto"/>
      </w:pBdr>
      <w:tabs>
        <w:tab w:val="clear" w:pos="9360"/>
        <w:tab w:val="right" w:pos="9540"/>
      </w:tabs>
      <w:rPr>
        <w:rFonts w:ascii="Palatino" w:hAnsi="Palatino"/>
        <w:sz w:val="18"/>
      </w:rPr>
    </w:pPr>
    <w:r>
      <w:rPr>
        <w:i/>
        <w:sz w:val="18"/>
      </w:rPr>
      <w:t>Fermilab ES&amp;H Manual</w:t>
    </w:r>
    <w:r>
      <w:rPr>
        <w:i/>
        <w:sz w:val="18"/>
      </w:rPr>
      <w:tab/>
    </w:r>
    <w:r>
      <w:rPr>
        <w:i/>
        <w:sz w:val="18"/>
      </w:rPr>
      <w:tab/>
    </w:r>
    <w:r>
      <w:rPr>
        <w:rFonts w:ascii="Palatino" w:hAnsi="Palatino"/>
        <w:sz w:val="18"/>
      </w:rPr>
      <w:t>1100-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2C2947">
      <w:rPr>
        <w:rFonts w:ascii="Palatino" w:hAnsi="Palatino"/>
        <w:noProof/>
        <w:sz w:val="18"/>
      </w:rPr>
      <w:t>7</w:t>
    </w:r>
    <w:r>
      <w:rPr>
        <w:rFonts w:ascii="Palatino" w:hAnsi="Palatino"/>
        <w:sz w:val="18"/>
      </w:rPr>
      <w:fldChar w:fldCharType="end"/>
    </w:r>
  </w:p>
  <w:p w14:paraId="3EEF9A12" w14:textId="4BC7C3DF" w:rsidR="00055912" w:rsidRPr="004D0103" w:rsidRDefault="00055912" w:rsidP="004D0103">
    <w:pPr>
      <w:pStyle w:val="Footer"/>
      <w:pBdr>
        <w:top w:val="single" w:sz="6" w:space="0" w:color="auto"/>
      </w:pBdr>
      <w:tabs>
        <w:tab w:val="clear" w:pos="9360"/>
        <w:tab w:val="right" w:pos="9540"/>
      </w:tabs>
      <w:rPr>
        <w:rStyle w:val="PageNumber"/>
        <w:rFonts w:ascii="Palatino" w:hAnsi="Palatino"/>
      </w:rPr>
    </w:pPr>
    <w:r w:rsidRPr="00EB724B">
      <w:rPr>
        <w:rFonts w:ascii="Palatino" w:hAnsi="Palatino"/>
        <w:i/>
        <w:sz w:val="16"/>
      </w:rPr>
      <w:t>WARNING:</w:t>
    </w:r>
    <w:r w:rsidR="00EB724B" w:rsidRPr="00EB724B">
      <w:rPr>
        <w:rFonts w:ascii="Palatino" w:hAnsi="Palatino"/>
        <w:i/>
        <w:sz w:val="16"/>
      </w:rPr>
      <w:t xml:space="preserve">  </w:t>
    </w:r>
    <w:r w:rsidRPr="00EB724B">
      <w:rPr>
        <w:rFonts w:ascii="Palatino" w:hAnsi="Palatino"/>
        <w:i/>
        <w:sz w:val="16"/>
      </w:rPr>
      <w:t xml:space="preserve">This manual is subject to change.  The current version is maintained on the </w:t>
    </w:r>
    <w:r w:rsidR="00832167">
      <w:rPr>
        <w:rFonts w:ascii="Palatino" w:hAnsi="Palatino"/>
        <w:i/>
        <w:sz w:val="16"/>
      </w:rPr>
      <w:t>ES&amp;H</w:t>
    </w:r>
    <w:r w:rsidRPr="00EB724B">
      <w:rPr>
        <w:rFonts w:ascii="Palatino" w:hAnsi="Palatino"/>
        <w:i/>
        <w:sz w:val="16"/>
      </w:rPr>
      <w:t xml:space="preserve"> Section website.</w:t>
    </w:r>
    <w:r w:rsidRPr="00EB724B">
      <w:rPr>
        <w:rFonts w:ascii="Palatino" w:hAnsi="Palatino"/>
        <w:sz w:val="16"/>
      </w:rPr>
      <w:tab/>
    </w:r>
    <w:r>
      <w:rPr>
        <w:sz w:val="18"/>
        <w:szCs w:val="18"/>
      </w:rPr>
      <w:t xml:space="preserve">Rev. </w:t>
    </w:r>
    <w:r w:rsidR="0085789B">
      <w:rPr>
        <w:sz w:val="18"/>
        <w:szCs w:val="18"/>
      </w:rPr>
      <w:t>0</w:t>
    </w:r>
    <w:r w:rsidR="005C15FA">
      <w:rPr>
        <w:sz w:val="18"/>
        <w:szCs w:val="18"/>
      </w:rPr>
      <w:t>5</w:t>
    </w:r>
    <w:r w:rsidR="0085789B">
      <w:rPr>
        <w:sz w:val="18"/>
        <w:szCs w:val="18"/>
      </w:rPr>
      <w:t>/20</w:t>
    </w:r>
    <w:r w:rsidR="00D965E2">
      <w:rPr>
        <w:sz w:val="18"/>
        <w:szCs w:val="18"/>
      </w:rPr>
      <w:t>2</w:t>
    </w:r>
    <w:r w:rsidR="0085789B">
      <w:rPr>
        <w:sz w:val="18"/>
        <w:szCs w:val="18"/>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911A6" w14:textId="77777777" w:rsidR="004C1B17" w:rsidRDefault="004C1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58EB7" w14:textId="77777777" w:rsidR="00573E15" w:rsidRDefault="00573E15" w:rsidP="00CB66DF">
      <w:r>
        <w:separator/>
      </w:r>
    </w:p>
  </w:footnote>
  <w:footnote w:type="continuationSeparator" w:id="0">
    <w:p w14:paraId="50EB8809" w14:textId="77777777" w:rsidR="00573E15" w:rsidRDefault="00573E15"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34232" w14:textId="77777777" w:rsidR="00832167" w:rsidRDefault="00573E15">
    <w:pPr>
      <w:pStyle w:val="Header"/>
    </w:pPr>
    <w:r>
      <w:rPr>
        <w:noProof/>
      </w:rPr>
      <w:pict w14:anchorId="0EF1B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89.45pt;height:195.75pt;rotation:315;z-index:-251654144;mso-position-horizontal:center;mso-position-horizontal-relative:margin;mso-position-vertical:center;mso-position-vertical-relative:margin" o:allowincell="f" fillcolor="#c00000"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204"/>
      <w:gridCol w:w="2812"/>
    </w:tblGrid>
    <w:tr w:rsidR="00055912" w:rsidRPr="00423E3B" w14:paraId="4C6D3A29" w14:textId="77777777" w:rsidTr="00A90704">
      <w:trPr>
        <w:trHeight w:val="611"/>
      </w:trPr>
      <w:tc>
        <w:tcPr>
          <w:tcW w:w="2676" w:type="dxa"/>
        </w:tcPr>
        <w:p w14:paraId="24B5B9A6" w14:textId="77777777" w:rsidR="00055912" w:rsidRDefault="00055912" w:rsidP="00A90704">
          <w:r w:rsidRPr="00684839">
            <w:rPr>
              <w:noProof/>
            </w:rPr>
            <w:drawing>
              <wp:anchor distT="0" distB="0" distL="114300" distR="114300" simplePos="0" relativeHeight="251658240" behindDoc="0" locked="0" layoutInCell="1" allowOverlap="0" wp14:anchorId="48E33E03" wp14:editId="50CEC1D8">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8" w:type="dxa"/>
          <w:vAlign w:val="center"/>
        </w:tcPr>
        <w:p w14:paraId="6A9FCFAC" w14:textId="77777777" w:rsidR="00055912" w:rsidRDefault="00055912" w:rsidP="00A90704">
          <w:pPr>
            <w:jc w:val="center"/>
          </w:pPr>
          <w:r>
            <w:t>ES&amp;H Manual</w:t>
          </w:r>
        </w:p>
      </w:tc>
      <w:tc>
        <w:tcPr>
          <w:tcW w:w="2886" w:type="dxa"/>
          <w:vAlign w:val="center"/>
        </w:tcPr>
        <w:p w14:paraId="0FEEE66F" w14:textId="77777777" w:rsidR="00055912" w:rsidRPr="00423E3B" w:rsidRDefault="00055912" w:rsidP="00A90704">
          <w:pPr>
            <w:jc w:val="center"/>
          </w:pPr>
          <w:r>
            <w:t>FESHM 1100</w:t>
          </w:r>
        </w:p>
        <w:p w14:paraId="5B0AE7D8" w14:textId="6907172C" w:rsidR="00055912" w:rsidRPr="00423E3B" w:rsidRDefault="00D965E2" w:rsidP="00A90704">
          <w:pPr>
            <w:jc w:val="center"/>
          </w:pPr>
          <w:r>
            <w:t>Ma</w:t>
          </w:r>
          <w:r w:rsidR="005C15FA">
            <w:t>y</w:t>
          </w:r>
          <w:r w:rsidR="004C1B17">
            <w:t xml:space="preserve"> </w:t>
          </w:r>
          <w:bookmarkStart w:id="0" w:name="_GoBack"/>
          <w:bookmarkEnd w:id="0"/>
          <w:r>
            <w:t>2021</w:t>
          </w:r>
        </w:p>
      </w:tc>
    </w:tr>
  </w:tbl>
  <w:p w14:paraId="155D17EE" w14:textId="0D33D592" w:rsidR="00055912" w:rsidRDefault="00055912"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23BD3" w14:textId="77777777" w:rsidR="004C1B17" w:rsidRDefault="004C1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7375D7"/>
    <w:multiLevelType w:val="hybridMultilevel"/>
    <w:tmpl w:val="032C054C"/>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20704"/>
    <w:multiLevelType w:val="hybridMultilevel"/>
    <w:tmpl w:val="94C848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E6318B2"/>
    <w:multiLevelType w:val="hybridMultilevel"/>
    <w:tmpl w:val="73DE7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012D9"/>
    <w:multiLevelType w:val="multilevel"/>
    <w:tmpl w:val="0730154A"/>
    <w:lvl w:ilvl="0">
      <w:start w:val="1"/>
      <w:numFmt w:val="decimal"/>
      <w:pStyle w:val="Heading1"/>
      <w:lvlText w:val="%1.0"/>
      <w:lvlJc w:val="left"/>
      <w:pPr>
        <w:ind w:left="72" w:hanging="72"/>
      </w:pPr>
      <w:rPr>
        <w:rFonts w:ascii="Times New Roman Bold" w:hAnsi="Times New Roman Bold" w:hint="default"/>
        <w:b/>
        <w:i w:val="0"/>
        <w:sz w:val="28"/>
      </w:rPr>
    </w:lvl>
    <w:lvl w:ilvl="1">
      <w:start w:val="1"/>
      <w:numFmt w:val="decimal"/>
      <w:pStyle w:val="Heading2"/>
      <w:lvlText w:val="%1.%2"/>
      <w:lvlJc w:val="left"/>
      <w:pPr>
        <w:tabs>
          <w:tab w:val="num" w:pos="864"/>
        </w:tabs>
        <w:ind w:left="86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8"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9"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9E14F57"/>
    <w:multiLevelType w:val="hybridMultilevel"/>
    <w:tmpl w:val="20000612"/>
    <w:lvl w:ilvl="0" w:tplc="04090015">
      <w:start w:val="1"/>
      <w:numFmt w:val="upperLetter"/>
      <w:lvlText w:val="%1."/>
      <w:lvlJc w:val="left"/>
      <w:pPr>
        <w:ind w:left="720" w:hanging="360"/>
      </w:pPr>
    </w:lvl>
    <w:lvl w:ilvl="1" w:tplc="5D30695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3A3AB1"/>
    <w:multiLevelType w:val="hybridMultilevel"/>
    <w:tmpl w:val="2E4A42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3760D2"/>
    <w:multiLevelType w:val="hybridMultilevel"/>
    <w:tmpl w:val="3BFC7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4" w15:restartNumberingAfterBreak="0">
    <w:nsid w:val="6EF91D52"/>
    <w:multiLevelType w:val="hybridMultilevel"/>
    <w:tmpl w:val="F7F8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057BD3"/>
    <w:multiLevelType w:val="hybridMultilevel"/>
    <w:tmpl w:val="9D788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7"/>
  </w:num>
  <w:num w:numId="4">
    <w:abstractNumId w:val="4"/>
  </w:num>
  <w:num w:numId="5">
    <w:abstractNumId w:val="9"/>
  </w:num>
  <w:num w:numId="6">
    <w:abstractNumId w:val="1"/>
  </w:num>
  <w:num w:numId="7">
    <w:abstractNumId w:val="0"/>
  </w:num>
  <w:num w:numId="8">
    <w:abstractNumId w:val="6"/>
  </w:num>
  <w:num w:numId="9">
    <w:abstractNumId w:val="14"/>
  </w:num>
  <w:num w:numId="10">
    <w:abstractNumId w:val="15"/>
  </w:num>
  <w:num w:numId="11">
    <w:abstractNumId w:val="5"/>
  </w:num>
  <w:num w:numId="12">
    <w:abstractNumId w:val="11"/>
  </w:num>
  <w:num w:numId="13">
    <w:abstractNumId w:val="3"/>
  </w:num>
  <w:num w:numId="14">
    <w:abstractNumId w:val="12"/>
  </w:num>
  <w:num w:numId="15">
    <w:abstractNumId w:val="10"/>
  </w:num>
  <w:num w:numId="1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style="mso-wrap-style:none;mso-position-vertical-relative:line" fillcolor="yellow">
      <v:fill color="yellow"/>
      <v:textbox style="mso-fit-shape-to-text: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44A6"/>
    <w:rsid w:val="00055912"/>
    <w:rsid w:val="00056DB6"/>
    <w:rsid w:val="000578BB"/>
    <w:rsid w:val="00060903"/>
    <w:rsid w:val="00061473"/>
    <w:rsid w:val="000629F3"/>
    <w:rsid w:val="00063F1F"/>
    <w:rsid w:val="00065AC6"/>
    <w:rsid w:val="00071B76"/>
    <w:rsid w:val="00071D86"/>
    <w:rsid w:val="000753FB"/>
    <w:rsid w:val="00075DC8"/>
    <w:rsid w:val="00077A12"/>
    <w:rsid w:val="00077CC7"/>
    <w:rsid w:val="0008004A"/>
    <w:rsid w:val="0008360F"/>
    <w:rsid w:val="000843FD"/>
    <w:rsid w:val="00084E8E"/>
    <w:rsid w:val="00087098"/>
    <w:rsid w:val="00087650"/>
    <w:rsid w:val="000903AC"/>
    <w:rsid w:val="0009048F"/>
    <w:rsid w:val="00092162"/>
    <w:rsid w:val="00092598"/>
    <w:rsid w:val="0009599A"/>
    <w:rsid w:val="00095A16"/>
    <w:rsid w:val="00096281"/>
    <w:rsid w:val="000967BA"/>
    <w:rsid w:val="000A3E0D"/>
    <w:rsid w:val="000A425D"/>
    <w:rsid w:val="000A5E66"/>
    <w:rsid w:val="000B0E2E"/>
    <w:rsid w:val="000B1B47"/>
    <w:rsid w:val="000B6364"/>
    <w:rsid w:val="000B6567"/>
    <w:rsid w:val="000B6B6E"/>
    <w:rsid w:val="000C0F6D"/>
    <w:rsid w:val="000C4FB0"/>
    <w:rsid w:val="000C5636"/>
    <w:rsid w:val="000C6331"/>
    <w:rsid w:val="000C71AD"/>
    <w:rsid w:val="000C7994"/>
    <w:rsid w:val="000D046F"/>
    <w:rsid w:val="000D19A3"/>
    <w:rsid w:val="000D30D7"/>
    <w:rsid w:val="000D4910"/>
    <w:rsid w:val="000D63F0"/>
    <w:rsid w:val="000D7FF2"/>
    <w:rsid w:val="000E2AF0"/>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4813"/>
    <w:rsid w:val="00130521"/>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38A8"/>
    <w:rsid w:val="001671F2"/>
    <w:rsid w:val="001675C4"/>
    <w:rsid w:val="00167EFC"/>
    <w:rsid w:val="001727E1"/>
    <w:rsid w:val="00173293"/>
    <w:rsid w:val="00175BCA"/>
    <w:rsid w:val="00177097"/>
    <w:rsid w:val="00177CD0"/>
    <w:rsid w:val="00180D9E"/>
    <w:rsid w:val="00181736"/>
    <w:rsid w:val="00181C2B"/>
    <w:rsid w:val="00182587"/>
    <w:rsid w:val="00183B6F"/>
    <w:rsid w:val="00187F2A"/>
    <w:rsid w:val="0019249C"/>
    <w:rsid w:val="00192D5D"/>
    <w:rsid w:val="00194594"/>
    <w:rsid w:val="001951AE"/>
    <w:rsid w:val="001957B7"/>
    <w:rsid w:val="00195AF3"/>
    <w:rsid w:val="00196CE0"/>
    <w:rsid w:val="001A2707"/>
    <w:rsid w:val="001A2CF3"/>
    <w:rsid w:val="001A2D45"/>
    <w:rsid w:val="001A3403"/>
    <w:rsid w:val="001A74A8"/>
    <w:rsid w:val="001B33CF"/>
    <w:rsid w:val="001B5668"/>
    <w:rsid w:val="001B623B"/>
    <w:rsid w:val="001B6A20"/>
    <w:rsid w:val="001C167C"/>
    <w:rsid w:val="001D4317"/>
    <w:rsid w:val="001D435E"/>
    <w:rsid w:val="001D7801"/>
    <w:rsid w:val="001D78BB"/>
    <w:rsid w:val="001E20EF"/>
    <w:rsid w:val="001E3FC1"/>
    <w:rsid w:val="001E4839"/>
    <w:rsid w:val="001E4A8A"/>
    <w:rsid w:val="001E7609"/>
    <w:rsid w:val="001F0772"/>
    <w:rsid w:val="001F1994"/>
    <w:rsid w:val="001F1FA5"/>
    <w:rsid w:val="001F36C2"/>
    <w:rsid w:val="001F38CB"/>
    <w:rsid w:val="001F3CEC"/>
    <w:rsid w:val="001F6F81"/>
    <w:rsid w:val="002024AE"/>
    <w:rsid w:val="002028EB"/>
    <w:rsid w:val="00203E01"/>
    <w:rsid w:val="002070AE"/>
    <w:rsid w:val="002078BB"/>
    <w:rsid w:val="00207EAC"/>
    <w:rsid w:val="00210CB6"/>
    <w:rsid w:val="002149DE"/>
    <w:rsid w:val="0022039C"/>
    <w:rsid w:val="00221181"/>
    <w:rsid w:val="00224423"/>
    <w:rsid w:val="00230C9C"/>
    <w:rsid w:val="00231245"/>
    <w:rsid w:val="00237834"/>
    <w:rsid w:val="00240A0C"/>
    <w:rsid w:val="00241C70"/>
    <w:rsid w:val="002423A5"/>
    <w:rsid w:val="002441F5"/>
    <w:rsid w:val="0024447E"/>
    <w:rsid w:val="00244E31"/>
    <w:rsid w:val="002452C2"/>
    <w:rsid w:val="002537CB"/>
    <w:rsid w:val="00256813"/>
    <w:rsid w:val="00257F0B"/>
    <w:rsid w:val="00263F3B"/>
    <w:rsid w:val="00265ED9"/>
    <w:rsid w:val="00266C7B"/>
    <w:rsid w:val="00267A46"/>
    <w:rsid w:val="0027397C"/>
    <w:rsid w:val="0027613C"/>
    <w:rsid w:val="00276AB1"/>
    <w:rsid w:val="0028562B"/>
    <w:rsid w:val="00285A6D"/>
    <w:rsid w:val="00285CFC"/>
    <w:rsid w:val="002900AF"/>
    <w:rsid w:val="00290514"/>
    <w:rsid w:val="00295187"/>
    <w:rsid w:val="00295D6F"/>
    <w:rsid w:val="0029668C"/>
    <w:rsid w:val="002A6EDC"/>
    <w:rsid w:val="002A71D3"/>
    <w:rsid w:val="002B0B0A"/>
    <w:rsid w:val="002B107E"/>
    <w:rsid w:val="002B2D45"/>
    <w:rsid w:val="002B4274"/>
    <w:rsid w:val="002B5B37"/>
    <w:rsid w:val="002C2947"/>
    <w:rsid w:val="002C2CF5"/>
    <w:rsid w:val="002D175B"/>
    <w:rsid w:val="002D19E5"/>
    <w:rsid w:val="002D1F85"/>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6595"/>
    <w:rsid w:val="00302F65"/>
    <w:rsid w:val="003048EB"/>
    <w:rsid w:val="003064C6"/>
    <w:rsid w:val="003108FF"/>
    <w:rsid w:val="003129BC"/>
    <w:rsid w:val="00320751"/>
    <w:rsid w:val="00320BE0"/>
    <w:rsid w:val="00321CC4"/>
    <w:rsid w:val="00324707"/>
    <w:rsid w:val="003314AE"/>
    <w:rsid w:val="00331B7E"/>
    <w:rsid w:val="00332CE2"/>
    <w:rsid w:val="00333547"/>
    <w:rsid w:val="0033452E"/>
    <w:rsid w:val="00334D1F"/>
    <w:rsid w:val="00336470"/>
    <w:rsid w:val="00337B75"/>
    <w:rsid w:val="00340E2F"/>
    <w:rsid w:val="003413F8"/>
    <w:rsid w:val="00341753"/>
    <w:rsid w:val="00342FDF"/>
    <w:rsid w:val="003447F8"/>
    <w:rsid w:val="0034499D"/>
    <w:rsid w:val="003477BB"/>
    <w:rsid w:val="00352848"/>
    <w:rsid w:val="003559A3"/>
    <w:rsid w:val="00355F6A"/>
    <w:rsid w:val="00361AC4"/>
    <w:rsid w:val="00365CB6"/>
    <w:rsid w:val="00366ED2"/>
    <w:rsid w:val="0036718E"/>
    <w:rsid w:val="00370122"/>
    <w:rsid w:val="00371A11"/>
    <w:rsid w:val="00373B2D"/>
    <w:rsid w:val="00375FF1"/>
    <w:rsid w:val="00380ED8"/>
    <w:rsid w:val="00384B57"/>
    <w:rsid w:val="00385246"/>
    <w:rsid w:val="00385787"/>
    <w:rsid w:val="0039062C"/>
    <w:rsid w:val="00391326"/>
    <w:rsid w:val="003913FD"/>
    <w:rsid w:val="00394948"/>
    <w:rsid w:val="00394C03"/>
    <w:rsid w:val="00397D7C"/>
    <w:rsid w:val="003A1A12"/>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E0245"/>
    <w:rsid w:val="003E2680"/>
    <w:rsid w:val="003E2A77"/>
    <w:rsid w:val="003E2CCD"/>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53EE"/>
    <w:rsid w:val="0042555C"/>
    <w:rsid w:val="00425717"/>
    <w:rsid w:val="0042586B"/>
    <w:rsid w:val="00430A76"/>
    <w:rsid w:val="00430F28"/>
    <w:rsid w:val="004337EC"/>
    <w:rsid w:val="0043512A"/>
    <w:rsid w:val="00436D22"/>
    <w:rsid w:val="00437B3E"/>
    <w:rsid w:val="00443162"/>
    <w:rsid w:val="004509BD"/>
    <w:rsid w:val="00450E63"/>
    <w:rsid w:val="00451757"/>
    <w:rsid w:val="00451BA9"/>
    <w:rsid w:val="004534A4"/>
    <w:rsid w:val="00454ED4"/>
    <w:rsid w:val="00456364"/>
    <w:rsid w:val="00456B16"/>
    <w:rsid w:val="00460BB2"/>
    <w:rsid w:val="00463335"/>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2BF5"/>
    <w:rsid w:val="00494DE2"/>
    <w:rsid w:val="00494EF9"/>
    <w:rsid w:val="00496229"/>
    <w:rsid w:val="00496595"/>
    <w:rsid w:val="004979D8"/>
    <w:rsid w:val="004A31B8"/>
    <w:rsid w:val="004A6C6B"/>
    <w:rsid w:val="004A6E56"/>
    <w:rsid w:val="004B077E"/>
    <w:rsid w:val="004B078A"/>
    <w:rsid w:val="004B1826"/>
    <w:rsid w:val="004B25B5"/>
    <w:rsid w:val="004B4172"/>
    <w:rsid w:val="004C1B17"/>
    <w:rsid w:val="004C3431"/>
    <w:rsid w:val="004C3C32"/>
    <w:rsid w:val="004C70CE"/>
    <w:rsid w:val="004D0103"/>
    <w:rsid w:val="004D0ADB"/>
    <w:rsid w:val="004E061F"/>
    <w:rsid w:val="004E0DEC"/>
    <w:rsid w:val="004E39E4"/>
    <w:rsid w:val="004E3FFF"/>
    <w:rsid w:val="004E4E33"/>
    <w:rsid w:val="004E561F"/>
    <w:rsid w:val="004E707D"/>
    <w:rsid w:val="004E767D"/>
    <w:rsid w:val="004F080F"/>
    <w:rsid w:val="004F0A28"/>
    <w:rsid w:val="004F254C"/>
    <w:rsid w:val="004F26A5"/>
    <w:rsid w:val="004F4540"/>
    <w:rsid w:val="004F69E5"/>
    <w:rsid w:val="005006F2"/>
    <w:rsid w:val="00500D7F"/>
    <w:rsid w:val="0050301A"/>
    <w:rsid w:val="0050529C"/>
    <w:rsid w:val="00507CCC"/>
    <w:rsid w:val="00510511"/>
    <w:rsid w:val="00514461"/>
    <w:rsid w:val="00515CD8"/>
    <w:rsid w:val="00520642"/>
    <w:rsid w:val="00523F8D"/>
    <w:rsid w:val="005248D9"/>
    <w:rsid w:val="00525ABA"/>
    <w:rsid w:val="00531918"/>
    <w:rsid w:val="00533AE2"/>
    <w:rsid w:val="00535396"/>
    <w:rsid w:val="00535BA0"/>
    <w:rsid w:val="00537EF1"/>
    <w:rsid w:val="0054060D"/>
    <w:rsid w:val="00540D1C"/>
    <w:rsid w:val="00541AB8"/>
    <w:rsid w:val="00541B15"/>
    <w:rsid w:val="0054296B"/>
    <w:rsid w:val="005444B9"/>
    <w:rsid w:val="00544901"/>
    <w:rsid w:val="00545A8B"/>
    <w:rsid w:val="00550959"/>
    <w:rsid w:val="005516FE"/>
    <w:rsid w:val="00551F17"/>
    <w:rsid w:val="00554664"/>
    <w:rsid w:val="00554D50"/>
    <w:rsid w:val="005561CE"/>
    <w:rsid w:val="00556C8F"/>
    <w:rsid w:val="00557D8C"/>
    <w:rsid w:val="00561E3D"/>
    <w:rsid w:val="0056397B"/>
    <w:rsid w:val="0056700E"/>
    <w:rsid w:val="00567C3E"/>
    <w:rsid w:val="0057080E"/>
    <w:rsid w:val="00570923"/>
    <w:rsid w:val="00573E15"/>
    <w:rsid w:val="005753AB"/>
    <w:rsid w:val="00576174"/>
    <w:rsid w:val="005766C2"/>
    <w:rsid w:val="00580564"/>
    <w:rsid w:val="0058188E"/>
    <w:rsid w:val="0058507D"/>
    <w:rsid w:val="00587C3E"/>
    <w:rsid w:val="005955E8"/>
    <w:rsid w:val="00595CE5"/>
    <w:rsid w:val="00596198"/>
    <w:rsid w:val="0059720F"/>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C1138"/>
    <w:rsid w:val="005C15FA"/>
    <w:rsid w:val="005C1721"/>
    <w:rsid w:val="005C3DE2"/>
    <w:rsid w:val="005C422D"/>
    <w:rsid w:val="005C68FC"/>
    <w:rsid w:val="005D3690"/>
    <w:rsid w:val="005D3861"/>
    <w:rsid w:val="005D395D"/>
    <w:rsid w:val="005D3EA6"/>
    <w:rsid w:val="005D488C"/>
    <w:rsid w:val="005D4CF2"/>
    <w:rsid w:val="005D5059"/>
    <w:rsid w:val="005D5670"/>
    <w:rsid w:val="005D6697"/>
    <w:rsid w:val="005D7054"/>
    <w:rsid w:val="005D7FB0"/>
    <w:rsid w:val="005E17F9"/>
    <w:rsid w:val="005E2756"/>
    <w:rsid w:val="005E35C3"/>
    <w:rsid w:val="005E36E1"/>
    <w:rsid w:val="005E3EF2"/>
    <w:rsid w:val="005E54C9"/>
    <w:rsid w:val="005E55D1"/>
    <w:rsid w:val="005E6896"/>
    <w:rsid w:val="005F0345"/>
    <w:rsid w:val="005F3D81"/>
    <w:rsid w:val="005F3DAF"/>
    <w:rsid w:val="005F421A"/>
    <w:rsid w:val="00600FCE"/>
    <w:rsid w:val="006078FB"/>
    <w:rsid w:val="00610220"/>
    <w:rsid w:val="006104CF"/>
    <w:rsid w:val="00612F85"/>
    <w:rsid w:val="006162B3"/>
    <w:rsid w:val="00616CEB"/>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302"/>
    <w:rsid w:val="00657386"/>
    <w:rsid w:val="00660EE5"/>
    <w:rsid w:val="00661088"/>
    <w:rsid w:val="0066123C"/>
    <w:rsid w:val="0066173C"/>
    <w:rsid w:val="00661C2A"/>
    <w:rsid w:val="006630E0"/>
    <w:rsid w:val="006643FE"/>
    <w:rsid w:val="00664E5B"/>
    <w:rsid w:val="00666919"/>
    <w:rsid w:val="00672E7C"/>
    <w:rsid w:val="00675D60"/>
    <w:rsid w:val="00677CDB"/>
    <w:rsid w:val="00687887"/>
    <w:rsid w:val="00692AB4"/>
    <w:rsid w:val="0069414A"/>
    <w:rsid w:val="006A4814"/>
    <w:rsid w:val="006A7918"/>
    <w:rsid w:val="006B037A"/>
    <w:rsid w:val="006B06BF"/>
    <w:rsid w:val="006B1391"/>
    <w:rsid w:val="006B6510"/>
    <w:rsid w:val="006C1FFA"/>
    <w:rsid w:val="006C29EA"/>
    <w:rsid w:val="006C4812"/>
    <w:rsid w:val="006C607F"/>
    <w:rsid w:val="006C7429"/>
    <w:rsid w:val="006D0A0A"/>
    <w:rsid w:val="006D21C5"/>
    <w:rsid w:val="006D49B3"/>
    <w:rsid w:val="006D68A2"/>
    <w:rsid w:val="006E01C4"/>
    <w:rsid w:val="006E1CA8"/>
    <w:rsid w:val="006E6054"/>
    <w:rsid w:val="006E6B33"/>
    <w:rsid w:val="006E7F4F"/>
    <w:rsid w:val="006F1673"/>
    <w:rsid w:val="006F7496"/>
    <w:rsid w:val="00700ECB"/>
    <w:rsid w:val="007109F4"/>
    <w:rsid w:val="00713C77"/>
    <w:rsid w:val="00716B09"/>
    <w:rsid w:val="00721E35"/>
    <w:rsid w:val="00722A85"/>
    <w:rsid w:val="007254D8"/>
    <w:rsid w:val="007271A3"/>
    <w:rsid w:val="00735190"/>
    <w:rsid w:val="00735B88"/>
    <w:rsid w:val="007379E1"/>
    <w:rsid w:val="00742C58"/>
    <w:rsid w:val="00743FAE"/>
    <w:rsid w:val="00746A06"/>
    <w:rsid w:val="00747685"/>
    <w:rsid w:val="00747CA7"/>
    <w:rsid w:val="007509AD"/>
    <w:rsid w:val="007517A1"/>
    <w:rsid w:val="00754D91"/>
    <w:rsid w:val="007637C5"/>
    <w:rsid w:val="00764DC9"/>
    <w:rsid w:val="00765DBA"/>
    <w:rsid w:val="00774629"/>
    <w:rsid w:val="00774C8F"/>
    <w:rsid w:val="007774FE"/>
    <w:rsid w:val="0078282A"/>
    <w:rsid w:val="007852F2"/>
    <w:rsid w:val="007869EB"/>
    <w:rsid w:val="00790515"/>
    <w:rsid w:val="00790CBC"/>
    <w:rsid w:val="00790EC3"/>
    <w:rsid w:val="00790FD8"/>
    <w:rsid w:val="00791740"/>
    <w:rsid w:val="0079178C"/>
    <w:rsid w:val="00792643"/>
    <w:rsid w:val="00794290"/>
    <w:rsid w:val="00794AED"/>
    <w:rsid w:val="00797DD5"/>
    <w:rsid w:val="007A03C8"/>
    <w:rsid w:val="007A33A6"/>
    <w:rsid w:val="007A6E0B"/>
    <w:rsid w:val="007B01C7"/>
    <w:rsid w:val="007B24E2"/>
    <w:rsid w:val="007B2A87"/>
    <w:rsid w:val="007B35C2"/>
    <w:rsid w:val="007B5C03"/>
    <w:rsid w:val="007C1F6E"/>
    <w:rsid w:val="007C6A2B"/>
    <w:rsid w:val="007D5A75"/>
    <w:rsid w:val="007E0D20"/>
    <w:rsid w:val="007E1C72"/>
    <w:rsid w:val="007E260E"/>
    <w:rsid w:val="007E26F1"/>
    <w:rsid w:val="007E5BBC"/>
    <w:rsid w:val="007E762A"/>
    <w:rsid w:val="007F17C4"/>
    <w:rsid w:val="007F4C3F"/>
    <w:rsid w:val="007F5BBF"/>
    <w:rsid w:val="007F7893"/>
    <w:rsid w:val="00803189"/>
    <w:rsid w:val="00806FA9"/>
    <w:rsid w:val="00813B48"/>
    <w:rsid w:val="00813D39"/>
    <w:rsid w:val="0081475A"/>
    <w:rsid w:val="00815C67"/>
    <w:rsid w:val="00821410"/>
    <w:rsid w:val="00821BF0"/>
    <w:rsid w:val="0082309B"/>
    <w:rsid w:val="00824455"/>
    <w:rsid w:val="0082513A"/>
    <w:rsid w:val="0082691A"/>
    <w:rsid w:val="00827867"/>
    <w:rsid w:val="00832167"/>
    <w:rsid w:val="00832CEC"/>
    <w:rsid w:val="0083350A"/>
    <w:rsid w:val="008349D8"/>
    <w:rsid w:val="008370AE"/>
    <w:rsid w:val="00841C86"/>
    <w:rsid w:val="008445CC"/>
    <w:rsid w:val="008456C3"/>
    <w:rsid w:val="008462A2"/>
    <w:rsid w:val="008469D0"/>
    <w:rsid w:val="00851803"/>
    <w:rsid w:val="00852E46"/>
    <w:rsid w:val="008532CC"/>
    <w:rsid w:val="008564AB"/>
    <w:rsid w:val="0085789B"/>
    <w:rsid w:val="008620B7"/>
    <w:rsid w:val="00862A32"/>
    <w:rsid w:val="00862B4F"/>
    <w:rsid w:val="008636A4"/>
    <w:rsid w:val="00863AA2"/>
    <w:rsid w:val="008648A9"/>
    <w:rsid w:val="00866DC4"/>
    <w:rsid w:val="00871823"/>
    <w:rsid w:val="008728F9"/>
    <w:rsid w:val="008729A4"/>
    <w:rsid w:val="0087342B"/>
    <w:rsid w:val="00873FC9"/>
    <w:rsid w:val="008768A4"/>
    <w:rsid w:val="008844F1"/>
    <w:rsid w:val="00884552"/>
    <w:rsid w:val="008858C7"/>
    <w:rsid w:val="00892A5D"/>
    <w:rsid w:val="00893ACF"/>
    <w:rsid w:val="008A2DD0"/>
    <w:rsid w:val="008A31DC"/>
    <w:rsid w:val="008A52FB"/>
    <w:rsid w:val="008A7D0C"/>
    <w:rsid w:val="008B13E7"/>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1185"/>
    <w:rsid w:val="009019DC"/>
    <w:rsid w:val="00905E67"/>
    <w:rsid w:val="009062A9"/>
    <w:rsid w:val="00906E7C"/>
    <w:rsid w:val="00911216"/>
    <w:rsid w:val="00912006"/>
    <w:rsid w:val="009121E5"/>
    <w:rsid w:val="00912F61"/>
    <w:rsid w:val="00915676"/>
    <w:rsid w:val="00920AAC"/>
    <w:rsid w:val="0092515C"/>
    <w:rsid w:val="009272B7"/>
    <w:rsid w:val="00930E9D"/>
    <w:rsid w:val="00931484"/>
    <w:rsid w:val="009349E5"/>
    <w:rsid w:val="00934BEC"/>
    <w:rsid w:val="00936142"/>
    <w:rsid w:val="00936BFE"/>
    <w:rsid w:val="0094044D"/>
    <w:rsid w:val="00941B62"/>
    <w:rsid w:val="00943CD3"/>
    <w:rsid w:val="009462A5"/>
    <w:rsid w:val="00947BDD"/>
    <w:rsid w:val="009533AB"/>
    <w:rsid w:val="009571BC"/>
    <w:rsid w:val="0096026A"/>
    <w:rsid w:val="00962080"/>
    <w:rsid w:val="00962A57"/>
    <w:rsid w:val="00963616"/>
    <w:rsid w:val="00965807"/>
    <w:rsid w:val="009667C3"/>
    <w:rsid w:val="009676A5"/>
    <w:rsid w:val="009702F3"/>
    <w:rsid w:val="00974519"/>
    <w:rsid w:val="00975A9E"/>
    <w:rsid w:val="009803D2"/>
    <w:rsid w:val="00981885"/>
    <w:rsid w:val="00983586"/>
    <w:rsid w:val="00985D47"/>
    <w:rsid w:val="00991E3B"/>
    <w:rsid w:val="009960EB"/>
    <w:rsid w:val="00996411"/>
    <w:rsid w:val="009A16C3"/>
    <w:rsid w:val="009A1798"/>
    <w:rsid w:val="009A19F9"/>
    <w:rsid w:val="009A2BC3"/>
    <w:rsid w:val="009A2DDA"/>
    <w:rsid w:val="009A50E6"/>
    <w:rsid w:val="009A533C"/>
    <w:rsid w:val="009A59F3"/>
    <w:rsid w:val="009A7DC7"/>
    <w:rsid w:val="009B6E93"/>
    <w:rsid w:val="009B7893"/>
    <w:rsid w:val="009C0657"/>
    <w:rsid w:val="009C1E06"/>
    <w:rsid w:val="009D6173"/>
    <w:rsid w:val="009E3E4D"/>
    <w:rsid w:val="009E4086"/>
    <w:rsid w:val="009E4D6D"/>
    <w:rsid w:val="009E5CCE"/>
    <w:rsid w:val="009F01C3"/>
    <w:rsid w:val="009F1C25"/>
    <w:rsid w:val="009F6609"/>
    <w:rsid w:val="009F6853"/>
    <w:rsid w:val="00A00040"/>
    <w:rsid w:val="00A031B0"/>
    <w:rsid w:val="00A03519"/>
    <w:rsid w:val="00A07DD6"/>
    <w:rsid w:val="00A10A70"/>
    <w:rsid w:val="00A110F1"/>
    <w:rsid w:val="00A13702"/>
    <w:rsid w:val="00A14FE3"/>
    <w:rsid w:val="00A17A39"/>
    <w:rsid w:val="00A17AD0"/>
    <w:rsid w:val="00A216A7"/>
    <w:rsid w:val="00A22817"/>
    <w:rsid w:val="00A2408C"/>
    <w:rsid w:val="00A24907"/>
    <w:rsid w:val="00A27ED9"/>
    <w:rsid w:val="00A3104E"/>
    <w:rsid w:val="00A341B7"/>
    <w:rsid w:val="00A4075B"/>
    <w:rsid w:val="00A428EF"/>
    <w:rsid w:val="00A4316F"/>
    <w:rsid w:val="00A4491A"/>
    <w:rsid w:val="00A4679F"/>
    <w:rsid w:val="00A50F2A"/>
    <w:rsid w:val="00A50F36"/>
    <w:rsid w:val="00A524DE"/>
    <w:rsid w:val="00A5262D"/>
    <w:rsid w:val="00A56003"/>
    <w:rsid w:val="00A619B5"/>
    <w:rsid w:val="00A70984"/>
    <w:rsid w:val="00A71082"/>
    <w:rsid w:val="00A77CCE"/>
    <w:rsid w:val="00A805B8"/>
    <w:rsid w:val="00A84E18"/>
    <w:rsid w:val="00A85501"/>
    <w:rsid w:val="00A869F2"/>
    <w:rsid w:val="00A9001C"/>
    <w:rsid w:val="00A90704"/>
    <w:rsid w:val="00A96FFC"/>
    <w:rsid w:val="00A9781C"/>
    <w:rsid w:val="00A97D31"/>
    <w:rsid w:val="00AA2923"/>
    <w:rsid w:val="00AA2936"/>
    <w:rsid w:val="00AA4991"/>
    <w:rsid w:val="00AA5E69"/>
    <w:rsid w:val="00AA7135"/>
    <w:rsid w:val="00AB18EE"/>
    <w:rsid w:val="00AB23E5"/>
    <w:rsid w:val="00AB2B8C"/>
    <w:rsid w:val="00AB4281"/>
    <w:rsid w:val="00AB4D65"/>
    <w:rsid w:val="00AB64E0"/>
    <w:rsid w:val="00AB6725"/>
    <w:rsid w:val="00AB71C1"/>
    <w:rsid w:val="00AC187B"/>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5162"/>
    <w:rsid w:val="00B05624"/>
    <w:rsid w:val="00B05E7F"/>
    <w:rsid w:val="00B061FD"/>
    <w:rsid w:val="00B072B8"/>
    <w:rsid w:val="00B14F1F"/>
    <w:rsid w:val="00B17AC0"/>
    <w:rsid w:val="00B26D1E"/>
    <w:rsid w:val="00B32ABB"/>
    <w:rsid w:val="00B32E1C"/>
    <w:rsid w:val="00B40A00"/>
    <w:rsid w:val="00B43813"/>
    <w:rsid w:val="00B44E0F"/>
    <w:rsid w:val="00B44E2B"/>
    <w:rsid w:val="00B53CB2"/>
    <w:rsid w:val="00B574D0"/>
    <w:rsid w:val="00B57588"/>
    <w:rsid w:val="00B618FA"/>
    <w:rsid w:val="00B61C02"/>
    <w:rsid w:val="00B641B2"/>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A173E"/>
    <w:rsid w:val="00BA19D4"/>
    <w:rsid w:val="00BA4B5A"/>
    <w:rsid w:val="00BA70C1"/>
    <w:rsid w:val="00BB4B88"/>
    <w:rsid w:val="00BB50D0"/>
    <w:rsid w:val="00BB6D37"/>
    <w:rsid w:val="00BC28A6"/>
    <w:rsid w:val="00BC3922"/>
    <w:rsid w:val="00BC3D90"/>
    <w:rsid w:val="00BD056C"/>
    <w:rsid w:val="00BD0818"/>
    <w:rsid w:val="00BD17E2"/>
    <w:rsid w:val="00BD270B"/>
    <w:rsid w:val="00BD577E"/>
    <w:rsid w:val="00BE0B51"/>
    <w:rsid w:val="00BE0C08"/>
    <w:rsid w:val="00BE698E"/>
    <w:rsid w:val="00BF19A0"/>
    <w:rsid w:val="00BF3072"/>
    <w:rsid w:val="00BF4030"/>
    <w:rsid w:val="00BF41F5"/>
    <w:rsid w:val="00BF54F4"/>
    <w:rsid w:val="00C02A84"/>
    <w:rsid w:val="00C02DBE"/>
    <w:rsid w:val="00C02EAF"/>
    <w:rsid w:val="00C035A5"/>
    <w:rsid w:val="00C04011"/>
    <w:rsid w:val="00C05982"/>
    <w:rsid w:val="00C13EEC"/>
    <w:rsid w:val="00C148CE"/>
    <w:rsid w:val="00C16468"/>
    <w:rsid w:val="00C17904"/>
    <w:rsid w:val="00C21783"/>
    <w:rsid w:val="00C23BCB"/>
    <w:rsid w:val="00C23CE8"/>
    <w:rsid w:val="00C263FE"/>
    <w:rsid w:val="00C278EC"/>
    <w:rsid w:val="00C33CAA"/>
    <w:rsid w:val="00C342B4"/>
    <w:rsid w:val="00C34507"/>
    <w:rsid w:val="00C34C1B"/>
    <w:rsid w:val="00C362BD"/>
    <w:rsid w:val="00C36F9E"/>
    <w:rsid w:val="00C42208"/>
    <w:rsid w:val="00C5272C"/>
    <w:rsid w:val="00C52B6D"/>
    <w:rsid w:val="00C52E94"/>
    <w:rsid w:val="00C54343"/>
    <w:rsid w:val="00C54A92"/>
    <w:rsid w:val="00C552C0"/>
    <w:rsid w:val="00C55913"/>
    <w:rsid w:val="00C6359A"/>
    <w:rsid w:val="00C66483"/>
    <w:rsid w:val="00C704B6"/>
    <w:rsid w:val="00C706A1"/>
    <w:rsid w:val="00C71B3D"/>
    <w:rsid w:val="00C73EA3"/>
    <w:rsid w:val="00C771FD"/>
    <w:rsid w:val="00C810D3"/>
    <w:rsid w:val="00C8490B"/>
    <w:rsid w:val="00C925E3"/>
    <w:rsid w:val="00C93B80"/>
    <w:rsid w:val="00C96B5F"/>
    <w:rsid w:val="00CA2691"/>
    <w:rsid w:val="00CA3AD4"/>
    <w:rsid w:val="00CA546A"/>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F001F"/>
    <w:rsid w:val="00D01B68"/>
    <w:rsid w:val="00D01EFC"/>
    <w:rsid w:val="00D02C3C"/>
    <w:rsid w:val="00D03B9F"/>
    <w:rsid w:val="00D0655A"/>
    <w:rsid w:val="00D0747D"/>
    <w:rsid w:val="00D07C9B"/>
    <w:rsid w:val="00D115E0"/>
    <w:rsid w:val="00D116F4"/>
    <w:rsid w:val="00D134D5"/>
    <w:rsid w:val="00D144E4"/>
    <w:rsid w:val="00D170C7"/>
    <w:rsid w:val="00D1799A"/>
    <w:rsid w:val="00D203C9"/>
    <w:rsid w:val="00D2151F"/>
    <w:rsid w:val="00D238C7"/>
    <w:rsid w:val="00D24040"/>
    <w:rsid w:val="00D26582"/>
    <w:rsid w:val="00D26594"/>
    <w:rsid w:val="00D26645"/>
    <w:rsid w:val="00D30623"/>
    <w:rsid w:val="00D31737"/>
    <w:rsid w:val="00D35457"/>
    <w:rsid w:val="00D42337"/>
    <w:rsid w:val="00D435EC"/>
    <w:rsid w:val="00D43617"/>
    <w:rsid w:val="00D43D47"/>
    <w:rsid w:val="00D45211"/>
    <w:rsid w:val="00D5107F"/>
    <w:rsid w:val="00D51ABA"/>
    <w:rsid w:val="00D51EEA"/>
    <w:rsid w:val="00D52AE5"/>
    <w:rsid w:val="00D55528"/>
    <w:rsid w:val="00D55F6E"/>
    <w:rsid w:val="00D56935"/>
    <w:rsid w:val="00D57A2C"/>
    <w:rsid w:val="00D60892"/>
    <w:rsid w:val="00D6371B"/>
    <w:rsid w:val="00D64B0D"/>
    <w:rsid w:val="00D65289"/>
    <w:rsid w:val="00D805D3"/>
    <w:rsid w:val="00D85385"/>
    <w:rsid w:val="00D92045"/>
    <w:rsid w:val="00D929BC"/>
    <w:rsid w:val="00D93737"/>
    <w:rsid w:val="00D965E2"/>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1668"/>
    <w:rsid w:val="00DC289E"/>
    <w:rsid w:val="00DC3A1B"/>
    <w:rsid w:val="00DC635A"/>
    <w:rsid w:val="00DD36A7"/>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1C24"/>
    <w:rsid w:val="00E0475D"/>
    <w:rsid w:val="00E05D95"/>
    <w:rsid w:val="00E07DBF"/>
    <w:rsid w:val="00E100AB"/>
    <w:rsid w:val="00E11876"/>
    <w:rsid w:val="00E126F0"/>
    <w:rsid w:val="00E153DE"/>
    <w:rsid w:val="00E162AC"/>
    <w:rsid w:val="00E208DA"/>
    <w:rsid w:val="00E21A25"/>
    <w:rsid w:val="00E21F92"/>
    <w:rsid w:val="00E229B2"/>
    <w:rsid w:val="00E3113A"/>
    <w:rsid w:val="00E34ECF"/>
    <w:rsid w:val="00E35D43"/>
    <w:rsid w:val="00E35D71"/>
    <w:rsid w:val="00E46554"/>
    <w:rsid w:val="00E46C36"/>
    <w:rsid w:val="00E47427"/>
    <w:rsid w:val="00E47E94"/>
    <w:rsid w:val="00E5651F"/>
    <w:rsid w:val="00E57C3E"/>
    <w:rsid w:val="00E66004"/>
    <w:rsid w:val="00E668BC"/>
    <w:rsid w:val="00E7004C"/>
    <w:rsid w:val="00E70F81"/>
    <w:rsid w:val="00E720D5"/>
    <w:rsid w:val="00E72DD6"/>
    <w:rsid w:val="00E7401A"/>
    <w:rsid w:val="00E76B87"/>
    <w:rsid w:val="00E7783D"/>
    <w:rsid w:val="00E814FF"/>
    <w:rsid w:val="00E86128"/>
    <w:rsid w:val="00E91BA9"/>
    <w:rsid w:val="00EA09FC"/>
    <w:rsid w:val="00EA6DEF"/>
    <w:rsid w:val="00EA7011"/>
    <w:rsid w:val="00EB35DA"/>
    <w:rsid w:val="00EB39F6"/>
    <w:rsid w:val="00EB3C8E"/>
    <w:rsid w:val="00EB6851"/>
    <w:rsid w:val="00EB724B"/>
    <w:rsid w:val="00EC0A59"/>
    <w:rsid w:val="00EC23F0"/>
    <w:rsid w:val="00EC3826"/>
    <w:rsid w:val="00EC5CA2"/>
    <w:rsid w:val="00ED1BA3"/>
    <w:rsid w:val="00EE103C"/>
    <w:rsid w:val="00EE1374"/>
    <w:rsid w:val="00EE1663"/>
    <w:rsid w:val="00EE1FAA"/>
    <w:rsid w:val="00EE2298"/>
    <w:rsid w:val="00EE28AC"/>
    <w:rsid w:val="00EE4743"/>
    <w:rsid w:val="00EE6681"/>
    <w:rsid w:val="00EF0818"/>
    <w:rsid w:val="00EF09A4"/>
    <w:rsid w:val="00EF24C9"/>
    <w:rsid w:val="00EF2898"/>
    <w:rsid w:val="00EF3D96"/>
    <w:rsid w:val="00EF5DF3"/>
    <w:rsid w:val="00F01357"/>
    <w:rsid w:val="00F03199"/>
    <w:rsid w:val="00F04891"/>
    <w:rsid w:val="00F06C2A"/>
    <w:rsid w:val="00F0718C"/>
    <w:rsid w:val="00F12448"/>
    <w:rsid w:val="00F12EB7"/>
    <w:rsid w:val="00F14B58"/>
    <w:rsid w:val="00F15359"/>
    <w:rsid w:val="00F16102"/>
    <w:rsid w:val="00F16D53"/>
    <w:rsid w:val="00F21C2E"/>
    <w:rsid w:val="00F21D42"/>
    <w:rsid w:val="00F2302E"/>
    <w:rsid w:val="00F242D4"/>
    <w:rsid w:val="00F24FF4"/>
    <w:rsid w:val="00F30C86"/>
    <w:rsid w:val="00F329E0"/>
    <w:rsid w:val="00F35988"/>
    <w:rsid w:val="00F43368"/>
    <w:rsid w:val="00F43EC4"/>
    <w:rsid w:val="00F46BB4"/>
    <w:rsid w:val="00F4760A"/>
    <w:rsid w:val="00F47904"/>
    <w:rsid w:val="00F47943"/>
    <w:rsid w:val="00F50369"/>
    <w:rsid w:val="00F60496"/>
    <w:rsid w:val="00F604F7"/>
    <w:rsid w:val="00F619D6"/>
    <w:rsid w:val="00F622FC"/>
    <w:rsid w:val="00F6531C"/>
    <w:rsid w:val="00F655E2"/>
    <w:rsid w:val="00F66BC7"/>
    <w:rsid w:val="00F674B6"/>
    <w:rsid w:val="00F7117D"/>
    <w:rsid w:val="00F723A7"/>
    <w:rsid w:val="00F73FE6"/>
    <w:rsid w:val="00F777A7"/>
    <w:rsid w:val="00F81659"/>
    <w:rsid w:val="00F8284F"/>
    <w:rsid w:val="00F82A11"/>
    <w:rsid w:val="00F8337F"/>
    <w:rsid w:val="00F85E6F"/>
    <w:rsid w:val="00F86384"/>
    <w:rsid w:val="00F96059"/>
    <w:rsid w:val="00F97800"/>
    <w:rsid w:val="00FA1EB1"/>
    <w:rsid w:val="00FA2CC9"/>
    <w:rsid w:val="00FA370A"/>
    <w:rsid w:val="00FB0ABC"/>
    <w:rsid w:val="00FB4FB5"/>
    <w:rsid w:val="00FB6BF7"/>
    <w:rsid w:val="00FB725D"/>
    <w:rsid w:val="00FC540F"/>
    <w:rsid w:val="00FC5736"/>
    <w:rsid w:val="00FC7A57"/>
    <w:rsid w:val="00FD2D88"/>
    <w:rsid w:val="00FD5BF2"/>
    <w:rsid w:val="00FD7CE0"/>
    <w:rsid w:val="00FD7F21"/>
    <w:rsid w:val="00FE1C3E"/>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style="mso-wrap-style:none;mso-position-vertical-relative:line" fillcolor="yellow">
      <v:fill color="yellow"/>
      <v:textbox style="mso-fit-shape-to-text:t"/>
    </o:shapedefaults>
    <o:shapelayout v:ext="edit">
      <o:idmap v:ext="edit" data="1"/>
    </o:shapelayout>
  </w:shapeDefaults>
  <w:decimalSymbol w:val="."/>
  <w:listSeparator w:val=","/>
  <w14:docId w14:val="26EF639F"/>
  <w15:docId w15:val="{39EEAB01-DA40-4C76-A411-5CA3C9A7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tabs>
        <w:tab w:val="clear" w:pos="864"/>
        <w:tab w:val="num" w:pos="504"/>
      </w:tabs>
      <w:ind w:left="504"/>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PlainText">
    <w:name w:val="Plain Text"/>
    <w:basedOn w:val="Normal"/>
    <w:link w:val="PlainTextChar"/>
    <w:uiPriority w:val="99"/>
    <w:unhideWhenUsed/>
    <w:rsid w:val="00A13702"/>
    <w:pPr>
      <w:jc w:val="left"/>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A13702"/>
    <w:rPr>
      <w:rFonts w:ascii="Consolas" w:eastAsiaTheme="minorEastAsia" w:hAnsi="Consolas"/>
      <w:sz w:val="21"/>
      <w:szCs w:val="21"/>
    </w:rPr>
  </w:style>
  <w:style w:type="paragraph" w:customStyle="1" w:styleId="Body">
    <w:name w:val="Body"/>
    <w:rsid w:val="00A13702"/>
    <w:pPr>
      <w:tabs>
        <w:tab w:val="left" w:pos="0"/>
      </w:tabs>
      <w:ind w:firstLine="360"/>
    </w:pPr>
    <w:rPr>
      <w:rFonts w:ascii="Palatino" w:hAnsi="Palatino"/>
    </w:rPr>
  </w:style>
  <w:style w:type="character" w:customStyle="1" w:styleId="red1">
    <w:name w:val="red1"/>
    <w:basedOn w:val="DefaultParagraphFont"/>
    <w:rsid w:val="00A13702"/>
    <w:rPr>
      <w:color w:val="CC0000"/>
    </w:rPr>
  </w:style>
  <w:style w:type="table" w:customStyle="1" w:styleId="MediumList21">
    <w:name w:val="Medium List 21"/>
    <w:basedOn w:val="TableNormal"/>
    <w:uiPriority w:val="66"/>
    <w:rsid w:val="00A13702"/>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LineNumber">
    <w:name w:val="line number"/>
    <w:basedOn w:val="DefaultParagraphFont"/>
    <w:uiPriority w:val="99"/>
    <w:semiHidden/>
    <w:unhideWhenUsed/>
    <w:rsid w:val="00EB724B"/>
  </w:style>
  <w:style w:type="character" w:styleId="UnresolvedMention">
    <w:name w:val="Unresolved Mention"/>
    <w:basedOn w:val="DefaultParagraphFont"/>
    <w:uiPriority w:val="99"/>
    <w:semiHidden/>
    <w:unhideWhenUsed/>
    <w:rsid w:val="00600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168058410">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levelcertified.org/" TargetMode="External"/><Relationship Id="rId26" Type="http://schemas.openxmlformats.org/officeDocument/2006/relationships/hyperlink" Target="http://energy.gov/eere/femp/federal-energy-management-program" TargetMode="External"/><Relationship Id="rId39" Type="http://schemas.openxmlformats.org/officeDocument/2006/relationships/hyperlink" Target="https://www.greenseal.org/" TargetMode="External"/><Relationship Id="rId3" Type="http://schemas.openxmlformats.org/officeDocument/2006/relationships/styles" Target="styles.xml"/><Relationship Id="rId21" Type="http://schemas.openxmlformats.org/officeDocument/2006/relationships/hyperlink" Target="https://sftool.gov/" TargetMode="External"/><Relationship Id="rId34" Type="http://schemas.openxmlformats.org/officeDocument/2006/relationships/hyperlink" Target="http://www3.epa.gov/"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epeat.net/" TargetMode="External"/><Relationship Id="rId25" Type="http://schemas.openxmlformats.org/officeDocument/2006/relationships/hyperlink" Target="http://www.energystar.gov/" TargetMode="External"/><Relationship Id="rId33" Type="http://schemas.openxmlformats.org/officeDocument/2006/relationships/hyperlink" Target="http://energy.gov/ehss/services/environment" TargetMode="External"/><Relationship Id="rId38" Type="http://schemas.openxmlformats.org/officeDocument/2006/relationships/hyperlink" Target="https://greendepot.com/" TargetMode="External"/><Relationship Id="rId2" Type="http://schemas.openxmlformats.org/officeDocument/2006/relationships/numbering" Target="numbering.xml"/><Relationship Id="rId16" Type="http://schemas.openxmlformats.org/officeDocument/2006/relationships/hyperlink" Target="http://www.eia.doe.gov/glossary/glossary_e.htm" TargetMode="External"/><Relationship Id="rId20" Type="http://schemas.openxmlformats.org/officeDocument/2006/relationships/hyperlink" Target="https://fermipoint.fnal.gov/org/fin/fin-prc/General%20Forms%20%20Documents/Procurement_Manual4-Rev_8.pdf" TargetMode="External"/><Relationship Id="rId29" Type="http://schemas.openxmlformats.org/officeDocument/2006/relationships/hyperlink" Target="http://www.biopreferred.gov/BioPreferred/faces/catalog/Catalog.x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ftool.gov/GreenProcurement" TargetMode="External"/><Relationship Id="rId32" Type="http://schemas.openxmlformats.org/officeDocument/2006/relationships/hyperlink" Target="https://www.nrel.gov/" TargetMode="External"/><Relationship Id="rId37" Type="http://schemas.openxmlformats.org/officeDocument/2006/relationships/hyperlink" Target="https://www.gsaadvantage.gov/advantage/ws/main/start_page" TargetMode="External"/><Relationship Id="rId40" Type="http://schemas.openxmlformats.org/officeDocument/2006/relationships/hyperlink" Target="https://fermi.servicenowservices.com/nav_to.do?uri=%2Fstock_catalog.do" TargetMode="External"/><Relationship Id="rId5" Type="http://schemas.openxmlformats.org/officeDocument/2006/relationships/webSettings" Target="webSettings.xml"/><Relationship Id="rId15" Type="http://schemas.openxmlformats.org/officeDocument/2006/relationships/hyperlink" Target="http://www.afdc.energy.gov/afdc/glossary.html" TargetMode="External"/><Relationship Id="rId23" Type="http://schemas.openxmlformats.org/officeDocument/2006/relationships/hyperlink" Target="https://fermipoint.fnal.gov/org/fin/fin-prc/SitePages/Home.aspx" TargetMode="External"/><Relationship Id="rId28" Type="http://schemas.openxmlformats.org/officeDocument/2006/relationships/hyperlink" Target="https://www.levelcertified.org/" TargetMode="External"/><Relationship Id="rId36" Type="http://schemas.openxmlformats.org/officeDocument/2006/relationships/hyperlink" Target="https://www.abilityone.gov/" TargetMode="External"/><Relationship Id="rId10" Type="http://schemas.openxmlformats.org/officeDocument/2006/relationships/footer" Target="footer1.xml"/><Relationship Id="rId19" Type="http://schemas.openxmlformats.org/officeDocument/2006/relationships/hyperlink" Target="https://www.epa.gov/ozone-layer-protection/ozone-depleting-substances" TargetMode="External"/><Relationship Id="rId31" Type="http://schemas.openxmlformats.org/officeDocument/2006/relationships/hyperlink" Target="https://www.epa.gov/snap"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fdc.energy.gov/afdc/glossary.html" TargetMode="External"/><Relationship Id="rId22" Type="http://schemas.openxmlformats.org/officeDocument/2006/relationships/hyperlink" Target="https://eshq.fnal.gov/atwork/ep/sa/" TargetMode="External"/><Relationship Id="rId27" Type="http://schemas.openxmlformats.org/officeDocument/2006/relationships/hyperlink" Target="http://www.epeat.net/" TargetMode="External"/><Relationship Id="rId30" Type="http://schemas.openxmlformats.org/officeDocument/2006/relationships/hyperlink" Target="http://epa.gov/watersense/" TargetMode="External"/><Relationship Id="rId35" Type="http://schemas.openxmlformats.org/officeDocument/2006/relationships/hyperlink" Target="https://www.epa.gov/greenerproduc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91AA7D1-1B53-4BEE-B80D-EEC97BCD3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1995</Words>
  <Characters>11377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FESHM 1100</vt:lpstr>
    </vt:vector>
  </TitlesOfParts>
  <Company>Jefferson Science Associates, LLC</Company>
  <LinksUpToDate>false</LinksUpToDate>
  <CharactersWithSpaces>13346</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FESHM 1100</dc:title>
  <dc:subject>Sustainable Acquisition</dc:subject>
  <dc:creator>Amber Kenney</dc:creator>
  <cp:lastModifiedBy>Kristy Gibson</cp:lastModifiedBy>
  <cp:revision>5</cp:revision>
  <cp:lastPrinted>2021-05-06T14:39:00Z</cp:lastPrinted>
  <dcterms:created xsi:type="dcterms:W3CDTF">2021-03-24T22:22:00Z</dcterms:created>
  <dcterms:modified xsi:type="dcterms:W3CDTF">2021-05-06T14:41:00Z</dcterms:modified>
</cp:coreProperties>
</file>