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9A31E" w14:textId="77777777" w:rsidR="00C17DC6" w:rsidRDefault="00C17DC6" w:rsidP="00C17DC6">
      <w:pPr>
        <w:ind w:right="36"/>
        <w:jc w:val="center"/>
        <w:rPr>
          <w:color w:val="000000"/>
          <w:sz w:val="36"/>
          <w:szCs w:val="36"/>
        </w:rPr>
      </w:pPr>
      <w:r>
        <w:rPr>
          <w:color w:val="000000"/>
          <w:sz w:val="36"/>
          <w:szCs w:val="36"/>
        </w:rPr>
        <w:t>FRCM CHAPTER 8</w:t>
      </w:r>
    </w:p>
    <w:p w14:paraId="6EE3767C" w14:textId="77777777" w:rsidR="00C17DC6" w:rsidRPr="004F423A" w:rsidRDefault="00C17DC6" w:rsidP="00C17DC6">
      <w:pPr>
        <w:ind w:right="36"/>
        <w:jc w:val="center"/>
        <w:rPr>
          <w:color w:val="000000"/>
          <w:sz w:val="36"/>
          <w:szCs w:val="36"/>
        </w:rPr>
      </w:pPr>
      <w:r>
        <w:rPr>
          <w:color w:val="000000"/>
          <w:sz w:val="36"/>
          <w:szCs w:val="36"/>
        </w:rPr>
        <w:t>ALARA MANAGEMENT OF ACCELER</w:t>
      </w:r>
      <w:r w:rsidR="003A58B6">
        <w:rPr>
          <w:color w:val="000000"/>
          <w:sz w:val="36"/>
          <w:szCs w:val="36"/>
        </w:rPr>
        <w:t>A</w:t>
      </w:r>
      <w:r>
        <w:rPr>
          <w:color w:val="000000"/>
          <w:sz w:val="36"/>
          <w:szCs w:val="36"/>
        </w:rPr>
        <w:t>TOR RADIATION SHIELDING</w:t>
      </w:r>
    </w:p>
    <w:p w14:paraId="799C9989" w14:textId="77777777" w:rsidR="00C17DC6" w:rsidRPr="004C641E" w:rsidRDefault="00C17DC6" w:rsidP="00C17DC6">
      <w:pPr>
        <w:jc w:val="center"/>
        <w:rPr>
          <w:b/>
          <w:sz w:val="16"/>
          <w:szCs w:val="16"/>
        </w:rPr>
      </w:pPr>
    </w:p>
    <w:p w14:paraId="07BB0FB7" w14:textId="77777777" w:rsidR="00C17DC6" w:rsidRPr="004F423A" w:rsidRDefault="00C17DC6" w:rsidP="00C17DC6">
      <w:pPr>
        <w:ind w:right="-140"/>
        <w:jc w:val="center"/>
        <w:rPr>
          <w:b/>
          <w:color w:val="000000"/>
        </w:rPr>
      </w:pPr>
      <w:r w:rsidRPr="004F423A">
        <w:rPr>
          <w:b/>
          <w:color w:val="000000"/>
        </w:rPr>
        <w:t>Revision History</w:t>
      </w:r>
    </w:p>
    <w:p w14:paraId="2E56852C" w14:textId="77777777" w:rsidR="00C17DC6" w:rsidRPr="004C641E" w:rsidRDefault="00C17DC6" w:rsidP="00C17DC6">
      <w:pPr>
        <w:ind w:right="-140"/>
        <w:rPr>
          <w:b/>
          <w:i/>
          <w:color w:val="000000"/>
          <w:sz w:val="16"/>
          <w:szCs w:val="16"/>
        </w:rPr>
      </w:pPr>
    </w:p>
    <w:tbl>
      <w:tblPr>
        <w:tblW w:w="1115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75"/>
        <w:gridCol w:w="7470"/>
        <w:gridCol w:w="1710"/>
      </w:tblGrid>
      <w:tr w:rsidR="00062C92" w:rsidRPr="00F30ED1" w14:paraId="57A80FD2" w14:textId="77777777" w:rsidTr="00BB36F1">
        <w:trPr>
          <w:jc w:val="center"/>
        </w:trPr>
        <w:tc>
          <w:tcPr>
            <w:tcW w:w="1975" w:type="dxa"/>
          </w:tcPr>
          <w:p w14:paraId="483FAA79" w14:textId="77777777" w:rsidR="00062C92" w:rsidRPr="00F30ED1" w:rsidRDefault="00062C92" w:rsidP="00CB054F">
            <w:pPr>
              <w:tabs>
                <w:tab w:val="left" w:pos="720"/>
              </w:tabs>
              <w:jc w:val="center"/>
              <w:rPr>
                <w:b/>
                <w:i/>
              </w:rPr>
            </w:pPr>
            <w:r w:rsidRPr="00F30ED1">
              <w:rPr>
                <w:b/>
                <w:i/>
              </w:rPr>
              <w:t>Author</w:t>
            </w:r>
          </w:p>
        </w:tc>
        <w:tc>
          <w:tcPr>
            <w:tcW w:w="7470" w:type="dxa"/>
          </w:tcPr>
          <w:p w14:paraId="4D7BB45B" w14:textId="41CF5142" w:rsidR="00062C92" w:rsidRPr="00F30ED1" w:rsidRDefault="00062C92" w:rsidP="00CB054F">
            <w:pPr>
              <w:tabs>
                <w:tab w:val="left" w:pos="720"/>
              </w:tabs>
              <w:jc w:val="center"/>
              <w:rPr>
                <w:b/>
                <w:i/>
              </w:rPr>
            </w:pPr>
            <w:r w:rsidRPr="00F30ED1">
              <w:rPr>
                <w:b/>
                <w:i/>
              </w:rPr>
              <w:t>Description of Change</w:t>
            </w:r>
          </w:p>
        </w:tc>
        <w:tc>
          <w:tcPr>
            <w:tcW w:w="1710" w:type="dxa"/>
          </w:tcPr>
          <w:p w14:paraId="1DC2DD14" w14:textId="77777777" w:rsidR="00062C92" w:rsidRPr="00F30ED1" w:rsidRDefault="00062C92" w:rsidP="00C17DC6">
            <w:pPr>
              <w:tabs>
                <w:tab w:val="left" w:pos="720"/>
              </w:tabs>
              <w:jc w:val="center"/>
              <w:rPr>
                <w:b/>
                <w:i/>
              </w:rPr>
            </w:pPr>
            <w:r w:rsidRPr="00F30ED1">
              <w:rPr>
                <w:b/>
                <w:i/>
              </w:rPr>
              <w:t>Revision Date</w:t>
            </w:r>
          </w:p>
        </w:tc>
      </w:tr>
      <w:tr w:rsidR="00E839FD" w:rsidRPr="004F423A" w14:paraId="6BA8F6E7" w14:textId="77777777" w:rsidTr="00BB36F1">
        <w:trPr>
          <w:jc w:val="center"/>
        </w:trPr>
        <w:tc>
          <w:tcPr>
            <w:tcW w:w="1975" w:type="dxa"/>
          </w:tcPr>
          <w:p w14:paraId="10F81A36" w14:textId="65314090" w:rsidR="00E839FD" w:rsidRDefault="00E839FD" w:rsidP="00CB054F">
            <w:pPr>
              <w:tabs>
                <w:tab w:val="left" w:pos="720"/>
              </w:tabs>
              <w:rPr>
                <w:szCs w:val="22"/>
              </w:rPr>
            </w:pPr>
            <w:r>
              <w:rPr>
                <w:szCs w:val="22"/>
              </w:rPr>
              <w:t>W. Schmitt and J. D. Cossairt</w:t>
            </w:r>
          </w:p>
        </w:tc>
        <w:tc>
          <w:tcPr>
            <w:tcW w:w="7470" w:type="dxa"/>
          </w:tcPr>
          <w:p w14:paraId="7F96A27C" w14:textId="6DDED0C3" w:rsidR="00E839FD" w:rsidRDefault="00E839FD" w:rsidP="0039157A">
            <w:pPr>
              <w:pStyle w:val="ListParagraph"/>
              <w:numPr>
                <w:ilvl w:val="0"/>
                <w:numId w:val="39"/>
              </w:numPr>
              <w:autoSpaceDE w:val="0"/>
              <w:autoSpaceDN w:val="0"/>
              <w:adjustRightInd w:val="0"/>
              <w:spacing w:after="60"/>
              <w:ind w:left="342"/>
            </w:pPr>
            <w:r>
              <w:t>Editorial Changes to Article 812 to clarify expectations for origination of survey/alignment data for purposes of shielding assessment.</w:t>
            </w:r>
            <w:r w:rsidR="0039157A">
              <w:t xml:space="preserve"> This </w:t>
            </w:r>
            <w:r w:rsidR="00F14835">
              <w:t xml:space="preserve">is reflected in the addition of a </w:t>
            </w:r>
            <w:r w:rsidR="0039157A">
              <w:t xml:space="preserve">new </w:t>
            </w:r>
            <w:r w:rsidR="00944022">
              <w:t>sub article</w:t>
            </w:r>
            <w:r w:rsidR="0039157A">
              <w:t xml:space="preserve"> 812.6</w:t>
            </w:r>
            <w:r w:rsidR="00F14835">
              <w:t>.</w:t>
            </w:r>
          </w:p>
          <w:p w14:paraId="365C572E" w14:textId="77777777" w:rsidR="00E839FD" w:rsidRDefault="00E839FD" w:rsidP="0039157A">
            <w:pPr>
              <w:pStyle w:val="ListParagraph"/>
              <w:numPr>
                <w:ilvl w:val="0"/>
                <w:numId w:val="39"/>
              </w:numPr>
              <w:autoSpaceDE w:val="0"/>
              <w:autoSpaceDN w:val="0"/>
              <w:adjustRightInd w:val="0"/>
              <w:spacing w:after="60"/>
              <w:ind w:left="342"/>
            </w:pPr>
            <w:r>
              <w:t xml:space="preserve">Corrections to reference citations and </w:t>
            </w:r>
            <w:r w:rsidR="00171998">
              <w:t>associated web links</w:t>
            </w:r>
            <w:r w:rsidR="0039157A">
              <w:t xml:space="preserve"> in the appendices related to TM 1834</w:t>
            </w:r>
            <w:r w:rsidR="00171998">
              <w:t>.</w:t>
            </w:r>
          </w:p>
          <w:p w14:paraId="19123B99" w14:textId="38DC2B0E" w:rsidR="00596223" w:rsidRDefault="00596223" w:rsidP="0039157A">
            <w:pPr>
              <w:pStyle w:val="ListParagraph"/>
              <w:numPr>
                <w:ilvl w:val="0"/>
                <w:numId w:val="39"/>
              </w:numPr>
              <w:autoSpaceDE w:val="0"/>
              <w:autoSpaceDN w:val="0"/>
              <w:adjustRightInd w:val="0"/>
              <w:spacing w:after="60"/>
              <w:ind w:left="342"/>
            </w:pPr>
            <w:r>
              <w:t>Replace “ES&amp;Q Section” with the current “ES&amp;H Section” at all appearances of the former</w:t>
            </w:r>
            <w:r w:rsidR="002069F2">
              <w:t xml:space="preserve"> following the reorganization of February 1, 2019</w:t>
            </w:r>
            <w:r>
              <w:t>.</w:t>
            </w:r>
          </w:p>
        </w:tc>
        <w:tc>
          <w:tcPr>
            <w:tcW w:w="1710" w:type="dxa"/>
          </w:tcPr>
          <w:p w14:paraId="6B8515FA" w14:textId="79770DCF" w:rsidR="00E839FD" w:rsidRDefault="00E839FD" w:rsidP="00CB054F">
            <w:pPr>
              <w:tabs>
                <w:tab w:val="left" w:pos="720"/>
              </w:tabs>
              <w:rPr>
                <w:szCs w:val="22"/>
              </w:rPr>
            </w:pPr>
            <w:r>
              <w:rPr>
                <w:szCs w:val="22"/>
              </w:rPr>
              <w:t>January 2020</w:t>
            </w:r>
          </w:p>
        </w:tc>
      </w:tr>
      <w:tr w:rsidR="00FA0A29" w:rsidRPr="004F423A" w14:paraId="53FCF98F" w14:textId="77777777" w:rsidTr="00BB36F1">
        <w:trPr>
          <w:jc w:val="center"/>
        </w:trPr>
        <w:tc>
          <w:tcPr>
            <w:tcW w:w="1975" w:type="dxa"/>
          </w:tcPr>
          <w:p w14:paraId="560133D3" w14:textId="7C7F8636" w:rsidR="00FA0A29" w:rsidRDefault="00FA0A29" w:rsidP="00CB054F">
            <w:pPr>
              <w:tabs>
                <w:tab w:val="left" w:pos="720"/>
              </w:tabs>
              <w:rPr>
                <w:szCs w:val="22"/>
              </w:rPr>
            </w:pPr>
            <w:r>
              <w:rPr>
                <w:szCs w:val="22"/>
              </w:rPr>
              <w:t>W. Schmitt and J. D. Cossairt</w:t>
            </w:r>
          </w:p>
        </w:tc>
        <w:tc>
          <w:tcPr>
            <w:tcW w:w="7470" w:type="dxa"/>
          </w:tcPr>
          <w:p w14:paraId="072E0CAF" w14:textId="5AD5ADF7" w:rsidR="00FA0A29" w:rsidRDefault="00FA0A29" w:rsidP="00BB36F1">
            <w:pPr>
              <w:pStyle w:val="ListParagraph"/>
              <w:numPr>
                <w:ilvl w:val="0"/>
                <w:numId w:val="37"/>
              </w:numPr>
              <w:autoSpaceDE w:val="0"/>
              <w:autoSpaceDN w:val="0"/>
              <w:adjustRightInd w:val="0"/>
              <w:spacing w:after="60"/>
              <w:ind w:left="346"/>
            </w:pPr>
            <w:r>
              <w:t>Editorial changes to</w:t>
            </w:r>
            <w:r w:rsidR="004C641E">
              <w:t xml:space="preserve"> Article 813.7</w:t>
            </w:r>
            <w:r>
              <w:t xml:space="preserve"> clarify</w:t>
            </w:r>
            <w:r w:rsidR="004C641E">
              <w:t>ing</w:t>
            </w:r>
            <w:r>
              <w:t xml:space="preserve"> existing practices pertaining to configuration control of radiation shielding.</w:t>
            </w:r>
          </w:p>
        </w:tc>
        <w:tc>
          <w:tcPr>
            <w:tcW w:w="1710" w:type="dxa"/>
          </w:tcPr>
          <w:p w14:paraId="0CA93FB0" w14:textId="5D74B247" w:rsidR="00FA0A29" w:rsidRDefault="00FA0A29" w:rsidP="00CB054F">
            <w:pPr>
              <w:tabs>
                <w:tab w:val="left" w:pos="720"/>
              </w:tabs>
              <w:rPr>
                <w:szCs w:val="22"/>
              </w:rPr>
            </w:pPr>
            <w:r>
              <w:rPr>
                <w:szCs w:val="22"/>
              </w:rPr>
              <w:t>October 2018</w:t>
            </w:r>
          </w:p>
        </w:tc>
      </w:tr>
      <w:tr w:rsidR="00A90740" w:rsidRPr="004F423A" w14:paraId="113D34FE" w14:textId="77777777" w:rsidTr="00BB36F1">
        <w:trPr>
          <w:jc w:val="center"/>
        </w:trPr>
        <w:tc>
          <w:tcPr>
            <w:tcW w:w="1975" w:type="dxa"/>
          </w:tcPr>
          <w:p w14:paraId="59AE3E00" w14:textId="36F96C42" w:rsidR="00A90740" w:rsidRDefault="00A90740" w:rsidP="00CB054F">
            <w:pPr>
              <w:tabs>
                <w:tab w:val="left" w:pos="720"/>
              </w:tabs>
              <w:rPr>
                <w:szCs w:val="22"/>
              </w:rPr>
            </w:pPr>
            <w:r>
              <w:rPr>
                <w:szCs w:val="22"/>
              </w:rPr>
              <w:t>J. D. Cossairt</w:t>
            </w:r>
          </w:p>
        </w:tc>
        <w:tc>
          <w:tcPr>
            <w:tcW w:w="7470" w:type="dxa"/>
            <w:vAlign w:val="bottom"/>
          </w:tcPr>
          <w:p w14:paraId="0C8D763F" w14:textId="58F58141" w:rsidR="00A90740" w:rsidRPr="00F10801" w:rsidRDefault="00A90740" w:rsidP="00BB36F1">
            <w:pPr>
              <w:pStyle w:val="ListParagraph"/>
              <w:numPr>
                <w:ilvl w:val="0"/>
                <w:numId w:val="36"/>
              </w:numPr>
              <w:autoSpaceDE w:val="0"/>
              <w:autoSpaceDN w:val="0"/>
              <w:adjustRightInd w:val="0"/>
              <w:spacing w:after="60"/>
              <w:ind w:left="346"/>
            </w:pPr>
            <w:r>
              <w:t>Add Appendix</w:t>
            </w:r>
            <w:r w:rsidR="000C59AE">
              <w:t xml:space="preserve"> 2</w:t>
            </w:r>
            <w:r>
              <w:t xml:space="preserve"> ESHQ-RPS-SA-0001</w:t>
            </w:r>
            <w:r w:rsidRPr="005C6B7D">
              <w:t xml:space="preserve"> – </w:t>
            </w:r>
            <w:r>
              <w:t>Shielding Assessment Outline.</w:t>
            </w:r>
          </w:p>
        </w:tc>
        <w:tc>
          <w:tcPr>
            <w:tcW w:w="1710" w:type="dxa"/>
          </w:tcPr>
          <w:p w14:paraId="29FE061C" w14:textId="6399B065" w:rsidR="00A90740" w:rsidRDefault="00A90740" w:rsidP="00CB054F">
            <w:pPr>
              <w:tabs>
                <w:tab w:val="left" w:pos="720"/>
              </w:tabs>
              <w:rPr>
                <w:szCs w:val="22"/>
              </w:rPr>
            </w:pPr>
            <w:r>
              <w:rPr>
                <w:szCs w:val="22"/>
              </w:rPr>
              <w:t>January 2018</w:t>
            </w:r>
          </w:p>
        </w:tc>
      </w:tr>
      <w:tr w:rsidR="00F14DC3" w:rsidRPr="004F423A" w14:paraId="78FB1197" w14:textId="77777777" w:rsidTr="00BB36F1">
        <w:trPr>
          <w:jc w:val="center"/>
        </w:trPr>
        <w:tc>
          <w:tcPr>
            <w:tcW w:w="1975" w:type="dxa"/>
          </w:tcPr>
          <w:p w14:paraId="1DDA1DA4" w14:textId="0CB9FE38" w:rsidR="00F14DC3" w:rsidRDefault="00F14DC3" w:rsidP="00CB054F">
            <w:pPr>
              <w:tabs>
                <w:tab w:val="left" w:pos="720"/>
              </w:tabs>
              <w:rPr>
                <w:szCs w:val="22"/>
              </w:rPr>
            </w:pPr>
            <w:r>
              <w:rPr>
                <w:szCs w:val="22"/>
              </w:rPr>
              <w:t>J. D. Cossairt</w:t>
            </w:r>
          </w:p>
        </w:tc>
        <w:tc>
          <w:tcPr>
            <w:tcW w:w="7470" w:type="dxa"/>
            <w:vAlign w:val="bottom"/>
          </w:tcPr>
          <w:p w14:paraId="1CCD999F" w14:textId="4D824113" w:rsidR="00F14DC3" w:rsidRPr="00F10801" w:rsidRDefault="004C641E" w:rsidP="00BB36F1">
            <w:pPr>
              <w:pStyle w:val="ListParagraph"/>
              <w:numPr>
                <w:ilvl w:val="0"/>
                <w:numId w:val="25"/>
              </w:numPr>
              <w:autoSpaceDE w:val="0"/>
              <w:autoSpaceDN w:val="0"/>
              <w:adjustRightInd w:val="0"/>
              <w:ind w:left="336"/>
            </w:pPr>
            <w:r>
              <w:t xml:space="preserve">Editorial changes to reflect </w:t>
            </w:r>
            <w:r w:rsidR="00944022">
              <w:t>lab</w:t>
            </w:r>
            <w:r w:rsidR="00944022" w:rsidRPr="00F10801">
              <w:t xml:space="preserve"> wide</w:t>
            </w:r>
            <w:r w:rsidR="00F14DC3" w:rsidRPr="00F10801">
              <w:t xml:space="preserve"> ESH&amp;Q </w:t>
            </w:r>
            <w:r w:rsidR="0017186B">
              <w:t>consolidation.</w:t>
            </w:r>
          </w:p>
          <w:p w14:paraId="53AFE0B0" w14:textId="297AB647" w:rsidR="00513ED2" w:rsidRPr="00F10801" w:rsidRDefault="00513ED2" w:rsidP="00BB36F1">
            <w:pPr>
              <w:pStyle w:val="ListParagraph"/>
              <w:numPr>
                <w:ilvl w:val="0"/>
                <w:numId w:val="25"/>
              </w:numPr>
              <w:autoSpaceDE w:val="0"/>
              <w:autoSpaceDN w:val="0"/>
              <w:adjustRightInd w:val="0"/>
              <w:spacing w:after="60"/>
              <w:ind w:left="256" w:hanging="270"/>
            </w:pPr>
            <w:r w:rsidRPr="00F10801">
              <w:t>Removed provisions in Article 811 to document the nee</w:t>
            </w:r>
            <w:r w:rsidR="0017186B">
              <w:t>d to use RP Form 105 in</w:t>
            </w:r>
            <w:r w:rsidRPr="00F10801">
              <w:t xml:space="preserve"> instances where active devices must be used in addition to passive shielding. These instances are already addressed in shielding assessment covered in Article 814.</w:t>
            </w:r>
          </w:p>
        </w:tc>
        <w:tc>
          <w:tcPr>
            <w:tcW w:w="1710" w:type="dxa"/>
          </w:tcPr>
          <w:p w14:paraId="1D4B9E0D" w14:textId="697BCD93" w:rsidR="00F14DC3" w:rsidRDefault="007F1BB4" w:rsidP="00CB054F">
            <w:pPr>
              <w:tabs>
                <w:tab w:val="left" w:pos="720"/>
              </w:tabs>
              <w:rPr>
                <w:szCs w:val="22"/>
              </w:rPr>
            </w:pPr>
            <w:r>
              <w:rPr>
                <w:szCs w:val="22"/>
              </w:rPr>
              <w:t>February 2017</w:t>
            </w:r>
          </w:p>
        </w:tc>
      </w:tr>
      <w:tr w:rsidR="00062C92" w:rsidRPr="004F423A" w14:paraId="04F196D5" w14:textId="77777777" w:rsidTr="00BB36F1">
        <w:trPr>
          <w:jc w:val="center"/>
        </w:trPr>
        <w:tc>
          <w:tcPr>
            <w:tcW w:w="1975" w:type="dxa"/>
          </w:tcPr>
          <w:p w14:paraId="6573D709" w14:textId="77777777" w:rsidR="00062C92" w:rsidRDefault="00062C92" w:rsidP="00CB054F">
            <w:pPr>
              <w:tabs>
                <w:tab w:val="left" w:pos="720"/>
              </w:tabs>
              <w:rPr>
                <w:szCs w:val="22"/>
              </w:rPr>
            </w:pPr>
            <w:r>
              <w:rPr>
                <w:szCs w:val="22"/>
              </w:rPr>
              <w:t>J. D. Cossairt</w:t>
            </w:r>
          </w:p>
        </w:tc>
        <w:tc>
          <w:tcPr>
            <w:tcW w:w="7470" w:type="dxa"/>
            <w:vAlign w:val="bottom"/>
          </w:tcPr>
          <w:p w14:paraId="280D55C1" w14:textId="7C023959" w:rsidR="00062C92" w:rsidRDefault="00062C92" w:rsidP="00BB36F1">
            <w:pPr>
              <w:pStyle w:val="ListParagraph"/>
              <w:numPr>
                <w:ilvl w:val="0"/>
                <w:numId w:val="23"/>
              </w:numPr>
              <w:autoSpaceDE w:val="0"/>
              <w:autoSpaceDN w:val="0"/>
              <w:adjustRightInd w:val="0"/>
              <w:ind w:left="251" w:hanging="270"/>
            </w:pPr>
            <w:r>
              <w:t xml:space="preserve">Changes to reflect the transformation of the </w:t>
            </w:r>
            <w:proofErr w:type="spellStart"/>
            <w:r>
              <w:t>FESHCom</w:t>
            </w:r>
            <w:proofErr w:type="spellEnd"/>
            <w:r>
              <w:t xml:space="preserve"> Shielding Assessment Review Subcommittee to the Shielding Assessment Review Panel reporting to the Radiation Safety Subcommittee.</w:t>
            </w:r>
          </w:p>
          <w:p w14:paraId="5F89DBFC" w14:textId="489AF6FE" w:rsidR="00062C92" w:rsidRDefault="00062C92" w:rsidP="00BB36F1">
            <w:pPr>
              <w:pStyle w:val="ListParagraph"/>
              <w:numPr>
                <w:ilvl w:val="0"/>
                <w:numId w:val="23"/>
              </w:numPr>
              <w:autoSpaceDE w:val="0"/>
              <w:autoSpaceDN w:val="0"/>
              <w:adjustRightInd w:val="0"/>
              <w:ind w:left="251" w:hanging="270"/>
            </w:pPr>
            <w:r>
              <w:t xml:space="preserve">Clarifications of details </w:t>
            </w:r>
            <w:r w:rsidR="004C641E">
              <w:t>for</w:t>
            </w:r>
            <w:r>
              <w:t xml:space="preserve"> the shielding assessment review process.</w:t>
            </w:r>
          </w:p>
          <w:p w14:paraId="5AE6B2ED" w14:textId="20856045" w:rsidR="00062C92" w:rsidRDefault="004C641E" w:rsidP="00BB36F1">
            <w:pPr>
              <w:pStyle w:val="ListParagraph"/>
              <w:numPr>
                <w:ilvl w:val="0"/>
                <w:numId w:val="23"/>
              </w:numPr>
              <w:autoSpaceDE w:val="0"/>
              <w:autoSpaceDN w:val="0"/>
              <w:adjustRightInd w:val="0"/>
              <w:ind w:left="251" w:hanging="270"/>
            </w:pPr>
            <w:r>
              <w:t>Remove references to</w:t>
            </w:r>
            <w:r w:rsidR="00062C92">
              <w:t xml:space="preserve"> obsolete organiz</w:t>
            </w:r>
            <w:r>
              <w:t>ational designation of centers</w:t>
            </w:r>
            <w:r w:rsidR="00062C92">
              <w:t>.</w:t>
            </w:r>
          </w:p>
          <w:p w14:paraId="229F8CA8" w14:textId="77777777" w:rsidR="00062C92" w:rsidRDefault="00062C92" w:rsidP="00BB36F1">
            <w:pPr>
              <w:pStyle w:val="ListParagraph"/>
              <w:numPr>
                <w:ilvl w:val="0"/>
                <w:numId w:val="23"/>
              </w:numPr>
              <w:autoSpaceDE w:val="0"/>
              <w:autoSpaceDN w:val="0"/>
              <w:adjustRightInd w:val="0"/>
              <w:spacing w:after="60"/>
              <w:ind w:left="251" w:hanging="270"/>
            </w:pPr>
            <w:r>
              <w:t>Minor changes in technical details.</w:t>
            </w:r>
          </w:p>
        </w:tc>
        <w:tc>
          <w:tcPr>
            <w:tcW w:w="1710" w:type="dxa"/>
          </w:tcPr>
          <w:p w14:paraId="5DE3BDB4" w14:textId="17CF5BF1" w:rsidR="00062C92" w:rsidRDefault="00062C92" w:rsidP="00CB054F">
            <w:pPr>
              <w:tabs>
                <w:tab w:val="left" w:pos="720"/>
              </w:tabs>
              <w:rPr>
                <w:szCs w:val="22"/>
              </w:rPr>
            </w:pPr>
            <w:r>
              <w:rPr>
                <w:szCs w:val="22"/>
              </w:rPr>
              <w:t>January 2016</w:t>
            </w:r>
          </w:p>
        </w:tc>
      </w:tr>
      <w:tr w:rsidR="00062C92" w:rsidRPr="004F423A" w14:paraId="30611FDC" w14:textId="77777777" w:rsidTr="00BB36F1">
        <w:trPr>
          <w:jc w:val="center"/>
        </w:trPr>
        <w:tc>
          <w:tcPr>
            <w:tcW w:w="1975" w:type="dxa"/>
          </w:tcPr>
          <w:p w14:paraId="43342732" w14:textId="77777777" w:rsidR="00062C92" w:rsidRDefault="00062C92" w:rsidP="00CB054F">
            <w:pPr>
              <w:tabs>
                <w:tab w:val="left" w:pos="720"/>
              </w:tabs>
              <w:rPr>
                <w:szCs w:val="22"/>
              </w:rPr>
            </w:pPr>
            <w:r>
              <w:rPr>
                <w:szCs w:val="22"/>
              </w:rPr>
              <w:t>J. D. Cossairt</w:t>
            </w:r>
          </w:p>
        </w:tc>
        <w:tc>
          <w:tcPr>
            <w:tcW w:w="7470" w:type="dxa"/>
            <w:vAlign w:val="bottom"/>
          </w:tcPr>
          <w:p w14:paraId="42D07D62" w14:textId="1FEF67AB" w:rsidR="00062C92" w:rsidRDefault="00062C92" w:rsidP="00BB36F1">
            <w:pPr>
              <w:pStyle w:val="ListParagraph"/>
              <w:numPr>
                <w:ilvl w:val="0"/>
                <w:numId w:val="35"/>
              </w:numPr>
              <w:autoSpaceDE w:val="0"/>
              <w:autoSpaceDN w:val="0"/>
              <w:adjustRightInd w:val="0"/>
              <w:spacing w:after="60"/>
              <w:ind w:left="346"/>
            </w:pPr>
            <w:r>
              <w:t>Editorial changes to reflect evolution of th</w:t>
            </w:r>
            <w:r w:rsidR="004C641E">
              <w:t>e ESH&amp;Q organization</w:t>
            </w:r>
            <w:r w:rsidR="00066FF2">
              <w:t>.</w:t>
            </w:r>
          </w:p>
        </w:tc>
        <w:tc>
          <w:tcPr>
            <w:tcW w:w="1710" w:type="dxa"/>
          </w:tcPr>
          <w:p w14:paraId="5366F8BC" w14:textId="77777777" w:rsidR="00062C92" w:rsidRDefault="00062C92" w:rsidP="00CB054F">
            <w:pPr>
              <w:tabs>
                <w:tab w:val="left" w:pos="720"/>
              </w:tabs>
              <w:rPr>
                <w:szCs w:val="22"/>
              </w:rPr>
            </w:pPr>
            <w:r>
              <w:rPr>
                <w:szCs w:val="22"/>
              </w:rPr>
              <w:t>July 2015</w:t>
            </w:r>
          </w:p>
        </w:tc>
      </w:tr>
      <w:tr w:rsidR="00062C92" w:rsidRPr="004F423A" w14:paraId="691157C2" w14:textId="77777777" w:rsidTr="00BB36F1">
        <w:trPr>
          <w:jc w:val="center"/>
        </w:trPr>
        <w:tc>
          <w:tcPr>
            <w:tcW w:w="1975" w:type="dxa"/>
          </w:tcPr>
          <w:p w14:paraId="1910136A" w14:textId="77777777" w:rsidR="00062C92" w:rsidRDefault="00062C92" w:rsidP="00CB054F">
            <w:pPr>
              <w:tabs>
                <w:tab w:val="left" w:pos="720"/>
              </w:tabs>
              <w:rPr>
                <w:szCs w:val="22"/>
              </w:rPr>
            </w:pPr>
            <w:r>
              <w:rPr>
                <w:szCs w:val="22"/>
              </w:rPr>
              <w:t>J. D. Cossairt</w:t>
            </w:r>
          </w:p>
        </w:tc>
        <w:tc>
          <w:tcPr>
            <w:tcW w:w="7470" w:type="dxa"/>
            <w:vAlign w:val="bottom"/>
          </w:tcPr>
          <w:p w14:paraId="18C590D8" w14:textId="3F6FAD1F" w:rsidR="00062C92" w:rsidRDefault="00062C92" w:rsidP="00BB36F1">
            <w:pPr>
              <w:pStyle w:val="ListParagraph"/>
              <w:numPr>
                <w:ilvl w:val="0"/>
                <w:numId w:val="34"/>
              </w:numPr>
              <w:autoSpaceDE w:val="0"/>
              <w:autoSpaceDN w:val="0"/>
              <w:adjustRightInd w:val="0"/>
              <w:spacing w:after="60"/>
              <w:ind w:left="346"/>
            </w:pPr>
            <w:r>
              <w:t>Revise Article 811 to incorporate reference to new RP Form 105.</w:t>
            </w:r>
          </w:p>
        </w:tc>
        <w:tc>
          <w:tcPr>
            <w:tcW w:w="1710" w:type="dxa"/>
          </w:tcPr>
          <w:p w14:paraId="6E525EF2" w14:textId="77777777" w:rsidR="00062C92" w:rsidRPr="001A407A" w:rsidRDefault="00062C92" w:rsidP="00CB054F">
            <w:pPr>
              <w:tabs>
                <w:tab w:val="left" w:pos="720"/>
              </w:tabs>
              <w:rPr>
                <w:szCs w:val="22"/>
              </w:rPr>
            </w:pPr>
            <w:r>
              <w:rPr>
                <w:szCs w:val="22"/>
              </w:rPr>
              <w:t>January 2013</w:t>
            </w:r>
          </w:p>
        </w:tc>
      </w:tr>
      <w:tr w:rsidR="00062C92" w:rsidRPr="004F423A" w14:paraId="3A7E5612" w14:textId="77777777" w:rsidTr="00BB36F1">
        <w:trPr>
          <w:jc w:val="center"/>
        </w:trPr>
        <w:tc>
          <w:tcPr>
            <w:tcW w:w="1975" w:type="dxa"/>
          </w:tcPr>
          <w:p w14:paraId="59609267" w14:textId="77777777" w:rsidR="00062C92" w:rsidRPr="004F423A" w:rsidRDefault="00062C92" w:rsidP="00CB054F">
            <w:pPr>
              <w:tabs>
                <w:tab w:val="left" w:pos="720"/>
              </w:tabs>
            </w:pPr>
            <w:r>
              <w:rPr>
                <w:szCs w:val="22"/>
              </w:rPr>
              <w:t>J. D. Cossairt</w:t>
            </w:r>
          </w:p>
        </w:tc>
        <w:tc>
          <w:tcPr>
            <w:tcW w:w="7470" w:type="dxa"/>
            <w:vAlign w:val="bottom"/>
          </w:tcPr>
          <w:p w14:paraId="68DD6CF5" w14:textId="5BD64453" w:rsidR="00062C92" w:rsidRDefault="00062C92" w:rsidP="00BB36F1">
            <w:pPr>
              <w:pStyle w:val="ListParagraph"/>
              <w:numPr>
                <w:ilvl w:val="0"/>
                <w:numId w:val="24"/>
              </w:numPr>
              <w:autoSpaceDE w:val="0"/>
              <w:autoSpaceDN w:val="0"/>
              <w:adjustRightInd w:val="0"/>
              <w:ind w:left="341"/>
            </w:pPr>
            <w:r>
              <w:t xml:space="preserve">Revised to incorporate establishment of the </w:t>
            </w:r>
            <w:proofErr w:type="spellStart"/>
            <w:r>
              <w:t>FESHCom</w:t>
            </w:r>
            <w:proofErr w:type="spellEnd"/>
            <w:r>
              <w:t xml:space="preserve"> Shielding Assessment Review Subcommittee (FSARS).</w:t>
            </w:r>
          </w:p>
          <w:p w14:paraId="11A9D04B" w14:textId="77777777" w:rsidR="00062C92" w:rsidRDefault="00062C92" w:rsidP="00BB36F1">
            <w:pPr>
              <w:pStyle w:val="ListParagraph"/>
              <w:numPr>
                <w:ilvl w:val="0"/>
                <w:numId w:val="24"/>
              </w:numPr>
              <w:autoSpaceDE w:val="0"/>
              <w:autoSpaceDN w:val="0"/>
              <w:adjustRightInd w:val="0"/>
              <w:ind w:left="341"/>
            </w:pPr>
            <w:r>
              <w:t>Improve consistency with FESHM Chapter 2010.</w:t>
            </w:r>
          </w:p>
          <w:p w14:paraId="3AA88631" w14:textId="77777777" w:rsidR="00062C92" w:rsidRDefault="00062C92" w:rsidP="00BB36F1">
            <w:pPr>
              <w:pStyle w:val="ListParagraph"/>
              <w:numPr>
                <w:ilvl w:val="0"/>
                <w:numId w:val="24"/>
              </w:numPr>
              <w:autoSpaceDE w:val="0"/>
              <w:autoSpaceDN w:val="0"/>
              <w:adjustRightInd w:val="0"/>
              <w:ind w:left="341"/>
            </w:pPr>
            <w:r>
              <w:t>Set forth a procedure for obtaining approval for selecting active in lieu of passive shielding cross-referenced to the Director’s Exceptions specified in FESHM Chapter 1010.</w:t>
            </w:r>
          </w:p>
          <w:p w14:paraId="6E30E170" w14:textId="77777777" w:rsidR="00062C92" w:rsidRDefault="00062C92" w:rsidP="00BB36F1">
            <w:pPr>
              <w:pStyle w:val="ListParagraph"/>
              <w:numPr>
                <w:ilvl w:val="0"/>
                <w:numId w:val="24"/>
              </w:numPr>
              <w:autoSpaceDE w:val="0"/>
              <w:autoSpaceDN w:val="0"/>
              <w:adjustRightInd w:val="0"/>
              <w:ind w:left="341"/>
            </w:pPr>
            <w:r>
              <w:t>Improve statement of current practices.</w:t>
            </w:r>
          </w:p>
          <w:p w14:paraId="7F32FE68" w14:textId="5DFD3760" w:rsidR="00062C92" w:rsidRPr="004F423A" w:rsidRDefault="00062C92" w:rsidP="00BB36F1">
            <w:pPr>
              <w:pStyle w:val="ListParagraph"/>
              <w:numPr>
                <w:ilvl w:val="0"/>
                <w:numId w:val="24"/>
              </w:numPr>
              <w:autoSpaceDE w:val="0"/>
              <w:autoSpaceDN w:val="0"/>
              <w:adjustRightInd w:val="0"/>
              <w:ind w:left="341"/>
            </w:pPr>
            <w:r>
              <w:t>Rename chapter to better reflect importance of ALARA program.</w:t>
            </w:r>
          </w:p>
        </w:tc>
        <w:tc>
          <w:tcPr>
            <w:tcW w:w="1710" w:type="dxa"/>
          </w:tcPr>
          <w:p w14:paraId="6256E439" w14:textId="10977841" w:rsidR="00062C92" w:rsidRPr="001A407A" w:rsidRDefault="00062C92" w:rsidP="00CB054F">
            <w:pPr>
              <w:tabs>
                <w:tab w:val="left" w:pos="720"/>
              </w:tabs>
              <w:rPr>
                <w:color w:val="FF0000"/>
              </w:rPr>
            </w:pPr>
            <w:r w:rsidRPr="001A407A">
              <w:rPr>
                <w:szCs w:val="22"/>
              </w:rPr>
              <w:t>A</w:t>
            </w:r>
            <w:r w:rsidR="00414AD2">
              <w:rPr>
                <w:szCs w:val="22"/>
              </w:rPr>
              <w:t>ugust</w:t>
            </w:r>
            <w:r w:rsidRPr="001A407A">
              <w:rPr>
                <w:szCs w:val="22"/>
              </w:rPr>
              <w:t xml:space="preserve"> 2011</w:t>
            </w:r>
          </w:p>
        </w:tc>
      </w:tr>
    </w:tbl>
    <w:p w14:paraId="6A5A14D3" w14:textId="65EBEB56" w:rsidR="001C0CA3" w:rsidRDefault="001C0CA3">
      <w:pPr>
        <w:rPr>
          <w:b/>
          <w:sz w:val="28"/>
        </w:rPr>
      </w:pPr>
    </w:p>
    <w:p w14:paraId="6053C7EC" w14:textId="77777777" w:rsidR="00C81A63" w:rsidRDefault="00C81A63">
      <w:pPr>
        <w:rPr>
          <w:b/>
          <w:sz w:val="28"/>
        </w:rPr>
      </w:pPr>
      <w:r>
        <w:rPr>
          <w:b/>
        </w:rPr>
        <w:lastRenderedPageBreak/>
        <w:br w:type="page"/>
      </w:r>
    </w:p>
    <w:p w14:paraId="55A92639" w14:textId="75E153AB" w:rsidR="00A4170E" w:rsidRDefault="00A4170E">
      <w:pPr>
        <w:pStyle w:val="Title"/>
      </w:pPr>
      <w:r>
        <w:rPr>
          <w:b/>
        </w:rPr>
        <w:lastRenderedPageBreak/>
        <w:t xml:space="preserve">CHAPTER 8   </w:t>
      </w:r>
      <w:r w:rsidR="005E77A4">
        <w:rPr>
          <w:b/>
        </w:rPr>
        <w:t>ALARA MANAGEMENT OF ACCELERATOR RADATION SHIELDING</w:t>
      </w:r>
    </w:p>
    <w:p w14:paraId="552C4461" w14:textId="77777777" w:rsidR="00A4170E" w:rsidRDefault="00A4170E">
      <w:pPr>
        <w:pStyle w:val="Title"/>
      </w:pPr>
    </w:p>
    <w:p w14:paraId="1E4817C1" w14:textId="77777777" w:rsidR="00A4170E" w:rsidRPr="00211AE6" w:rsidRDefault="00A4170E">
      <w:pPr>
        <w:pStyle w:val="Title"/>
        <w:rPr>
          <w:b/>
        </w:rPr>
      </w:pPr>
      <w:r w:rsidRPr="00211AE6">
        <w:rPr>
          <w:b/>
          <w:caps/>
        </w:rPr>
        <w:t>Table of Contents</w:t>
      </w:r>
    </w:p>
    <w:bookmarkStart w:id="0" w:name="_Toc39300983" w:displacedByCustomXml="next"/>
    <w:sdt>
      <w:sdtPr>
        <w:rPr>
          <w:b w:val="0"/>
          <w:bCs/>
        </w:rPr>
        <w:id w:val="198828542"/>
        <w:docPartObj>
          <w:docPartGallery w:val="Table of Contents"/>
          <w:docPartUnique/>
        </w:docPartObj>
      </w:sdtPr>
      <w:sdtEndPr>
        <w:rPr>
          <w:bCs w:val="0"/>
          <w:noProof/>
        </w:rPr>
      </w:sdtEndPr>
      <w:sdtContent>
        <w:p w14:paraId="6FCC8581" w14:textId="1FEAFC7F" w:rsidR="00375182" w:rsidRDefault="00CB7845">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31185429" w:history="1">
            <w:r w:rsidR="00375182" w:rsidRPr="00B34BDA">
              <w:rPr>
                <w:rStyle w:val="Hyperlink"/>
                <w:noProof/>
              </w:rPr>
              <w:t>POLICIES AND PROCEDURES CONCERNING SHIELDING OF ACCELERATORS/BEAMLINES</w:t>
            </w:r>
            <w:r w:rsidR="00375182">
              <w:rPr>
                <w:noProof/>
                <w:webHidden/>
              </w:rPr>
              <w:tab/>
            </w:r>
            <w:r w:rsidR="00375182">
              <w:rPr>
                <w:noProof/>
                <w:webHidden/>
              </w:rPr>
              <w:fldChar w:fldCharType="begin"/>
            </w:r>
            <w:r w:rsidR="00375182">
              <w:rPr>
                <w:noProof/>
                <w:webHidden/>
              </w:rPr>
              <w:instrText xml:space="preserve"> PAGEREF _Toc31185429 \h </w:instrText>
            </w:r>
            <w:r w:rsidR="00375182">
              <w:rPr>
                <w:noProof/>
                <w:webHidden/>
              </w:rPr>
            </w:r>
            <w:r w:rsidR="00375182">
              <w:rPr>
                <w:noProof/>
                <w:webHidden/>
              </w:rPr>
              <w:fldChar w:fldCharType="separate"/>
            </w:r>
            <w:r w:rsidR="00375182">
              <w:rPr>
                <w:noProof/>
                <w:webHidden/>
              </w:rPr>
              <w:t>4</w:t>
            </w:r>
            <w:r w:rsidR="00375182">
              <w:rPr>
                <w:noProof/>
                <w:webHidden/>
              </w:rPr>
              <w:fldChar w:fldCharType="end"/>
            </w:r>
          </w:hyperlink>
        </w:p>
        <w:p w14:paraId="142A8819" w14:textId="279C5296" w:rsidR="00375182" w:rsidRDefault="00703CA8">
          <w:pPr>
            <w:pStyle w:val="TOC1"/>
            <w:rPr>
              <w:rFonts w:asciiTheme="minorHAnsi" w:eastAsiaTheme="minorEastAsia" w:hAnsiTheme="minorHAnsi" w:cstheme="minorBidi"/>
              <w:b w:val="0"/>
              <w:noProof/>
              <w:sz w:val="22"/>
              <w:szCs w:val="22"/>
            </w:rPr>
          </w:pPr>
          <w:hyperlink w:anchor="_Toc31185430" w:history="1">
            <w:r w:rsidR="00375182" w:rsidRPr="00B34BDA">
              <w:rPr>
                <w:rStyle w:val="Hyperlink"/>
                <w:noProof/>
              </w:rPr>
              <w:t>811  Fermilab Policy on Accelerator Shielding Design</w:t>
            </w:r>
            <w:r w:rsidR="00375182">
              <w:rPr>
                <w:noProof/>
                <w:webHidden/>
              </w:rPr>
              <w:tab/>
            </w:r>
            <w:r w:rsidR="00375182">
              <w:rPr>
                <w:noProof/>
                <w:webHidden/>
              </w:rPr>
              <w:fldChar w:fldCharType="begin"/>
            </w:r>
            <w:r w:rsidR="00375182">
              <w:rPr>
                <w:noProof/>
                <w:webHidden/>
              </w:rPr>
              <w:instrText xml:space="preserve"> PAGEREF _Toc31185430 \h </w:instrText>
            </w:r>
            <w:r w:rsidR="00375182">
              <w:rPr>
                <w:noProof/>
                <w:webHidden/>
              </w:rPr>
            </w:r>
            <w:r w:rsidR="00375182">
              <w:rPr>
                <w:noProof/>
                <w:webHidden/>
              </w:rPr>
              <w:fldChar w:fldCharType="separate"/>
            </w:r>
            <w:r w:rsidR="00375182">
              <w:rPr>
                <w:noProof/>
                <w:webHidden/>
              </w:rPr>
              <w:t>4</w:t>
            </w:r>
            <w:r w:rsidR="00375182">
              <w:rPr>
                <w:noProof/>
                <w:webHidden/>
              </w:rPr>
              <w:fldChar w:fldCharType="end"/>
            </w:r>
          </w:hyperlink>
        </w:p>
        <w:p w14:paraId="3EB3DFA7" w14:textId="7C4CDB27" w:rsidR="00375182" w:rsidRDefault="00703CA8">
          <w:pPr>
            <w:pStyle w:val="TOC1"/>
            <w:rPr>
              <w:rFonts w:asciiTheme="minorHAnsi" w:eastAsiaTheme="minorEastAsia" w:hAnsiTheme="minorHAnsi" w:cstheme="minorBidi"/>
              <w:b w:val="0"/>
              <w:noProof/>
              <w:sz w:val="22"/>
              <w:szCs w:val="22"/>
            </w:rPr>
          </w:pPr>
          <w:hyperlink w:anchor="_Toc31185431" w:history="1">
            <w:r w:rsidR="00375182" w:rsidRPr="00B34BDA">
              <w:rPr>
                <w:rStyle w:val="Hyperlink"/>
                <w:noProof/>
              </w:rPr>
              <w:t>812  Special Technical Considerations Pertaining to Accelerator Radiation Shielding Design</w:t>
            </w:r>
            <w:r w:rsidR="00375182">
              <w:rPr>
                <w:noProof/>
                <w:webHidden/>
              </w:rPr>
              <w:tab/>
            </w:r>
            <w:r w:rsidR="00375182">
              <w:rPr>
                <w:noProof/>
                <w:webHidden/>
              </w:rPr>
              <w:fldChar w:fldCharType="begin"/>
            </w:r>
            <w:r w:rsidR="00375182">
              <w:rPr>
                <w:noProof/>
                <w:webHidden/>
              </w:rPr>
              <w:instrText xml:space="preserve"> PAGEREF _Toc31185431 \h </w:instrText>
            </w:r>
            <w:r w:rsidR="00375182">
              <w:rPr>
                <w:noProof/>
                <w:webHidden/>
              </w:rPr>
            </w:r>
            <w:r w:rsidR="00375182">
              <w:rPr>
                <w:noProof/>
                <w:webHidden/>
              </w:rPr>
              <w:fldChar w:fldCharType="separate"/>
            </w:r>
            <w:r w:rsidR="00375182">
              <w:rPr>
                <w:noProof/>
                <w:webHidden/>
              </w:rPr>
              <w:t>5</w:t>
            </w:r>
            <w:r w:rsidR="00375182">
              <w:rPr>
                <w:noProof/>
                <w:webHidden/>
              </w:rPr>
              <w:fldChar w:fldCharType="end"/>
            </w:r>
          </w:hyperlink>
        </w:p>
        <w:p w14:paraId="1597E8D4" w14:textId="4B589CA5" w:rsidR="00375182" w:rsidRDefault="00703CA8">
          <w:pPr>
            <w:pStyle w:val="TOC2"/>
            <w:rPr>
              <w:rFonts w:asciiTheme="minorHAnsi" w:eastAsiaTheme="minorEastAsia" w:hAnsiTheme="minorHAnsi" w:cstheme="minorBidi"/>
              <w:noProof/>
              <w:sz w:val="22"/>
              <w:szCs w:val="22"/>
            </w:rPr>
          </w:pPr>
          <w:hyperlink w:anchor="_Toc31185432" w:history="1">
            <w:r w:rsidR="00375182" w:rsidRPr="00B34BDA">
              <w:rPr>
                <w:rStyle w:val="Hyperlink"/>
                <w:noProof/>
              </w:rPr>
              <w:t>Table 8-1  Radiation Weighting Factors for Various Particles</w:t>
            </w:r>
            <w:r w:rsidR="00375182">
              <w:rPr>
                <w:noProof/>
                <w:webHidden/>
              </w:rPr>
              <w:tab/>
            </w:r>
            <w:r w:rsidR="00375182">
              <w:rPr>
                <w:noProof/>
                <w:webHidden/>
              </w:rPr>
              <w:fldChar w:fldCharType="begin"/>
            </w:r>
            <w:r w:rsidR="00375182">
              <w:rPr>
                <w:noProof/>
                <w:webHidden/>
              </w:rPr>
              <w:instrText xml:space="preserve"> PAGEREF _Toc31185432 \h </w:instrText>
            </w:r>
            <w:r w:rsidR="00375182">
              <w:rPr>
                <w:noProof/>
                <w:webHidden/>
              </w:rPr>
            </w:r>
            <w:r w:rsidR="00375182">
              <w:rPr>
                <w:noProof/>
                <w:webHidden/>
              </w:rPr>
              <w:fldChar w:fldCharType="separate"/>
            </w:r>
            <w:r w:rsidR="00375182">
              <w:rPr>
                <w:noProof/>
                <w:webHidden/>
              </w:rPr>
              <w:t>7</w:t>
            </w:r>
            <w:r w:rsidR="00375182">
              <w:rPr>
                <w:noProof/>
                <w:webHidden/>
              </w:rPr>
              <w:fldChar w:fldCharType="end"/>
            </w:r>
          </w:hyperlink>
        </w:p>
        <w:p w14:paraId="7FCBDAB6" w14:textId="1F383AB2" w:rsidR="00375182" w:rsidRDefault="00703CA8">
          <w:pPr>
            <w:pStyle w:val="TOC2"/>
            <w:rPr>
              <w:rFonts w:asciiTheme="minorHAnsi" w:eastAsiaTheme="minorEastAsia" w:hAnsiTheme="minorHAnsi" w:cstheme="minorBidi"/>
              <w:noProof/>
              <w:sz w:val="22"/>
              <w:szCs w:val="22"/>
            </w:rPr>
          </w:pPr>
          <w:hyperlink w:anchor="_Toc31185433" w:history="1">
            <w:r w:rsidR="00375182" w:rsidRPr="00B34BDA">
              <w:rPr>
                <w:rStyle w:val="Hyperlink"/>
                <w:noProof/>
              </w:rPr>
              <w:t>Table 8-2  Neutron Radiation Weighting or Quality Factors According to ICRP Publication 103</w:t>
            </w:r>
            <w:r w:rsidR="00375182">
              <w:rPr>
                <w:noProof/>
                <w:webHidden/>
              </w:rPr>
              <w:tab/>
            </w:r>
            <w:r w:rsidR="00375182">
              <w:rPr>
                <w:noProof/>
                <w:webHidden/>
              </w:rPr>
              <w:fldChar w:fldCharType="begin"/>
            </w:r>
            <w:r w:rsidR="00375182">
              <w:rPr>
                <w:noProof/>
                <w:webHidden/>
              </w:rPr>
              <w:instrText xml:space="preserve"> PAGEREF _Toc31185433 \h </w:instrText>
            </w:r>
            <w:r w:rsidR="00375182">
              <w:rPr>
                <w:noProof/>
                <w:webHidden/>
              </w:rPr>
            </w:r>
            <w:r w:rsidR="00375182">
              <w:rPr>
                <w:noProof/>
                <w:webHidden/>
              </w:rPr>
              <w:fldChar w:fldCharType="separate"/>
            </w:r>
            <w:r w:rsidR="00375182">
              <w:rPr>
                <w:noProof/>
                <w:webHidden/>
              </w:rPr>
              <w:t>7</w:t>
            </w:r>
            <w:r w:rsidR="00375182">
              <w:rPr>
                <w:noProof/>
                <w:webHidden/>
              </w:rPr>
              <w:fldChar w:fldCharType="end"/>
            </w:r>
          </w:hyperlink>
        </w:p>
        <w:p w14:paraId="4A92862E" w14:textId="4652D66F" w:rsidR="00375182" w:rsidRDefault="00703CA8">
          <w:pPr>
            <w:pStyle w:val="TOC2"/>
            <w:rPr>
              <w:rFonts w:asciiTheme="minorHAnsi" w:eastAsiaTheme="minorEastAsia" w:hAnsiTheme="minorHAnsi" w:cstheme="minorBidi"/>
              <w:noProof/>
              <w:sz w:val="22"/>
              <w:szCs w:val="22"/>
            </w:rPr>
          </w:pPr>
          <w:hyperlink w:anchor="_Toc31185434" w:history="1">
            <w:r w:rsidR="00375182" w:rsidRPr="00B34BDA">
              <w:rPr>
                <w:rStyle w:val="Hyperlink"/>
                <w:noProof/>
              </w:rPr>
              <w:t>Figure 8-1 Neutron Radiation Weighting (Quality) Factors as a function of neutron energy. (Based on ICRP Publication 103.)</w:t>
            </w:r>
            <w:r w:rsidR="00375182">
              <w:rPr>
                <w:noProof/>
                <w:webHidden/>
              </w:rPr>
              <w:tab/>
            </w:r>
            <w:r w:rsidR="00375182">
              <w:rPr>
                <w:noProof/>
                <w:webHidden/>
              </w:rPr>
              <w:fldChar w:fldCharType="begin"/>
            </w:r>
            <w:r w:rsidR="00375182">
              <w:rPr>
                <w:noProof/>
                <w:webHidden/>
              </w:rPr>
              <w:instrText xml:space="preserve"> PAGEREF _Toc31185434 \h </w:instrText>
            </w:r>
            <w:r w:rsidR="00375182">
              <w:rPr>
                <w:noProof/>
                <w:webHidden/>
              </w:rPr>
            </w:r>
            <w:r w:rsidR="00375182">
              <w:rPr>
                <w:noProof/>
                <w:webHidden/>
              </w:rPr>
              <w:fldChar w:fldCharType="separate"/>
            </w:r>
            <w:r w:rsidR="00375182">
              <w:rPr>
                <w:noProof/>
                <w:webHidden/>
              </w:rPr>
              <w:t>8</w:t>
            </w:r>
            <w:r w:rsidR="00375182">
              <w:rPr>
                <w:noProof/>
                <w:webHidden/>
              </w:rPr>
              <w:fldChar w:fldCharType="end"/>
            </w:r>
          </w:hyperlink>
        </w:p>
        <w:p w14:paraId="72327B88" w14:textId="7CA12EDE" w:rsidR="00375182" w:rsidRDefault="00703CA8">
          <w:pPr>
            <w:pStyle w:val="TOC1"/>
            <w:rPr>
              <w:rFonts w:asciiTheme="minorHAnsi" w:eastAsiaTheme="minorEastAsia" w:hAnsiTheme="minorHAnsi" w:cstheme="minorBidi"/>
              <w:b w:val="0"/>
              <w:noProof/>
              <w:sz w:val="22"/>
              <w:szCs w:val="22"/>
            </w:rPr>
          </w:pPr>
          <w:hyperlink w:anchor="_Toc31185435" w:history="1">
            <w:r w:rsidR="00375182" w:rsidRPr="00B34BDA">
              <w:rPr>
                <w:rStyle w:val="Hyperlink"/>
                <w:noProof/>
              </w:rPr>
              <w:t>813  Responsibilities for Configuration Control of Radiation Shielding</w:t>
            </w:r>
            <w:r w:rsidR="00375182">
              <w:rPr>
                <w:noProof/>
                <w:webHidden/>
              </w:rPr>
              <w:tab/>
            </w:r>
            <w:r w:rsidR="00375182">
              <w:rPr>
                <w:noProof/>
                <w:webHidden/>
              </w:rPr>
              <w:fldChar w:fldCharType="begin"/>
            </w:r>
            <w:r w:rsidR="00375182">
              <w:rPr>
                <w:noProof/>
                <w:webHidden/>
              </w:rPr>
              <w:instrText xml:space="preserve"> PAGEREF _Toc31185435 \h </w:instrText>
            </w:r>
            <w:r w:rsidR="00375182">
              <w:rPr>
                <w:noProof/>
                <w:webHidden/>
              </w:rPr>
            </w:r>
            <w:r w:rsidR="00375182">
              <w:rPr>
                <w:noProof/>
                <w:webHidden/>
              </w:rPr>
              <w:fldChar w:fldCharType="separate"/>
            </w:r>
            <w:r w:rsidR="00375182">
              <w:rPr>
                <w:noProof/>
                <w:webHidden/>
              </w:rPr>
              <w:t>8</w:t>
            </w:r>
            <w:r w:rsidR="00375182">
              <w:rPr>
                <w:noProof/>
                <w:webHidden/>
              </w:rPr>
              <w:fldChar w:fldCharType="end"/>
            </w:r>
          </w:hyperlink>
        </w:p>
        <w:p w14:paraId="15BA1508" w14:textId="30C3243A" w:rsidR="00375182" w:rsidRDefault="00703CA8">
          <w:pPr>
            <w:pStyle w:val="TOC1"/>
            <w:rPr>
              <w:rFonts w:asciiTheme="minorHAnsi" w:eastAsiaTheme="minorEastAsia" w:hAnsiTheme="minorHAnsi" w:cstheme="minorBidi"/>
              <w:b w:val="0"/>
              <w:noProof/>
              <w:sz w:val="22"/>
              <w:szCs w:val="22"/>
            </w:rPr>
          </w:pPr>
          <w:hyperlink w:anchor="_Toc31185436" w:history="1">
            <w:r w:rsidR="00375182" w:rsidRPr="00B34BDA">
              <w:rPr>
                <w:rStyle w:val="Hyperlink"/>
                <w:noProof/>
              </w:rPr>
              <w:t>814  Shielding Assessment Preparation, Review, and Approval Process</w:t>
            </w:r>
            <w:r w:rsidR="00375182">
              <w:rPr>
                <w:noProof/>
                <w:webHidden/>
              </w:rPr>
              <w:tab/>
            </w:r>
            <w:r w:rsidR="00375182">
              <w:rPr>
                <w:noProof/>
                <w:webHidden/>
              </w:rPr>
              <w:fldChar w:fldCharType="begin"/>
            </w:r>
            <w:r w:rsidR="00375182">
              <w:rPr>
                <w:noProof/>
                <w:webHidden/>
              </w:rPr>
              <w:instrText xml:space="preserve"> PAGEREF _Toc31185436 \h </w:instrText>
            </w:r>
            <w:r w:rsidR="00375182">
              <w:rPr>
                <w:noProof/>
                <w:webHidden/>
              </w:rPr>
            </w:r>
            <w:r w:rsidR="00375182">
              <w:rPr>
                <w:noProof/>
                <w:webHidden/>
              </w:rPr>
              <w:fldChar w:fldCharType="separate"/>
            </w:r>
            <w:r w:rsidR="00375182">
              <w:rPr>
                <w:noProof/>
                <w:webHidden/>
              </w:rPr>
              <w:t>11</w:t>
            </w:r>
            <w:r w:rsidR="00375182">
              <w:rPr>
                <w:noProof/>
                <w:webHidden/>
              </w:rPr>
              <w:fldChar w:fldCharType="end"/>
            </w:r>
          </w:hyperlink>
        </w:p>
        <w:p w14:paraId="1EC59ADE" w14:textId="4DB01AEF" w:rsidR="00375182" w:rsidRDefault="00703CA8">
          <w:pPr>
            <w:pStyle w:val="TOC2"/>
            <w:rPr>
              <w:rFonts w:asciiTheme="minorHAnsi" w:eastAsiaTheme="minorEastAsia" w:hAnsiTheme="minorHAnsi" w:cstheme="minorBidi"/>
              <w:noProof/>
              <w:sz w:val="22"/>
              <w:szCs w:val="22"/>
            </w:rPr>
          </w:pPr>
          <w:hyperlink w:anchor="_Toc31185437" w:history="1">
            <w:r w:rsidR="00375182" w:rsidRPr="00B34BDA">
              <w:rPr>
                <w:rStyle w:val="Hyperlink"/>
                <w:noProof/>
              </w:rPr>
              <w:t>Fig. 8-2 Fermilab Radiation Shielding Design Review Process</w:t>
            </w:r>
            <w:r w:rsidR="00375182">
              <w:rPr>
                <w:noProof/>
                <w:webHidden/>
              </w:rPr>
              <w:tab/>
            </w:r>
            <w:r w:rsidR="00375182">
              <w:rPr>
                <w:noProof/>
                <w:webHidden/>
              </w:rPr>
              <w:fldChar w:fldCharType="begin"/>
            </w:r>
            <w:r w:rsidR="00375182">
              <w:rPr>
                <w:noProof/>
                <w:webHidden/>
              </w:rPr>
              <w:instrText xml:space="preserve"> PAGEREF _Toc31185437 \h </w:instrText>
            </w:r>
            <w:r w:rsidR="00375182">
              <w:rPr>
                <w:noProof/>
                <w:webHidden/>
              </w:rPr>
            </w:r>
            <w:r w:rsidR="00375182">
              <w:rPr>
                <w:noProof/>
                <w:webHidden/>
              </w:rPr>
              <w:fldChar w:fldCharType="separate"/>
            </w:r>
            <w:r w:rsidR="00375182">
              <w:rPr>
                <w:noProof/>
                <w:webHidden/>
              </w:rPr>
              <w:t>11</w:t>
            </w:r>
            <w:r w:rsidR="00375182">
              <w:rPr>
                <w:noProof/>
                <w:webHidden/>
              </w:rPr>
              <w:fldChar w:fldCharType="end"/>
            </w:r>
          </w:hyperlink>
        </w:p>
        <w:p w14:paraId="1DD2EAA7" w14:textId="3A47598B" w:rsidR="00375182" w:rsidRDefault="00703CA8">
          <w:pPr>
            <w:pStyle w:val="TOC1"/>
            <w:rPr>
              <w:rFonts w:asciiTheme="minorHAnsi" w:eastAsiaTheme="minorEastAsia" w:hAnsiTheme="minorHAnsi" w:cstheme="minorBidi"/>
              <w:b w:val="0"/>
              <w:noProof/>
              <w:sz w:val="22"/>
              <w:szCs w:val="22"/>
            </w:rPr>
          </w:pPr>
          <w:hyperlink w:anchor="_Toc31185438" w:history="1">
            <w:r w:rsidR="00375182" w:rsidRPr="00B34BDA">
              <w:rPr>
                <w:rStyle w:val="Hyperlink"/>
                <w:noProof/>
              </w:rPr>
              <w:t>815 Content of Shielding Assessments</w:t>
            </w:r>
            <w:r w:rsidR="00375182">
              <w:rPr>
                <w:noProof/>
                <w:webHidden/>
              </w:rPr>
              <w:tab/>
            </w:r>
            <w:r w:rsidR="00375182">
              <w:rPr>
                <w:noProof/>
                <w:webHidden/>
              </w:rPr>
              <w:fldChar w:fldCharType="begin"/>
            </w:r>
            <w:r w:rsidR="00375182">
              <w:rPr>
                <w:noProof/>
                <w:webHidden/>
              </w:rPr>
              <w:instrText xml:space="preserve"> PAGEREF _Toc31185438 \h </w:instrText>
            </w:r>
            <w:r w:rsidR="00375182">
              <w:rPr>
                <w:noProof/>
                <w:webHidden/>
              </w:rPr>
            </w:r>
            <w:r w:rsidR="00375182">
              <w:rPr>
                <w:noProof/>
                <w:webHidden/>
              </w:rPr>
              <w:fldChar w:fldCharType="separate"/>
            </w:r>
            <w:r w:rsidR="00375182">
              <w:rPr>
                <w:noProof/>
                <w:webHidden/>
              </w:rPr>
              <w:t>13</w:t>
            </w:r>
            <w:r w:rsidR="00375182">
              <w:rPr>
                <w:noProof/>
                <w:webHidden/>
              </w:rPr>
              <w:fldChar w:fldCharType="end"/>
            </w:r>
          </w:hyperlink>
        </w:p>
        <w:p w14:paraId="3F80BE64" w14:textId="7F0C81BF" w:rsidR="00375182" w:rsidRDefault="00703CA8">
          <w:pPr>
            <w:pStyle w:val="TOC1"/>
            <w:rPr>
              <w:rFonts w:asciiTheme="minorHAnsi" w:eastAsiaTheme="minorEastAsia" w:hAnsiTheme="minorHAnsi" w:cstheme="minorBidi"/>
              <w:b w:val="0"/>
              <w:noProof/>
              <w:sz w:val="22"/>
              <w:szCs w:val="22"/>
            </w:rPr>
          </w:pPr>
          <w:hyperlink w:anchor="_Toc31185439" w:history="1">
            <w:r w:rsidR="00375182" w:rsidRPr="00B34BDA">
              <w:rPr>
                <w:rStyle w:val="Hyperlink"/>
                <w:noProof/>
              </w:rPr>
              <w:t>APPENDIX 1- Brief Synopsis of Methodologies for Assessing the Shielding of Particle Accelerators</w:t>
            </w:r>
            <w:r w:rsidR="00375182">
              <w:rPr>
                <w:noProof/>
                <w:webHidden/>
              </w:rPr>
              <w:tab/>
            </w:r>
            <w:r w:rsidR="00375182">
              <w:rPr>
                <w:noProof/>
                <w:webHidden/>
              </w:rPr>
              <w:fldChar w:fldCharType="begin"/>
            </w:r>
            <w:r w:rsidR="00375182">
              <w:rPr>
                <w:noProof/>
                <w:webHidden/>
              </w:rPr>
              <w:instrText xml:space="preserve"> PAGEREF _Toc31185439 \h </w:instrText>
            </w:r>
            <w:r w:rsidR="00375182">
              <w:rPr>
                <w:noProof/>
                <w:webHidden/>
              </w:rPr>
            </w:r>
            <w:r w:rsidR="00375182">
              <w:rPr>
                <w:noProof/>
                <w:webHidden/>
              </w:rPr>
              <w:fldChar w:fldCharType="separate"/>
            </w:r>
            <w:r w:rsidR="00375182">
              <w:rPr>
                <w:noProof/>
                <w:webHidden/>
              </w:rPr>
              <w:t>15</w:t>
            </w:r>
            <w:r w:rsidR="00375182">
              <w:rPr>
                <w:noProof/>
                <w:webHidden/>
              </w:rPr>
              <w:fldChar w:fldCharType="end"/>
            </w:r>
          </w:hyperlink>
        </w:p>
        <w:p w14:paraId="4914E53C" w14:textId="44BA6C2F" w:rsidR="00375182" w:rsidRDefault="00703CA8">
          <w:pPr>
            <w:pStyle w:val="TOC1"/>
            <w:rPr>
              <w:rFonts w:asciiTheme="minorHAnsi" w:eastAsiaTheme="minorEastAsia" w:hAnsiTheme="minorHAnsi" w:cstheme="minorBidi"/>
              <w:b w:val="0"/>
              <w:noProof/>
              <w:sz w:val="22"/>
              <w:szCs w:val="22"/>
            </w:rPr>
          </w:pPr>
          <w:hyperlink w:anchor="_Toc31185440" w:history="1">
            <w:r w:rsidR="00375182" w:rsidRPr="00B34BDA">
              <w:rPr>
                <w:rStyle w:val="Hyperlink"/>
                <w:noProof/>
              </w:rPr>
              <w:t>APPENDIX 2 - Shielding Assessment Outline</w:t>
            </w:r>
            <w:r w:rsidR="00375182">
              <w:rPr>
                <w:noProof/>
                <w:webHidden/>
              </w:rPr>
              <w:tab/>
            </w:r>
            <w:r w:rsidR="00375182">
              <w:rPr>
                <w:noProof/>
                <w:webHidden/>
              </w:rPr>
              <w:fldChar w:fldCharType="begin"/>
            </w:r>
            <w:r w:rsidR="00375182">
              <w:rPr>
                <w:noProof/>
                <w:webHidden/>
              </w:rPr>
              <w:instrText xml:space="preserve"> PAGEREF _Toc31185440 \h </w:instrText>
            </w:r>
            <w:r w:rsidR="00375182">
              <w:rPr>
                <w:noProof/>
                <w:webHidden/>
              </w:rPr>
            </w:r>
            <w:r w:rsidR="00375182">
              <w:rPr>
                <w:noProof/>
                <w:webHidden/>
              </w:rPr>
              <w:fldChar w:fldCharType="separate"/>
            </w:r>
            <w:r w:rsidR="00375182">
              <w:rPr>
                <w:noProof/>
                <w:webHidden/>
              </w:rPr>
              <w:t>17</w:t>
            </w:r>
            <w:r w:rsidR="00375182">
              <w:rPr>
                <w:noProof/>
                <w:webHidden/>
              </w:rPr>
              <w:fldChar w:fldCharType="end"/>
            </w:r>
          </w:hyperlink>
        </w:p>
        <w:p w14:paraId="60943ABD" w14:textId="6C400A00" w:rsidR="00CB7845" w:rsidRDefault="00CB7845">
          <w:r>
            <w:rPr>
              <w:b/>
              <w:bCs/>
              <w:noProof/>
            </w:rPr>
            <w:fldChar w:fldCharType="end"/>
          </w:r>
        </w:p>
      </w:sdtContent>
    </w:sdt>
    <w:p w14:paraId="319E417F" w14:textId="77777777" w:rsidR="000B4489" w:rsidRDefault="000B4489">
      <w:r>
        <w:br w:type="page"/>
      </w:r>
    </w:p>
    <w:p w14:paraId="7BB8AAFF" w14:textId="6522C073" w:rsidR="00573F1E" w:rsidRDefault="00573F1E" w:rsidP="00ED2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Radiological control performance is affected by human performance a</w:t>
      </w:r>
      <w:r w:rsidR="005B0C6F">
        <w:t xml:space="preserve">nd engineered design features. </w:t>
      </w:r>
      <w:r w:rsidR="00034E74">
        <w:t xml:space="preserve">This Chapter sets forth the policies for the design of new facilities and major modifications to existing facilities. </w:t>
      </w:r>
    </w:p>
    <w:p w14:paraId="7684FC35" w14:textId="77777777" w:rsidR="00AA54A8" w:rsidRDefault="00AA54A8" w:rsidP="00ED2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6CC7BF5" w14:textId="2C87E3F1" w:rsidR="00AA54A8" w:rsidRPr="00290247" w:rsidRDefault="00AA54A8" w:rsidP="00AA54A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For purposes of this chapter, “dose” means effective dose as defined by </w:t>
      </w:r>
      <w:r w:rsidR="002D2FC1">
        <w:t xml:space="preserve">International Commission on Radiation Protection (ICRP) </w:t>
      </w:r>
      <w:r>
        <w:t>Publications 60, 61, 74, and 103. Likewise, the terms “quality factor”</w:t>
      </w:r>
      <w:r w:rsidR="00E6520E">
        <w:t>,</w:t>
      </w:r>
      <w:r>
        <w:t xml:space="preserve"> </w:t>
      </w:r>
      <w:r>
        <w:rPr>
          <w:i/>
        </w:rPr>
        <w:t>Q</w:t>
      </w:r>
      <w:r w:rsidR="00E6520E">
        <w:rPr>
          <w:i/>
        </w:rPr>
        <w:t>,</w:t>
      </w:r>
      <w:r>
        <w:t xml:space="preserve"> and “effective quality factor”</w:t>
      </w:r>
      <w:r w:rsidR="00E6520E">
        <w:t>,</w:t>
      </w:r>
      <w:r>
        <w:t xml:space="preserve"> </w:t>
      </w:r>
      <w:proofErr w:type="spellStart"/>
      <w:r>
        <w:rPr>
          <w:i/>
        </w:rPr>
        <w:t>Q</w:t>
      </w:r>
      <w:r>
        <w:rPr>
          <w:i/>
          <w:vertAlign w:val="subscript"/>
        </w:rPr>
        <w:t>eff</w:t>
      </w:r>
      <w:proofErr w:type="spellEnd"/>
      <w:r w:rsidR="00E6520E">
        <w:t xml:space="preserve">, </w:t>
      </w:r>
      <w:proofErr w:type="gramStart"/>
      <w:r>
        <w:t>are considered to be</w:t>
      </w:r>
      <w:proofErr w:type="gramEnd"/>
      <w:r>
        <w:t xml:space="preserve"> equivalent to “radiation weighting factor</w:t>
      </w:r>
      <w:r w:rsidR="00034E40">
        <w:t>”</w:t>
      </w:r>
      <w:r w:rsidR="00D9454C">
        <w:t>,</w:t>
      </w:r>
      <w:r>
        <w:t xml:space="preserve"> </w:t>
      </w:r>
      <w:proofErr w:type="spellStart"/>
      <w:r>
        <w:rPr>
          <w:i/>
        </w:rPr>
        <w:t>w</w:t>
      </w:r>
      <w:r>
        <w:rPr>
          <w:i/>
          <w:vertAlign w:val="subscript"/>
        </w:rPr>
        <w:t>R</w:t>
      </w:r>
      <w:proofErr w:type="spellEnd"/>
      <w:r w:rsidR="00D9454C">
        <w:t xml:space="preserve">, </w:t>
      </w:r>
      <w:r>
        <w:t>addressed in ICRP Publications 60, 61, 74, and 103</w:t>
      </w:r>
      <w:r w:rsidR="00DE51F9">
        <w:t xml:space="preserve"> when comparing older shielding calculations</w:t>
      </w:r>
      <w:r w:rsidR="00F17C0C">
        <w:t xml:space="preserve"> and assessments</w:t>
      </w:r>
      <w:r w:rsidR="00DE51F9">
        <w:t xml:space="preserve"> to newer ones</w:t>
      </w:r>
      <w:r>
        <w:t>.</w:t>
      </w:r>
    </w:p>
    <w:p w14:paraId="4DBC45D6" w14:textId="77777777" w:rsidR="00AA54A8" w:rsidRDefault="00AA54A8" w:rsidP="00ED2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AD008CB" w14:textId="7E047240" w:rsidR="00A4170E" w:rsidRPr="00211AE6" w:rsidRDefault="00A4170E" w:rsidP="006557C2">
      <w:pPr>
        <w:pStyle w:val="Heading1"/>
        <w:jc w:val="both"/>
      </w:pPr>
      <w:bookmarkStart w:id="1" w:name="_Toc301440382"/>
      <w:bookmarkStart w:id="2" w:name="_Toc31185429"/>
      <w:r w:rsidRPr="00211AE6">
        <w:t>POLICIES AND PROCEDURES CONCERNING SHIELDING OF ACCELERATORS/BEAMLINES</w:t>
      </w:r>
      <w:bookmarkEnd w:id="0"/>
      <w:bookmarkEnd w:id="1"/>
      <w:bookmarkEnd w:id="2"/>
    </w:p>
    <w:p w14:paraId="29EE3CB9" w14:textId="77777777" w:rsidR="00A4170E" w:rsidRDefault="00A4170E">
      <w:pPr>
        <w:rPr>
          <w:b/>
        </w:rPr>
      </w:pPr>
    </w:p>
    <w:p w14:paraId="339C4B0B" w14:textId="4F6A3280" w:rsidR="00A4170E" w:rsidRPr="00ED2E44" w:rsidRDefault="00944022" w:rsidP="00211AE6">
      <w:pPr>
        <w:pStyle w:val="Heading1"/>
      </w:pPr>
      <w:bookmarkStart w:id="3" w:name="_Toc39300984"/>
      <w:bookmarkStart w:id="4" w:name="_Toc301440383"/>
      <w:bookmarkStart w:id="5" w:name="_Toc31185430"/>
      <w:r>
        <w:t>811 Fermilab</w:t>
      </w:r>
      <w:r w:rsidR="004D752E">
        <w:t xml:space="preserve"> </w:t>
      </w:r>
      <w:r w:rsidR="00A4170E">
        <w:t xml:space="preserve">Policy on </w:t>
      </w:r>
      <w:r w:rsidR="004D752E">
        <w:t xml:space="preserve">Accelerator Shielding </w:t>
      </w:r>
      <w:r w:rsidR="00A4170E">
        <w:t>Design</w:t>
      </w:r>
      <w:bookmarkEnd w:id="3"/>
      <w:bookmarkEnd w:id="4"/>
      <w:bookmarkEnd w:id="5"/>
      <w:r w:rsidR="00ED2E44">
        <w:t xml:space="preserve"> </w:t>
      </w:r>
    </w:p>
    <w:p w14:paraId="0DF7A391" w14:textId="77777777" w:rsidR="00A4170E" w:rsidRDefault="00A41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p>
    <w:p w14:paraId="704A987C" w14:textId="210FBE05" w:rsidR="004D752E" w:rsidRDefault="004D752E" w:rsidP="004D752E">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Shielding designs </w:t>
      </w:r>
      <w:r w:rsidR="002E2F66">
        <w:t xml:space="preserve">shall </w:t>
      </w:r>
      <w:r>
        <w:t>be well-engineered to maintain occupational and en</w:t>
      </w:r>
      <w:r w:rsidR="002C3B29">
        <w:t>vironmental radiation exposures</w:t>
      </w:r>
      <w:r>
        <w:t xml:space="preserve"> as low as reasonably achievable (ALARA) and compliant with applicable Regulations and </w:t>
      </w:r>
      <w:r w:rsidR="002D2FC1">
        <w:t>U. S. Department of Energy (</w:t>
      </w:r>
      <w:r>
        <w:t>DOE</w:t>
      </w:r>
      <w:r w:rsidR="002D2FC1">
        <w:t>)</w:t>
      </w:r>
      <w:r>
        <w:t xml:space="preserve"> Orders.</w:t>
      </w:r>
    </w:p>
    <w:p w14:paraId="78C8D0B1" w14:textId="77777777" w:rsidR="004D752E" w:rsidRDefault="004D752E" w:rsidP="004D752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AFB1C0C" w14:textId="77777777" w:rsidR="004D752E" w:rsidRDefault="004D752E" w:rsidP="004D752E">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The first choice for </w:t>
      </w:r>
      <w:r w:rsidR="007962CD">
        <w:t>initial designs</w:t>
      </w:r>
      <w:r w:rsidR="008F548C">
        <w:t xml:space="preserve"> of new facilities</w:t>
      </w:r>
      <w:r w:rsidR="007962CD">
        <w:t xml:space="preserve"> </w:t>
      </w:r>
      <w:r w:rsidR="008F548C">
        <w:t xml:space="preserve">or significant modifications </w:t>
      </w:r>
      <w:r w:rsidR="007962CD">
        <w:t>of accelerator shielding</w:t>
      </w:r>
      <w:r w:rsidR="008F548C">
        <w:t xml:space="preserve"> of existing facilities</w:t>
      </w:r>
      <w:r>
        <w:t xml:space="preserve"> sh</w:t>
      </w:r>
      <w:r w:rsidR="00C20C1D">
        <w:t>all</w:t>
      </w:r>
      <w:r>
        <w:t xml:space="preserve"> be passive </w:t>
      </w:r>
      <w:r w:rsidR="00761674">
        <w:t xml:space="preserve">shielding </w:t>
      </w:r>
      <w:r>
        <w:t>elements</w:t>
      </w:r>
      <w:r w:rsidR="00761674">
        <w:t xml:space="preserve"> designed to achieve areas external to shielding to be classified as minimal occupancy </w:t>
      </w:r>
      <w:r w:rsidR="007962CD">
        <w:t xml:space="preserve">or better </w:t>
      </w:r>
      <w:r w:rsidR="00761674">
        <w:t>in accordance with provisions of Article 236</w:t>
      </w:r>
      <w:r>
        <w:t>. Reliance on active systems such as radiation safety interlocks and/or beamline instrumentation to achieve radiation safety goals should be chosen only if passive elements cannot, in view of planned accelerator operations, reasonably achieve the level of protection required by the provisions of this Manual.</w:t>
      </w:r>
      <w:r w:rsidR="007962CD">
        <w:t xml:space="preserve"> </w:t>
      </w:r>
    </w:p>
    <w:p w14:paraId="77D3E9A8" w14:textId="77777777" w:rsidR="00EC2C2C" w:rsidRDefault="00EC2C2C" w:rsidP="00EC2C2C">
      <w:pPr>
        <w:pStyle w:val="ListParagraph"/>
      </w:pPr>
    </w:p>
    <w:p w14:paraId="17B7BCBB" w14:textId="77777777" w:rsidR="00290247" w:rsidRDefault="006D76DD" w:rsidP="004D752E">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The design goal for d</w:t>
      </w:r>
      <w:r w:rsidR="00A4170E">
        <w:t xml:space="preserve">ose rates in areas of continuous occupancy </w:t>
      </w:r>
      <w:r w:rsidR="00034E40">
        <w:t xml:space="preserve">shall </w:t>
      </w:r>
      <w:r w:rsidR="00034E74">
        <w:t>be less than an average of 0.05</w:t>
      </w:r>
      <w:r w:rsidR="004D752E">
        <w:t xml:space="preserve"> </w:t>
      </w:r>
      <w:r>
        <w:t>mrem/</w:t>
      </w:r>
      <w:proofErr w:type="spellStart"/>
      <w:r>
        <w:t>hr</w:t>
      </w:r>
      <w:proofErr w:type="spellEnd"/>
      <w:r>
        <w:t xml:space="preserve"> and as far below this</w:t>
      </w:r>
      <w:r w:rsidR="00B84BB4">
        <w:t xml:space="preserve"> and as low as</w:t>
      </w:r>
      <w:r w:rsidR="00A4170E">
        <w:t xml:space="preserve"> is reasonably achievable</w:t>
      </w:r>
      <w:r w:rsidR="008E58C3">
        <w:t xml:space="preserve"> (ALARA)</w:t>
      </w:r>
      <w:r>
        <w:t>.</w:t>
      </w:r>
      <w:r w:rsidR="00A4170E">
        <w:t xml:space="preserve"> </w:t>
      </w:r>
      <w:r w:rsidR="00034E40">
        <w:t>S</w:t>
      </w:r>
      <w:r w:rsidR="00A4170E">
        <w:t>ee Articles 234 and 236</w:t>
      </w:r>
      <w:r>
        <w:t xml:space="preserve"> and the Tables associated with those Articles.</w:t>
      </w:r>
      <w:r w:rsidR="00A4170E">
        <w:t xml:space="preserve"> </w:t>
      </w:r>
      <w:r w:rsidR="00ED2E44">
        <w:t xml:space="preserve">Dose </w:t>
      </w:r>
      <w:r w:rsidR="00A4170E">
        <w:t>rates for potential exposure to radiological workers in areas without continuous occupancy shall be ALARA and such that individuals do not receive more than 20% of the applicable limits as stated in Table 2-1.</w:t>
      </w:r>
      <w:r w:rsidR="00290247">
        <w:t xml:space="preserve"> </w:t>
      </w:r>
    </w:p>
    <w:p w14:paraId="7ED01E95" w14:textId="77777777" w:rsidR="00A4170E" w:rsidRDefault="00A4170E" w:rsidP="004D752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1132335E" w14:textId="52CE9599" w:rsidR="00A4170E" w:rsidRDefault="00A4170E" w:rsidP="009A2E1E">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Discharges of radioactive liquid to the environment are covered by provisions of DOE </w:t>
      </w:r>
      <w:r w:rsidR="00B217B9">
        <w:t xml:space="preserve">Order </w:t>
      </w:r>
      <w:r w:rsidR="007658E9">
        <w:t>458.1 as implemented under the DOE-</w:t>
      </w:r>
      <w:r w:rsidR="00C21493">
        <w:t xml:space="preserve">Fermi Research Alliance </w:t>
      </w:r>
      <w:r w:rsidR="007658E9">
        <w:t>contract.</w:t>
      </w:r>
      <w:r w:rsidR="00871CBE">
        <w:t xml:space="preserve"> Further discussio</w:t>
      </w:r>
      <w:r w:rsidR="009A2E1E">
        <w:t xml:space="preserve">n is provided in </w:t>
      </w:r>
      <w:r w:rsidR="009A2E1E" w:rsidRPr="009A2E1E">
        <w:t>FRCM Chapter 11</w:t>
      </w:r>
      <w:r w:rsidR="00871CBE">
        <w:t>.</w:t>
      </w:r>
      <w:r w:rsidR="00616831">
        <w:t xml:space="preserve"> </w:t>
      </w:r>
      <w:r w:rsidR="007658E9">
        <w:t xml:space="preserve">The </w:t>
      </w:r>
      <w:r>
        <w:t xml:space="preserve">concentrations should be kept </w:t>
      </w:r>
      <w:r w:rsidR="004D752E">
        <w:t>ALARA</w:t>
      </w:r>
      <w:r w:rsidR="00555C76">
        <w:t xml:space="preserve"> and in conformance with other chapters of this Manual</w:t>
      </w:r>
      <w:r>
        <w:t>.</w:t>
      </w:r>
    </w:p>
    <w:p w14:paraId="4DE94CBA" w14:textId="77777777" w:rsidR="008E1549" w:rsidRDefault="008E1549" w:rsidP="008E1549">
      <w:pPr>
        <w:pStyle w:val="ListParagraph"/>
      </w:pPr>
    </w:p>
    <w:p w14:paraId="0A316287" w14:textId="79B1FCAE" w:rsidR="008E1549" w:rsidRDefault="008E1549" w:rsidP="008E1549">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Materials and components should be selected to minimize the radiological concerns, both occupational and environmental</w:t>
      </w:r>
      <w:r w:rsidR="003D19CB">
        <w:t xml:space="preserve"> and specified in facility design documents</w:t>
      </w:r>
      <w:r w:rsidR="00616831">
        <w:t>.</w:t>
      </w:r>
    </w:p>
    <w:p w14:paraId="239D7830" w14:textId="77777777" w:rsidR="009547FA" w:rsidRDefault="009547FA" w:rsidP="009547FA">
      <w:pPr>
        <w:pStyle w:val="ListParagraph"/>
      </w:pPr>
    </w:p>
    <w:p w14:paraId="6B18842E" w14:textId="77777777" w:rsidR="008E1549" w:rsidRDefault="008E1549" w:rsidP="008E1549">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lastRenderedPageBreak/>
        <w:t>Where removable contamination might be associated with accelerator operations, provisions should be made in facility designs for the containment of such material.</w:t>
      </w:r>
    </w:p>
    <w:p w14:paraId="2693C223" w14:textId="77777777" w:rsidR="008E1549" w:rsidRDefault="008E1549" w:rsidP="008E1549">
      <w:pPr>
        <w:pStyle w:val="ListParagraph"/>
      </w:pPr>
    </w:p>
    <w:p w14:paraId="0D8B8213" w14:textId="53964A34" w:rsidR="009547FA" w:rsidRDefault="009547FA" w:rsidP="009547FA">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Internal exposure </w:t>
      </w:r>
      <w:r w:rsidR="007E539B">
        <w:t xml:space="preserve">shall </w:t>
      </w:r>
      <w:r>
        <w:t xml:space="preserve">be </w:t>
      </w:r>
      <w:r w:rsidR="007658E9">
        <w:t xml:space="preserve">minimized </w:t>
      </w:r>
      <w:r w:rsidR="00D36DEB">
        <w:t xml:space="preserve">in accordance with ALARA principles </w:t>
      </w:r>
      <w:r>
        <w:t xml:space="preserve">by the </w:t>
      </w:r>
      <w:r w:rsidR="002C3B29">
        <w:t>inclusion</w:t>
      </w:r>
      <w:r>
        <w:t xml:space="preserve"> of engineered controls such a</w:t>
      </w:r>
      <w:r w:rsidR="008E1549">
        <w:t xml:space="preserve">s ventilation, containment, </w:t>
      </w:r>
      <w:r>
        <w:t xml:space="preserve">filtration systems, where practicable </w:t>
      </w:r>
      <w:r w:rsidR="008E1549">
        <w:t xml:space="preserve">and with appropriate administrative procedures </w:t>
      </w:r>
      <w:r>
        <w:t>(see Article 316)</w:t>
      </w:r>
      <w:r w:rsidR="00616831">
        <w:t xml:space="preserve"> in the facility designs</w:t>
      </w:r>
      <w:r>
        <w:t>.</w:t>
      </w:r>
    </w:p>
    <w:p w14:paraId="3C09BFB6" w14:textId="77777777" w:rsidR="00A4170E" w:rsidRDefault="00A4170E" w:rsidP="004D752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p>
    <w:p w14:paraId="5D0C746B" w14:textId="3AAC3EFE" w:rsidR="00A4170E" w:rsidRDefault="00A4170E" w:rsidP="004D752E">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Efficiency of maintenance, decontamination, operations, and decommissioning should be maximized</w:t>
      </w:r>
      <w:r w:rsidR="003D19CB">
        <w:t xml:space="preserve"> to the extent practicable in facility designs</w:t>
      </w:r>
      <w:r w:rsidR="00616831">
        <w:t>.</w:t>
      </w:r>
    </w:p>
    <w:p w14:paraId="41DB1BC4" w14:textId="77777777" w:rsidR="00A4170E" w:rsidRDefault="00A4170E" w:rsidP="004D752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p>
    <w:p w14:paraId="0DC50174" w14:textId="42AFAA93" w:rsidR="00A4170E" w:rsidRDefault="00A4170E" w:rsidP="004D752E">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Criteria for the conduct and review of shielding assessments are set forth in </w:t>
      </w:r>
      <w:r w:rsidR="007F399D">
        <w:t xml:space="preserve">other articles of </w:t>
      </w:r>
      <w:r>
        <w:t>this chapter.</w:t>
      </w:r>
    </w:p>
    <w:p w14:paraId="6406563E" w14:textId="77777777" w:rsidR="00EB375F" w:rsidRDefault="00EB375F" w:rsidP="006C00A1">
      <w:pPr>
        <w:pStyle w:val="ListParagraph"/>
      </w:pPr>
    </w:p>
    <w:p w14:paraId="4D44874D" w14:textId="3A028D73" w:rsidR="001C6725" w:rsidRDefault="00EB375F" w:rsidP="009A2E1E">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The requirements of this chapter apply to accelerators covered by </w:t>
      </w:r>
      <w:hyperlink r:id="rId8" w:history="1">
        <w:r w:rsidR="009A2E1E">
          <w:rPr>
            <w:rStyle w:val="Hyperlink"/>
          </w:rPr>
          <w:t>FESHM Chapter 2010</w:t>
        </w:r>
      </w:hyperlink>
      <w:r w:rsidR="009A2E1E">
        <w:t xml:space="preserve"> </w:t>
      </w:r>
      <w:r w:rsidR="001C6725">
        <w:t>that are included with</w:t>
      </w:r>
      <w:r w:rsidR="00C31638">
        <w:t>in</w:t>
      </w:r>
      <w:r w:rsidR="001C6725">
        <w:t xml:space="preserve"> the scope of coverage of DOE Order 420.2c, “Safety of Accelerator Facilities”. </w:t>
      </w:r>
    </w:p>
    <w:p w14:paraId="22EB4E15" w14:textId="77777777" w:rsidR="001C6725" w:rsidRDefault="001C6725" w:rsidP="006C00A1">
      <w:pPr>
        <w:pStyle w:val="ListParagraph"/>
      </w:pPr>
    </w:p>
    <w:p w14:paraId="682FA51D" w14:textId="165A4269" w:rsidR="00EB375F" w:rsidRDefault="001C6725" w:rsidP="004D752E">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The Radiological Control Organization will determine on a case-by-case basis the applicability of the requirements of this chapter to equipment that accelerat</w:t>
      </w:r>
      <w:r w:rsidR="00C31638">
        <w:t>es</w:t>
      </w:r>
      <w:r>
        <w:t xml:space="preserve"> charged particles that qualify for the exemptions or equivalencies of DOE Order 420.2c and those that are considered to be Radiation Generating Devices as specified by FRCM Article 362. </w:t>
      </w:r>
    </w:p>
    <w:p w14:paraId="59D56B0C" w14:textId="77777777" w:rsidR="00A4170E" w:rsidRDefault="00A4170E" w:rsidP="004D752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p>
    <w:p w14:paraId="6B789621" w14:textId="1F30F110" w:rsidR="00A4170E" w:rsidRPr="00DF1B90" w:rsidRDefault="00944022" w:rsidP="00211AE6">
      <w:pPr>
        <w:pStyle w:val="Heading1"/>
      </w:pPr>
      <w:bookmarkStart w:id="6" w:name="_Toc301440384"/>
      <w:bookmarkStart w:id="7" w:name="_Toc31185431"/>
      <w:r>
        <w:t>812 Special</w:t>
      </w:r>
      <w:r w:rsidR="005E7190">
        <w:t xml:space="preserve"> </w:t>
      </w:r>
      <w:r w:rsidR="002974EF">
        <w:t xml:space="preserve">Technical </w:t>
      </w:r>
      <w:r w:rsidR="00DF1B90">
        <w:t>Considerations Pertaining to Accelerator Radiation Shielding Design</w:t>
      </w:r>
      <w:bookmarkEnd w:id="6"/>
      <w:bookmarkEnd w:id="7"/>
    </w:p>
    <w:p w14:paraId="0C2469FA" w14:textId="77777777" w:rsidR="00C865F1" w:rsidRDefault="00C865F1" w:rsidP="00C865F1">
      <w:pPr>
        <w:ind w:left="720" w:hanging="720"/>
        <w:jc w:val="both"/>
      </w:pPr>
    </w:p>
    <w:p w14:paraId="6C024434" w14:textId="277C655F" w:rsidR="002974EF" w:rsidRDefault="002974EF" w:rsidP="002974EF">
      <w:pPr>
        <w:jc w:val="both"/>
      </w:pPr>
      <w:r>
        <w:t xml:space="preserve">It is imperative to </w:t>
      </w:r>
      <w:r w:rsidR="009C40AC">
        <w:t>continue to design</w:t>
      </w:r>
      <w:r>
        <w:t xml:space="preserve"> accelerator facilities at Fermilab in a way that provides adequate shielding against prompt radiation fields and, to the extent practicable, </w:t>
      </w:r>
      <w:r w:rsidR="00C17816">
        <w:t xml:space="preserve">minimizes the production of </w:t>
      </w:r>
      <w:r>
        <w:t>residual radio</w:t>
      </w:r>
      <w:r w:rsidR="00C17816">
        <w:t>activity</w:t>
      </w:r>
      <w:r>
        <w:t>. Adequate protection of the enviro</w:t>
      </w:r>
      <w:r w:rsidR="00CF1ACC">
        <w:t xml:space="preserve">nment as discussed in other </w:t>
      </w:r>
      <w:hyperlink r:id="rId9" w:history="1">
        <w:r w:rsidR="00CF1ACC">
          <w:rPr>
            <w:rStyle w:val="Hyperlink"/>
          </w:rPr>
          <w:t>FRCM</w:t>
        </w:r>
      </w:hyperlink>
      <w:r w:rsidR="00CF1ACC">
        <w:t xml:space="preserve"> and </w:t>
      </w:r>
      <w:hyperlink r:id="rId10" w:history="1">
        <w:r w:rsidR="00CF1ACC" w:rsidRPr="00CF1ACC">
          <w:rPr>
            <w:rStyle w:val="Hyperlink"/>
          </w:rPr>
          <w:t>FESHM</w:t>
        </w:r>
      </w:hyperlink>
      <w:r w:rsidR="00AA6EC2">
        <w:t xml:space="preserve"> </w:t>
      </w:r>
      <w:r w:rsidR="009C40AC">
        <w:t>c</w:t>
      </w:r>
      <w:r>
        <w:t>hapters is also required before a given facility is constructed or modified both to assure safe operation and fiscal economy. There are certain technical considerations that apply to accelerator radiation shielding design among which are the following:</w:t>
      </w:r>
    </w:p>
    <w:p w14:paraId="2DFF7B6C" w14:textId="77777777" w:rsidR="002974EF" w:rsidRDefault="002974EF" w:rsidP="00C865F1">
      <w:pPr>
        <w:ind w:left="720" w:hanging="720"/>
        <w:jc w:val="both"/>
      </w:pPr>
    </w:p>
    <w:p w14:paraId="3D2EB3E1" w14:textId="0AFAB569" w:rsidR="005E7190" w:rsidRDefault="005E7190" w:rsidP="00375182">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Radiation weighting factors for various particles that should be used in shielding designs are specified in Table 8-1 unless more detailed energy spectrum</w:t>
      </w:r>
      <w:r w:rsidR="00C17816">
        <w:t xml:space="preserve"> information</w:t>
      </w:r>
      <w:r>
        <w:t xml:space="preserve"> is available.</w:t>
      </w:r>
      <w:r w:rsidR="00CF1ACC">
        <w:t xml:space="preserve"> The </w:t>
      </w:r>
      <w:hyperlink r:id="rId11" w:history="1">
        <w:r w:rsidR="00CF1ACC">
          <w:rPr>
            <w:rStyle w:val="Hyperlink"/>
          </w:rPr>
          <w:t>MARS</w:t>
        </w:r>
      </w:hyperlink>
      <w:r w:rsidR="00CF1ACC">
        <w:t xml:space="preserve"> </w:t>
      </w:r>
      <w:r w:rsidR="0023726B">
        <w:t>code system includes the proper weighting factors and dose coefficients.</w:t>
      </w:r>
    </w:p>
    <w:p w14:paraId="43B789D1" w14:textId="77777777" w:rsidR="005E7190" w:rsidRDefault="005E7190" w:rsidP="005E7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p>
    <w:p w14:paraId="732EF0E9" w14:textId="54273561" w:rsidR="00C865F1" w:rsidRPr="005E7190" w:rsidRDefault="00C865F1" w:rsidP="005E719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The design of facilities where neutron radiation is anticipated should use a </w:t>
      </w:r>
      <w:r w:rsidR="00955F5F">
        <w:t>radiation weighting factor</w:t>
      </w:r>
      <w:r>
        <w:t xml:space="preserve"> of 20 unless measurements or calculations demonstrate that </w:t>
      </w:r>
      <w:r w:rsidR="00145EF0">
        <w:t>a specific</w:t>
      </w:r>
      <w:r>
        <w:t xml:space="preserve"> value of radiation weighting factor is </w:t>
      </w:r>
      <w:r w:rsidR="00145EF0">
        <w:t>appropriate</w:t>
      </w:r>
      <w:r>
        <w:t xml:space="preserve"> for a </w:t>
      </w:r>
      <w:proofErr w:type="gramStart"/>
      <w:r>
        <w:t>particular radiation</w:t>
      </w:r>
      <w:proofErr w:type="gramEnd"/>
      <w:r>
        <w:t xml:space="preserve"> field</w:t>
      </w:r>
      <w:r w:rsidR="00EB375F">
        <w:t xml:space="preserve"> as determined by the Radiological Control Organization</w:t>
      </w:r>
      <w:r>
        <w:t xml:space="preserve">. The radiation weighting factors for neutrons to be used are those given in ICRP Publication 103 </w:t>
      </w:r>
      <w:r>
        <w:lastRenderedPageBreak/>
        <w:t xml:space="preserve">and </w:t>
      </w:r>
      <w:r w:rsidR="005E7190">
        <w:t>gi</w:t>
      </w:r>
      <w:r w:rsidR="009C40AC">
        <w:t>ven</w:t>
      </w:r>
      <w:r w:rsidR="005E7190">
        <w:t xml:space="preserve"> in Table 8-2 and</w:t>
      </w:r>
      <w:r w:rsidR="00955F5F">
        <w:t xml:space="preserve"> Fig. 8-1. </w:t>
      </w:r>
      <w:r w:rsidR="005E7190">
        <w:t xml:space="preserve">The results of Ref. </w:t>
      </w:r>
      <w:r w:rsidR="00562BE0">
        <w:t>2</w:t>
      </w:r>
      <w:r w:rsidR="005E7190">
        <w:t xml:space="preserve"> listed in </w:t>
      </w:r>
      <w:r w:rsidR="002D1A28">
        <w:t>Appendix 1 of</w:t>
      </w:r>
      <w:r w:rsidR="005E7190">
        <w:t xml:space="preserve"> this chapter provide </w:t>
      </w:r>
      <w:r w:rsidR="00C17816">
        <w:t xml:space="preserve">examples of </w:t>
      </w:r>
      <w:r w:rsidR="005E7190">
        <w:t>typical neutron energy spectra generated by the accelerators at Fermilab</w:t>
      </w:r>
      <w:r w:rsidR="00C17816">
        <w:t xml:space="preserve">. While shielding calculations pertinent to actual conditions are preferred, such examples may be used to quantify </w:t>
      </w:r>
      <w:r w:rsidR="005E7190">
        <w:t xml:space="preserve">radiation weighting factors used to support shielding assessments.  </w:t>
      </w:r>
    </w:p>
    <w:p w14:paraId="6ADD209D" w14:textId="77777777" w:rsidR="00C865F1" w:rsidRDefault="00C865F1" w:rsidP="005E7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p>
    <w:p w14:paraId="40391E8C" w14:textId="3E2D6735" w:rsidR="00A4170E" w:rsidRDefault="006005A9" w:rsidP="005E719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Temporary conditions involving f</w:t>
      </w:r>
      <w:r w:rsidR="00A4170E">
        <w:t xml:space="preserve">acilities under construction </w:t>
      </w:r>
      <w:r>
        <w:t xml:space="preserve">including </w:t>
      </w:r>
      <w:r w:rsidR="0096524A">
        <w:t xml:space="preserve">associated </w:t>
      </w:r>
      <w:r>
        <w:t xml:space="preserve">parking lots </w:t>
      </w:r>
      <w:r w:rsidR="00145EF0">
        <w:t xml:space="preserve">should be evaluated and criteria of this </w:t>
      </w:r>
      <w:r w:rsidR="009A2E1E">
        <w:t>M</w:t>
      </w:r>
      <w:r w:rsidR="00145EF0">
        <w:t xml:space="preserve">anual </w:t>
      </w:r>
      <w:r w:rsidR="00A4170E">
        <w:t>applied where practicable.</w:t>
      </w:r>
      <w:r>
        <w:t xml:space="preserve"> Deviations from these criteria for such transient conditions shall be approved by the SRSO.</w:t>
      </w:r>
    </w:p>
    <w:p w14:paraId="6A55AFE8" w14:textId="77777777" w:rsidR="00A4170E" w:rsidRDefault="00A4170E" w:rsidP="005E7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p>
    <w:p w14:paraId="744A4952" w14:textId="77777777" w:rsidR="00A4170E" w:rsidRDefault="00A4170E" w:rsidP="005E719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Locating </w:t>
      </w:r>
      <w:r w:rsidR="00A60B5E">
        <w:t xml:space="preserve">parking lots, </w:t>
      </w:r>
      <w:r>
        <w:t xml:space="preserve">eating areas, office space, rest rooms, drinking fountains, showers and similar facilities and devices within radiological areas </w:t>
      </w:r>
      <w:r w:rsidR="00387ADB">
        <w:t xml:space="preserve">as defined by this Manual and 10 CFR Part 835 </w:t>
      </w:r>
      <w:r>
        <w:t>is strongly discouraged. Unless office space is essential to support radiological work, steps should be taken to preclude unnecessary occupancy</w:t>
      </w:r>
      <w:r w:rsidR="00D36DEB">
        <w:t xml:space="preserve"> in such areas</w:t>
      </w:r>
      <w:r>
        <w:t>.</w:t>
      </w:r>
    </w:p>
    <w:p w14:paraId="60EBBA29" w14:textId="77777777" w:rsidR="007F399D" w:rsidRDefault="007F399D" w:rsidP="007F399D">
      <w:pPr>
        <w:pStyle w:val="ListParagraph"/>
      </w:pPr>
    </w:p>
    <w:p w14:paraId="4E519BF9" w14:textId="5F8DE6CA" w:rsidR="007F399D" w:rsidRDefault="00A60B5E" w:rsidP="005E719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As is reasonably possible, shielding assessment calculations and shielding integrity should be verified by comprehensive measurements of the radiation fields as soon as practicable after commencement of operations.</w:t>
      </w:r>
      <w:r w:rsidR="007F399D">
        <w:t xml:space="preserve"> Such verifications s</w:t>
      </w:r>
      <w:r w:rsidR="009C40AC">
        <w:t xml:space="preserve">hall be documented and retained, </w:t>
      </w:r>
      <w:r w:rsidR="00511254">
        <w:t xml:space="preserve">preferably </w:t>
      </w:r>
      <w:r w:rsidR="009C40AC">
        <w:t xml:space="preserve">in </w:t>
      </w:r>
      <w:r w:rsidR="00596223">
        <w:t>ES&amp;H</w:t>
      </w:r>
      <w:r w:rsidR="00643919">
        <w:t xml:space="preserve"> </w:t>
      </w:r>
      <w:proofErr w:type="spellStart"/>
      <w:r w:rsidR="00B57945">
        <w:t>D</w:t>
      </w:r>
      <w:r w:rsidR="009C40AC">
        <w:t>oc</w:t>
      </w:r>
      <w:r w:rsidR="00B57945">
        <w:t>DB</w:t>
      </w:r>
      <w:proofErr w:type="spellEnd"/>
      <w:r w:rsidR="009C40AC">
        <w:t xml:space="preserve"> or an equivalent electronic document retrieval system, </w:t>
      </w:r>
      <w:r w:rsidR="007F399D">
        <w:t>along with the shielding assessment documentation.</w:t>
      </w:r>
    </w:p>
    <w:p w14:paraId="2F204B98" w14:textId="77777777" w:rsidR="00E839FD" w:rsidRDefault="00E839FD" w:rsidP="0039157A">
      <w:pPr>
        <w:pStyle w:val="ListParagraph"/>
      </w:pPr>
    </w:p>
    <w:p w14:paraId="4E585E23" w14:textId="306EF549" w:rsidR="00E839FD" w:rsidRPr="0039157A" w:rsidRDefault="00E839FD" w:rsidP="005E719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Times New Roman" w:hAnsi="Times New Roman"/>
        </w:rPr>
      </w:pPr>
      <w:r w:rsidRPr="0039157A">
        <w:rPr>
          <w:rFonts w:ascii="Times New Roman" w:hAnsi="Times New Roman"/>
        </w:rPr>
        <w:t xml:space="preserve">Whenever possible, data concerning required shielding location, placement, or thickness should be collected by the PPD/Alignment &amp; Metrology </w:t>
      </w:r>
      <w:r w:rsidR="002520AF">
        <w:rPr>
          <w:rFonts w:ascii="Times New Roman" w:hAnsi="Times New Roman"/>
        </w:rPr>
        <w:t>Department</w:t>
      </w:r>
      <w:r w:rsidRPr="0039157A">
        <w:rPr>
          <w:rFonts w:ascii="Times New Roman" w:hAnsi="Times New Roman"/>
        </w:rPr>
        <w:t xml:space="preserve"> (AMG) to ensure accuracy and consistency with commonly used site coordinate systems.  When this is impractical, data originating from other organizations may be used provided that such data is approved in advance by FESS and the ES&amp;H Section.</w:t>
      </w:r>
    </w:p>
    <w:p w14:paraId="2BD97A92" w14:textId="77777777" w:rsidR="00A4170E" w:rsidRDefault="00A4170E" w:rsidP="005E7190">
      <w:pPr>
        <w:ind w:hanging="720"/>
        <w:jc w:val="both"/>
      </w:pPr>
    </w:p>
    <w:p w14:paraId="51400815" w14:textId="2FE9556F" w:rsidR="00A4170E" w:rsidRDefault="002D1A28" w:rsidP="005E7190">
      <w:pPr>
        <w:pStyle w:val="ListParagraph"/>
        <w:numPr>
          <w:ilvl w:val="0"/>
          <w:numId w:val="11"/>
        </w:numPr>
        <w:ind w:hanging="720"/>
        <w:jc w:val="both"/>
      </w:pPr>
      <w:r>
        <w:t>Appendix 1 of</w:t>
      </w:r>
      <w:r w:rsidR="001B2005">
        <w:t xml:space="preserve"> this chapter </w:t>
      </w:r>
      <w:r w:rsidR="00A4170E">
        <w:t>give</w:t>
      </w:r>
      <w:r w:rsidR="001B2005">
        <w:t>s a summary and short bibliography on the design of accelerator radiation shielding</w:t>
      </w:r>
      <w:r w:rsidR="00A4170E">
        <w:t>.</w:t>
      </w:r>
      <w:r w:rsidR="005E7190">
        <w:t xml:space="preserve"> </w:t>
      </w:r>
    </w:p>
    <w:p w14:paraId="2082EDB0" w14:textId="77777777" w:rsidR="00A70B7C" w:rsidRDefault="00A70B7C" w:rsidP="005E7190">
      <w:pPr>
        <w:ind w:left="720" w:hanging="720"/>
        <w:jc w:val="both"/>
      </w:pPr>
    </w:p>
    <w:p w14:paraId="59E54D88" w14:textId="77777777" w:rsidR="008742BA" w:rsidRDefault="008742BA">
      <w:pPr>
        <w:rPr>
          <w:b/>
        </w:rPr>
      </w:pPr>
      <w:r>
        <w:br w:type="page"/>
      </w:r>
    </w:p>
    <w:p w14:paraId="4CDC3704" w14:textId="2F133D00" w:rsidR="00D00AC1" w:rsidRDefault="00D00AC1" w:rsidP="000B4489">
      <w:pPr>
        <w:pStyle w:val="Heading2"/>
      </w:pPr>
      <w:bookmarkStart w:id="8" w:name="_Toc31185432"/>
      <w:r>
        <w:lastRenderedPageBreak/>
        <w:t>Table 8-</w:t>
      </w:r>
      <w:r w:rsidR="00944022">
        <w:t>1 Radiation</w:t>
      </w:r>
      <w:r>
        <w:t xml:space="preserve"> Weighting Factors</w:t>
      </w:r>
      <w:r w:rsidR="00145EF0">
        <w:t xml:space="preserve"> for Various Particles</w:t>
      </w:r>
      <w:bookmarkEnd w:id="8"/>
      <w:r>
        <w:t xml:space="preserve"> </w:t>
      </w:r>
    </w:p>
    <w:tbl>
      <w:tblPr>
        <w:tblW w:w="0" w:type="auto"/>
        <w:jc w:val="center"/>
        <w:tblLayout w:type="fixed"/>
        <w:tblCellMar>
          <w:left w:w="80" w:type="dxa"/>
          <w:right w:w="80" w:type="dxa"/>
        </w:tblCellMar>
        <w:tblLook w:val="0000" w:firstRow="0" w:lastRow="0" w:firstColumn="0" w:lastColumn="0" w:noHBand="0" w:noVBand="0"/>
      </w:tblPr>
      <w:tblGrid>
        <w:gridCol w:w="4680"/>
        <w:gridCol w:w="3960"/>
      </w:tblGrid>
      <w:tr w:rsidR="00B67F02" w14:paraId="343042DE" w14:textId="77777777" w:rsidTr="002974EF">
        <w:trPr>
          <w:cantSplit/>
          <w:jc w:val="center"/>
        </w:trPr>
        <w:tc>
          <w:tcPr>
            <w:tcW w:w="4680" w:type="dxa"/>
            <w:tcBorders>
              <w:top w:val="double" w:sz="6" w:space="0" w:color="auto"/>
              <w:left w:val="double" w:sz="6" w:space="0" w:color="auto"/>
              <w:bottom w:val="double" w:sz="6" w:space="0" w:color="auto"/>
              <w:right w:val="single" w:sz="6" w:space="0" w:color="auto"/>
            </w:tcBorders>
          </w:tcPr>
          <w:p w14:paraId="373781C6" w14:textId="77777777" w:rsidR="00B67F02" w:rsidRDefault="00B67F02" w:rsidP="00A60DC6">
            <w:pPr>
              <w:rPr>
                <w:b/>
                <w:sz w:val="20"/>
              </w:rPr>
            </w:pPr>
            <w:r>
              <w:rPr>
                <w:b/>
                <w:sz w:val="20"/>
              </w:rPr>
              <w:t>Radiation Type</w:t>
            </w:r>
          </w:p>
          <w:p w14:paraId="677A634B" w14:textId="77777777" w:rsidR="00B67F02" w:rsidRDefault="00B67F02" w:rsidP="00A60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tc>
        <w:tc>
          <w:tcPr>
            <w:tcW w:w="3960" w:type="dxa"/>
            <w:tcBorders>
              <w:top w:val="double" w:sz="6" w:space="0" w:color="auto"/>
              <w:left w:val="single" w:sz="6" w:space="0" w:color="auto"/>
              <w:bottom w:val="double" w:sz="6" w:space="0" w:color="auto"/>
              <w:right w:val="double" w:sz="6" w:space="0" w:color="auto"/>
            </w:tcBorders>
          </w:tcPr>
          <w:p w14:paraId="5D401055" w14:textId="77777777" w:rsidR="005E7190" w:rsidRDefault="00B67F02" w:rsidP="005E7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 xml:space="preserve">Radiation Weighting </w:t>
            </w:r>
          </w:p>
          <w:p w14:paraId="7DBF6FC8" w14:textId="77777777" w:rsidR="00B67F02" w:rsidRDefault="00B67F02" w:rsidP="00A60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tc>
      </w:tr>
      <w:tr w:rsidR="00B67F02" w14:paraId="4F376875" w14:textId="77777777" w:rsidTr="002974EF">
        <w:trPr>
          <w:cantSplit/>
          <w:jc w:val="center"/>
        </w:trPr>
        <w:tc>
          <w:tcPr>
            <w:tcW w:w="4680" w:type="dxa"/>
            <w:tcBorders>
              <w:top w:val="double" w:sz="6" w:space="0" w:color="auto"/>
              <w:left w:val="double" w:sz="6" w:space="0" w:color="auto"/>
              <w:bottom w:val="single" w:sz="6" w:space="0" w:color="auto"/>
              <w:right w:val="single" w:sz="6" w:space="0" w:color="auto"/>
            </w:tcBorders>
          </w:tcPr>
          <w:p w14:paraId="3A821830" w14:textId="77777777" w:rsidR="00B67F02" w:rsidRDefault="00B67F02" w:rsidP="00A60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sz w:val="20"/>
              </w:rPr>
              <w:t>Photons</w:t>
            </w:r>
          </w:p>
        </w:tc>
        <w:tc>
          <w:tcPr>
            <w:tcW w:w="3960" w:type="dxa"/>
            <w:tcBorders>
              <w:top w:val="double" w:sz="6" w:space="0" w:color="auto"/>
              <w:left w:val="single" w:sz="6" w:space="0" w:color="auto"/>
              <w:bottom w:val="single" w:sz="6" w:space="0" w:color="auto"/>
              <w:right w:val="double" w:sz="6" w:space="0" w:color="auto"/>
            </w:tcBorders>
          </w:tcPr>
          <w:p w14:paraId="2BE6C59A" w14:textId="77777777" w:rsidR="00B67F02" w:rsidRDefault="00B67F02" w:rsidP="002974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sz w:val="20"/>
              </w:rPr>
              <w:tab/>
              <w:t>1</w:t>
            </w:r>
          </w:p>
        </w:tc>
      </w:tr>
      <w:tr w:rsidR="00B67F02" w14:paraId="5225611A" w14:textId="77777777" w:rsidTr="002974EF">
        <w:trPr>
          <w:cantSplit/>
          <w:jc w:val="center"/>
        </w:trPr>
        <w:tc>
          <w:tcPr>
            <w:tcW w:w="4680" w:type="dxa"/>
            <w:tcBorders>
              <w:top w:val="single" w:sz="6" w:space="0" w:color="auto"/>
              <w:left w:val="double" w:sz="6" w:space="0" w:color="auto"/>
              <w:bottom w:val="single" w:sz="6" w:space="0" w:color="auto"/>
              <w:right w:val="single" w:sz="6" w:space="0" w:color="auto"/>
            </w:tcBorders>
          </w:tcPr>
          <w:p w14:paraId="1BAF1D3C" w14:textId="77777777" w:rsidR="00B67F02" w:rsidRDefault="00B67F02" w:rsidP="00A60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sz w:val="20"/>
              </w:rPr>
              <w:t>Electrons and muons</w:t>
            </w:r>
          </w:p>
        </w:tc>
        <w:tc>
          <w:tcPr>
            <w:tcW w:w="3960" w:type="dxa"/>
            <w:tcBorders>
              <w:top w:val="single" w:sz="6" w:space="0" w:color="auto"/>
              <w:left w:val="single" w:sz="6" w:space="0" w:color="auto"/>
              <w:bottom w:val="single" w:sz="6" w:space="0" w:color="auto"/>
              <w:right w:val="double" w:sz="6" w:space="0" w:color="auto"/>
            </w:tcBorders>
          </w:tcPr>
          <w:p w14:paraId="28013A46" w14:textId="77777777" w:rsidR="00B67F02" w:rsidRDefault="002974EF" w:rsidP="002974EF">
            <w:pPr>
              <w:ind w:left="730"/>
              <w:rPr>
                <w:sz w:val="20"/>
              </w:rPr>
            </w:pPr>
            <w:r>
              <w:rPr>
                <w:sz w:val="20"/>
              </w:rPr>
              <w:t xml:space="preserve"> </w:t>
            </w:r>
            <w:r>
              <w:rPr>
                <w:sz w:val="20"/>
              </w:rPr>
              <w:tab/>
              <w:t>1</w:t>
            </w:r>
          </w:p>
        </w:tc>
      </w:tr>
      <w:tr w:rsidR="00B67F02" w14:paraId="43870BD9" w14:textId="77777777" w:rsidTr="002974EF">
        <w:trPr>
          <w:cantSplit/>
          <w:jc w:val="center"/>
        </w:trPr>
        <w:tc>
          <w:tcPr>
            <w:tcW w:w="4680" w:type="dxa"/>
            <w:tcBorders>
              <w:top w:val="single" w:sz="6" w:space="0" w:color="auto"/>
              <w:left w:val="double" w:sz="6" w:space="0" w:color="auto"/>
              <w:bottom w:val="single" w:sz="6" w:space="0" w:color="auto"/>
              <w:right w:val="single" w:sz="6" w:space="0" w:color="auto"/>
            </w:tcBorders>
          </w:tcPr>
          <w:p w14:paraId="7F0AFBD5" w14:textId="77777777" w:rsidR="00B67F02" w:rsidRDefault="00B67F02" w:rsidP="00A60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sz w:val="20"/>
              </w:rPr>
              <w:t xml:space="preserve">Protons and charged </w:t>
            </w:r>
            <w:proofErr w:type="spellStart"/>
            <w:r>
              <w:rPr>
                <w:sz w:val="20"/>
              </w:rPr>
              <w:t>pions</w:t>
            </w:r>
            <w:proofErr w:type="spellEnd"/>
          </w:p>
        </w:tc>
        <w:tc>
          <w:tcPr>
            <w:tcW w:w="3960" w:type="dxa"/>
            <w:tcBorders>
              <w:top w:val="single" w:sz="6" w:space="0" w:color="auto"/>
              <w:left w:val="single" w:sz="6" w:space="0" w:color="auto"/>
              <w:bottom w:val="single" w:sz="6" w:space="0" w:color="auto"/>
              <w:right w:val="double" w:sz="6" w:space="0" w:color="auto"/>
            </w:tcBorders>
          </w:tcPr>
          <w:p w14:paraId="636C0EF7" w14:textId="77777777" w:rsidR="00B67F02" w:rsidRDefault="00B67F02" w:rsidP="002974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ab/>
              <w:t>2</w:t>
            </w:r>
          </w:p>
        </w:tc>
      </w:tr>
      <w:tr w:rsidR="00B67F02" w14:paraId="5C058F26" w14:textId="77777777" w:rsidTr="002974EF">
        <w:trPr>
          <w:cantSplit/>
          <w:jc w:val="center"/>
        </w:trPr>
        <w:tc>
          <w:tcPr>
            <w:tcW w:w="4680" w:type="dxa"/>
            <w:tcBorders>
              <w:top w:val="single" w:sz="6" w:space="0" w:color="auto"/>
              <w:left w:val="double" w:sz="6" w:space="0" w:color="auto"/>
              <w:bottom w:val="single" w:sz="6" w:space="0" w:color="auto"/>
              <w:right w:val="single" w:sz="6" w:space="0" w:color="auto"/>
            </w:tcBorders>
          </w:tcPr>
          <w:p w14:paraId="2EDE4FD0" w14:textId="77777777" w:rsidR="00B67F02" w:rsidRDefault="00B67F02" w:rsidP="00A60DC6">
            <w:pPr>
              <w:rPr>
                <w:b/>
                <w:sz w:val="20"/>
              </w:rPr>
            </w:pPr>
            <w:r>
              <w:rPr>
                <w:sz w:val="20"/>
              </w:rPr>
              <w:t>Alpha particles, fission fragments, heavy ions</w:t>
            </w:r>
          </w:p>
        </w:tc>
        <w:tc>
          <w:tcPr>
            <w:tcW w:w="3960" w:type="dxa"/>
            <w:tcBorders>
              <w:top w:val="single" w:sz="6" w:space="0" w:color="auto"/>
              <w:left w:val="single" w:sz="6" w:space="0" w:color="auto"/>
              <w:bottom w:val="single" w:sz="6" w:space="0" w:color="auto"/>
              <w:right w:val="double" w:sz="6" w:space="0" w:color="auto"/>
            </w:tcBorders>
          </w:tcPr>
          <w:p w14:paraId="21A89915" w14:textId="77777777" w:rsidR="00B67F02" w:rsidRDefault="00B67F02" w:rsidP="002974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ab/>
              <w:t>20</w:t>
            </w:r>
          </w:p>
        </w:tc>
      </w:tr>
      <w:tr w:rsidR="00B67F02" w14:paraId="1304A38D" w14:textId="77777777" w:rsidTr="002974EF">
        <w:trPr>
          <w:cantSplit/>
          <w:trHeight w:val="480"/>
          <w:jc w:val="center"/>
        </w:trPr>
        <w:tc>
          <w:tcPr>
            <w:tcW w:w="4680" w:type="dxa"/>
            <w:tcBorders>
              <w:top w:val="single" w:sz="6" w:space="0" w:color="auto"/>
              <w:left w:val="double" w:sz="6" w:space="0" w:color="auto"/>
              <w:bottom w:val="double" w:sz="6" w:space="0" w:color="auto"/>
              <w:right w:val="single" w:sz="6" w:space="0" w:color="auto"/>
            </w:tcBorders>
          </w:tcPr>
          <w:p w14:paraId="5C517A72" w14:textId="77777777" w:rsidR="00B67F02" w:rsidRDefault="005D67F6" w:rsidP="00A60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sz w:val="20"/>
              </w:rPr>
              <w:t>Neutr</w:t>
            </w:r>
            <w:r w:rsidR="00B67F02">
              <w:rPr>
                <w:sz w:val="20"/>
              </w:rPr>
              <w:t>ons</w:t>
            </w:r>
          </w:p>
        </w:tc>
        <w:tc>
          <w:tcPr>
            <w:tcW w:w="3960" w:type="dxa"/>
            <w:tcBorders>
              <w:top w:val="single" w:sz="6" w:space="0" w:color="auto"/>
              <w:left w:val="single" w:sz="6" w:space="0" w:color="auto"/>
              <w:bottom w:val="double" w:sz="6" w:space="0" w:color="auto"/>
              <w:right w:val="double" w:sz="6" w:space="0" w:color="auto"/>
            </w:tcBorders>
          </w:tcPr>
          <w:p w14:paraId="3CD358DB" w14:textId="77777777" w:rsidR="00B67F02" w:rsidRDefault="00B67F02" w:rsidP="00297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 xml:space="preserve">A continuous function of neutron energy, see </w:t>
            </w:r>
            <w:proofErr w:type="spellStart"/>
            <w:r>
              <w:rPr>
                <w:sz w:val="20"/>
              </w:rPr>
              <w:t>See</w:t>
            </w:r>
            <w:proofErr w:type="spellEnd"/>
            <w:r>
              <w:rPr>
                <w:sz w:val="20"/>
              </w:rPr>
              <w:t xml:space="preserve"> Table 8-2 and Figure 8-</w:t>
            </w:r>
            <w:r w:rsidR="002974EF">
              <w:rPr>
                <w:sz w:val="20"/>
              </w:rPr>
              <w:t>1</w:t>
            </w:r>
            <w:r>
              <w:rPr>
                <w:sz w:val="20"/>
              </w:rPr>
              <w:t>.</w:t>
            </w:r>
          </w:p>
        </w:tc>
      </w:tr>
    </w:tbl>
    <w:p w14:paraId="34031178" w14:textId="77777777" w:rsidR="00B67F02" w:rsidRDefault="00B67F02" w:rsidP="00B67F02">
      <w:pPr>
        <w:pStyle w:val="BodyText2"/>
      </w:pPr>
    </w:p>
    <w:p w14:paraId="74C1F9BD" w14:textId="77777777" w:rsidR="009C40AC" w:rsidRDefault="009C40AC">
      <w:pPr>
        <w:rPr>
          <w:b/>
          <w:bCs/>
          <w:i/>
        </w:rPr>
      </w:pPr>
    </w:p>
    <w:p w14:paraId="5096BCFF" w14:textId="7FED74EB" w:rsidR="00B67F02" w:rsidRDefault="00B67F02" w:rsidP="000B4489">
      <w:pPr>
        <w:pStyle w:val="Heading2"/>
      </w:pPr>
      <w:bookmarkStart w:id="9" w:name="_Toc31185433"/>
      <w:r>
        <w:t>Table 8-</w:t>
      </w:r>
      <w:r w:rsidR="00944022">
        <w:t>2 Neutron</w:t>
      </w:r>
      <w:r>
        <w:t xml:space="preserve"> Radiation Weighting or Quality Factors </w:t>
      </w:r>
      <w:r w:rsidR="00021894">
        <w:t>A</w:t>
      </w:r>
      <w:r>
        <w:t>ccording to ICRP Publication 103</w:t>
      </w:r>
      <w:bookmarkEnd w:id="9"/>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900"/>
        <w:gridCol w:w="1260"/>
        <w:gridCol w:w="900"/>
        <w:gridCol w:w="1451"/>
        <w:gridCol w:w="1008"/>
      </w:tblGrid>
      <w:tr w:rsidR="00B67F02" w14:paraId="43C733DD" w14:textId="77777777" w:rsidTr="002974EF">
        <w:trPr>
          <w:jc w:val="center"/>
        </w:trPr>
        <w:tc>
          <w:tcPr>
            <w:tcW w:w="1320" w:type="dxa"/>
          </w:tcPr>
          <w:p w14:paraId="41DD6DDC" w14:textId="77777777" w:rsidR="00B67F02" w:rsidRPr="005D67F6" w:rsidRDefault="00B67F02" w:rsidP="00A60DC6">
            <w:pPr>
              <w:jc w:val="center"/>
              <w:rPr>
                <w:b/>
                <w:sz w:val="20"/>
              </w:rPr>
            </w:pPr>
            <w:proofErr w:type="spellStart"/>
            <w:r w:rsidRPr="005D67F6">
              <w:rPr>
                <w:b/>
                <w:i/>
                <w:sz w:val="20"/>
              </w:rPr>
              <w:t>E</w:t>
            </w:r>
            <w:r w:rsidRPr="005D67F6">
              <w:rPr>
                <w:b/>
                <w:sz w:val="20"/>
                <w:vertAlign w:val="subscript"/>
              </w:rPr>
              <w:t>n</w:t>
            </w:r>
            <w:proofErr w:type="spellEnd"/>
            <w:r w:rsidRPr="005D67F6">
              <w:rPr>
                <w:b/>
                <w:i/>
                <w:sz w:val="20"/>
                <w:vertAlign w:val="subscript"/>
              </w:rPr>
              <w:t xml:space="preserve"> </w:t>
            </w:r>
            <w:r w:rsidRPr="005D67F6">
              <w:rPr>
                <w:b/>
                <w:sz w:val="20"/>
              </w:rPr>
              <w:t>(MeV)</w:t>
            </w:r>
          </w:p>
        </w:tc>
        <w:tc>
          <w:tcPr>
            <w:tcW w:w="900" w:type="dxa"/>
          </w:tcPr>
          <w:p w14:paraId="66CC67FD" w14:textId="77777777" w:rsidR="00B67F02" w:rsidRPr="005D67F6" w:rsidRDefault="00B67F02" w:rsidP="00A60DC6">
            <w:pPr>
              <w:jc w:val="center"/>
              <w:rPr>
                <w:b/>
                <w:i/>
                <w:sz w:val="20"/>
              </w:rPr>
            </w:pPr>
            <w:proofErr w:type="spellStart"/>
            <w:r w:rsidRPr="005D67F6">
              <w:rPr>
                <w:b/>
                <w:i/>
                <w:sz w:val="20"/>
              </w:rPr>
              <w:t>w</w:t>
            </w:r>
            <w:r w:rsidRPr="005D67F6">
              <w:rPr>
                <w:b/>
                <w:sz w:val="20"/>
                <w:vertAlign w:val="subscript"/>
              </w:rPr>
              <w:t>R</w:t>
            </w:r>
            <w:proofErr w:type="spellEnd"/>
          </w:p>
        </w:tc>
        <w:tc>
          <w:tcPr>
            <w:tcW w:w="1260" w:type="dxa"/>
          </w:tcPr>
          <w:p w14:paraId="4ABE314C" w14:textId="77777777" w:rsidR="00B67F02" w:rsidRPr="005D67F6" w:rsidRDefault="00B67F02" w:rsidP="00A60DC6">
            <w:pPr>
              <w:jc w:val="center"/>
              <w:rPr>
                <w:b/>
                <w:sz w:val="20"/>
              </w:rPr>
            </w:pPr>
            <w:proofErr w:type="spellStart"/>
            <w:r w:rsidRPr="005D67F6">
              <w:rPr>
                <w:b/>
                <w:i/>
                <w:sz w:val="20"/>
              </w:rPr>
              <w:t>E</w:t>
            </w:r>
            <w:r w:rsidRPr="005D67F6">
              <w:rPr>
                <w:b/>
                <w:sz w:val="20"/>
                <w:vertAlign w:val="subscript"/>
              </w:rPr>
              <w:t>n</w:t>
            </w:r>
            <w:proofErr w:type="spellEnd"/>
            <w:r w:rsidRPr="005D67F6">
              <w:rPr>
                <w:b/>
                <w:i/>
                <w:sz w:val="20"/>
                <w:vertAlign w:val="subscript"/>
              </w:rPr>
              <w:t xml:space="preserve"> </w:t>
            </w:r>
            <w:r w:rsidRPr="005D67F6">
              <w:rPr>
                <w:b/>
                <w:sz w:val="20"/>
              </w:rPr>
              <w:t>(MeV)</w:t>
            </w:r>
          </w:p>
        </w:tc>
        <w:tc>
          <w:tcPr>
            <w:tcW w:w="900" w:type="dxa"/>
          </w:tcPr>
          <w:p w14:paraId="7D760905" w14:textId="77777777" w:rsidR="00B67F02" w:rsidRPr="005D67F6" w:rsidRDefault="00B67F02" w:rsidP="00A60DC6">
            <w:pPr>
              <w:jc w:val="center"/>
              <w:rPr>
                <w:b/>
                <w:i/>
                <w:sz w:val="20"/>
              </w:rPr>
            </w:pPr>
            <w:proofErr w:type="spellStart"/>
            <w:r w:rsidRPr="005D67F6">
              <w:rPr>
                <w:b/>
                <w:i/>
                <w:sz w:val="20"/>
              </w:rPr>
              <w:t>w</w:t>
            </w:r>
            <w:r w:rsidRPr="005D67F6">
              <w:rPr>
                <w:b/>
                <w:sz w:val="20"/>
                <w:vertAlign w:val="subscript"/>
              </w:rPr>
              <w:t>R</w:t>
            </w:r>
            <w:proofErr w:type="spellEnd"/>
          </w:p>
        </w:tc>
        <w:tc>
          <w:tcPr>
            <w:tcW w:w="1451" w:type="dxa"/>
          </w:tcPr>
          <w:p w14:paraId="344511E8" w14:textId="77777777" w:rsidR="00B67F02" w:rsidRPr="005D67F6" w:rsidRDefault="00B67F02" w:rsidP="00A60DC6">
            <w:pPr>
              <w:jc w:val="center"/>
              <w:rPr>
                <w:b/>
                <w:sz w:val="20"/>
              </w:rPr>
            </w:pPr>
            <w:proofErr w:type="spellStart"/>
            <w:r w:rsidRPr="005D67F6">
              <w:rPr>
                <w:b/>
                <w:i/>
                <w:sz w:val="20"/>
              </w:rPr>
              <w:t>E</w:t>
            </w:r>
            <w:r w:rsidRPr="005D67F6">
              <w:rPr>
                <w:b/>
                <w:sz w:val="20"/>
                <w:vertAlign w:val="subscript"/>
              </w:rPr>
              <w:t>n</w:t>
            </w:r>
            <w:proofErr w:type="spellEnd"/>
            <w:r w:rsidRPr="005D67F6">
              <w:rPr>
                <w:b/>
                <w:i/>
                <w:sz w:val="20"/>
                <w:vertAlign w:val="subscript"/>
              </w:rPr>
              <w:t xml:space="preserve"> </w:t>
            </w:r>
            <w:r w:rsidRPr="005D67F6">
              <w:rPr>
                <w:b/>
                <w:sz w:val="20"/>
              </w:rPr>
              <w:t>(MeV)</w:t>
            </w:r>
          </w:p>
        </w:tc>
        <w:tc>
          <w:tcPr>
            <w:tcW w:w="1008" w:type="dxa"/>
          </w:tcPr>
          <w:p w14:paraId="58CCCC51" w14:textId="77777777" w:rsidR="00B67F02" w:rsidRPr="005D67F6" w:rsidRDefault="00B67F02" w:rsidP="00A60DC6">
            <w:pPr>
              <w:jc w:val="center"/>
              <w:rPr>
                <w:b/>
                <w:i/>
                <w:sz w:val="20"/>
              </w:rPr>
            </w:pPr>
            <w:proofErr w:type="spellStart"/>
            <w:r w:rsidRPr="005D67F6">
              <w:rPr>
                <w:b/>
                <w:i/>
                <w:sz w:val="20"/>
              </w:rPr>
              <w:t>w</w:t>
            </w:r>
            <w:r w:rsidRPr="005D67F6">
              <w:rPr>
                <w:b/>
                <w:sz w:val="20"/>
                <w:vertAlign w:val="subscript"/>
              </w:rPr>
              <w:t>R</w:t>
            </w:r>
            <w:proofErr w:type="spellEnd"/>
          </w:p>
        </w:tc>
      </w:tr>
      <w:tr w:rsidR="00B67F02" w14:paraId="76D0E78E" w14:textId="77777777" w:rsidTr="002974EF">
        <w:trPr>
          <w:jc w:val="center"/>
        </w:trPr>
        <w:tc>
          <w:tcPr>
            <w:tcW w:w="1320" w:type="dxa"/>
            <w:vAlign w:val="bottom"/>
          </w:tcPr>
          <w:p w14:paraId="4C1D8977"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-9</w:t>
            </w:r>
          </w:p>
        </w:tc>
        <w:tc>
          <w:tcPr>
            <w:tcW w:w="900" w:type="dxa"/>
            <w:vAlign w:val="bottom"/>
          </w:tcPr>
          <w:p w14:paraId="242F6E74" w14:textId="77777777" w:rsidR="00B67F02" w:rsidRPr="005D67F6" w:rsidRDefault="00B67F02" w:rsidP="00A60DC6">
            <w:pPr>
              <w:jc w:val="center"/>
              <w:rPr>
                <w:sz w:val="20"/>
              </w:rPr>
            </w:pPr>
            <w:r w:rsidRPr="005D67F6">
              <w:rPr>
                <w:sz w:val="20"/>
              </w:rPr>
              <w:t>2.50</w:t>
            </w:r>
          </w:p>
        </w:tc>
        <w:tc>
          <w:tcPr>
            <w:tcW w:w="1260" w:type="dxa"/>
            <w:vAlign w:val="bottom"/>
          </w:tcPr>
          <w:p w14:paraId="4AAD11E9" w14:textId="77777777" w:rsidR="00B67F02" w:rsidRPr="005D67F6" w:rsidRDefault="00B67F02" w:rsidP="00A60DC6">
            <w:pPr>
              <w:jc w:val="center"/>
              <w:rPr>
                <w:sz w:val="20"/>
              </w:rPr>
            </w:pPr>
            <w:r w:rsidRPr="005D67F6">
              <w:rPr>
                <w:sz w:val="20"/>
              </w:rPr>
              <w:t>0.20</w:t>
            </w:r>
          </w:p>
        </w:tc>
        <w:tc>
          <w:tcPr>
            <w:tcW w:w="900" w:type="dxa"/>
            <w:vAlign w:val="bottom"/>
          </w:tcPr>
          <w:p w14:paraId="6C94F334" w14:textId="77777777" w:rsidR="00B67F02" w:rsidRPr="005D67F6" w:rsidRDefault="00B67F02" w:rsidP="00A60DC6">
            <w:pPr>
              <w:jc w:val="center"/>
              <w:rPr>
                <w:sz w:val="20"/>
              </w:rPr>
            </w:pPr>
            <w:r w:rsidRPr="005D67F6">
              <w:rPr>
                <w:sz w:val="20"/>
              </w:rPr>
              <w:t>14.3</w:t>
            </w:r>
          </w:p>
        </w:tc>
        <w:tc>
          <w:tcPr>
            <w:tcW w:w="1451" w:type="dxa"/>
            <w:vAlign w:val="bottom"/>
          </w:tcPr>
          <w:p w14:paraId="294310BF" w14:textId="77777777" w:rsidR="00B67F02" w:rsidRPr="005D67F6" w:rsidRDefault="00B67F02" w:rsidP="00A60DC6">
            <w:pPr>
              <w:jc w:val="center"/>
              <w:rPr>
                <w:sz w:val="20"/>
              </w:rPr>
            </w:pPr>
            <w:r w:rsidRPr="005D67F6">
              <w:rPr>
                <w:sz w:val="20"/>
              </w:rPr>
              <w:t>30</w:t>
            </w:r>
          </w:p>
        </w:tc>
        <w:tc>
          <w:tcPr>
            <w:tcW w:w="1008" w:type="dxa"/>
            <w:vAlign w:val="bottom"/>
          </w:tcPr>
          <w:p w14:paraId="0CE636CC" w14:textId="77777777" w:rsidR="00B67F02" w:rsidRPr="005D67F6" w:rsidRDefault="00B67F02" w:rsidP="00A60DC6">
            <w:pPr>
              <w:jc w:val="center"/>
              <w:rPr>
                <w:sz w:val="20"/>
              </w:rPr>
            </w:pPr>
            <w:r w:rsidRPr="005D67F6">
              <w:rPr>
                <w:sz w:val="20"/>
              </w:rPr>
              <w:t>6.04</w:t>
            </w:r>
          </w:p>
        </w:tc>
      </w:tr>
      <w:tr w:rsidR="00B67F02" w14:paraId="32F3328B" w14:textId="77777777" w:rsidTr="002974EF">
        <w:trPr>
          <w:jc w:val="center"/>
        </w:trPr>
        <w:tc>
          <w:tcPr>
            <w:tcW w:w="1320" w:type="dxa"/>
            <w:vAlign w:val="bottom"/>
          </w:tcPr>
          <w:p w14:paraId="47501C4F"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-8</w:t>
            </w:r>
          </w:p>
        </w:tc>
        <w:tc>
          <w:tcPr>
            <w:tcW w:w="900" w:type="dxa"/>
            <w:vAlign w:val="bottom"/>
          </w:tcPr>
          <w:p w14:paraId="675AE7ED" w14:textId="77777777" w:rsidR="00B67F02" w:rsidRPr="005D67F6" w:rsidRDefault="00B67F02" w:rsidP="00A60DC6">
            <w:pPr>
              <w:jc w:val="center"/>
              <w:rPr>
                <w:sz w:val="20"/>
              </w:rPr>
            </w:pPr>
            <w:r w:rsidRPr="005D67F6">
              <w:rPr>
                <w:sz w:val="20"/>
              </w:rPr>
              <w:t>2.50</w:t>
            </w:r>
          </w:p>
        </w:tc>
        <w:tc>
          <w:tcPr>
            <w:tcW w:w="1260" w:type="dxa"/>
            <w:vAlign w:val="bottom"/>
          </w:tcPr>
          <w:p w14:paraId="25805826" w14:textId="77777777" w:rsidR="00B67F02" w:rsidRPr="005D67F6" w:rsidRDefault="00B67F02" w:rsidP="00A60DC6">
            <w:pPr>
              <w:jc w:val="center"/>
              <w:rPr>
                <w:sz w:val="20"/>
              </w:rPr>
            </w:pPr>
            <w:r w:rsidRPr="005D67F6">
              <w:rPr>
                <w:sz w:val="20"/>
              </w:rPr>
              <w:t>0.30</w:t>
            </w:r>
          </w:p>
        </w:tc>
        <w:tc>
          <w:tcPr>
            <w:tcW w:w="900" w:type="dxa"/>
            <w:vAlign w:val="bottom"/>
          </w:tcPr>
          <w:p w14:paraId="47C2769B" w14:textId="77777777" w:rsidR="00B67F02" w:rsidRPr="005D67F6" w:rsidRDefault="00B67F02" w:rsidP="00A60DC6">
            <w:pPr>
              <w:jc w:val="center"/>
              <w:rPr>
                <w:sz w:val="20"/>
              </w:rPr>
            </w:pPr>
            <w:r w:rsidRPr="005D67F6">
              <w:rPr>
                <w:sz w:val="20"/>
              </w:rPr>
              <w:t>16.8</w:t>
            </w:r>
          </w:p>
        </w:tc>
        <w:tc>
          <w:tcPr>
            <w:tcW w:w="1451" w:type="dxa"/>
            <w:vAlign w:val="bottom"/>
          </w:tcPr>
          <w:p w14:paraId="0A4CF91F" w14:textId="77777777" w:rsidR="00B67F02" w:rsidRPr="005D67F6" w:rsidRDefault="00B67F02" w:rsidP="00A60DC6">
            <w:pPr>
              <w:jc w:val="center"/>
              <w:rPr>
                <w:sz w:val="20"/>
              </w:rPr>
            </w:pPr>
            <w:r w:rsidRPr="005D67F6">
              <w:rPr>
                <w:sz w:val="20"/>
              </w:rPr>
              <w:t>40</w:t>
            </w:r>
          </w:p>
        </w:tc>
        <w:tc>
          <w:tcPr>
            <w:tcW w:w="1008" w:type="dxa"/>
            <w:vAlign w:val="bottom"/>
          </w:tcPr>
          <w:p w14:paraId="45FDC173" w14:textId="77777777" w:rsidR="00B67F02" w:rsidRPr="005D67F6" w:rsidRDefault="00B67F02" w:rsidP="00A60DC6">
            <w:pPr>
              <w:jc w:val="center"/>
              <w:rPr>
                <w:sz w:val="20"/>
              </w:rPr>
            </w:pPr>
            <w:r w:rsidRPr="005D67F6">
              <w:rPr>
                <w:sz w:val="20"/>
              </w:rPr>
              <w:t>5.69</w:t>
            </w:r>
          </w:p>
        </w:tc>
      </w:tr>
      <w:tr w:rsidR="00B67F02" w14:paraId="43021D19" w14:textId="77777777" w:rsidTr="002974EF">
        <w:trPr>
          <w:jc w:val="center"/>
        </w:trPr>
        <w:tc>
          <w:tcPr>
            <w:tcW w:w="1320" w:type="dxa"/>
            <w:vAlign w:val="bottom"/>
          </w:tcPr>
          <w:p w14:paraId="36E6C933" w14:textId="77777777" w:rsidR="00B67F02" w:rsidRPr="005D67F6" w:rsidRDefault="00B67F02" w:rsidP="00A60DC6">
            <w:pPr>
              <w:jc w:val="center"/>
              <w:rPr>
                <w:sz w:val="20"/>
                <w:vertAlign w:val="superscript"/>
              </w:rPr>
            </w:pPr>
            <w:r w:rsidRPr="005D67F6">
              <w:rPr>
                <w:sz w:val="20"/>
              </w:rPr>
              <w:t>2.5 x 10</w:t>
            </w:r>
            <w:r w:rsidRPr="005D67F6">
              <w:rPr>
                <w:sz w:val="20"/>
                <w:vertAlign w:val="superscript"/>
              </w:rPr>
              <w:t>-8</w:t>
            </w:r>
          </w:p>
        </w:tc>
        <w:tc>
          <w:tcPr>
            <w:tcW w:w="900" w:type="dxa"/>
            <w:vAlign w:val="bottom"/>
          </w:tcPr>
          <w:p w14:paraId="4EC1870A" w14:textId="77777777" w:rsidR="00B67F02" w:rsidRPr="005D67F6" w:rsidRDefault="00B67F02" w:rsidP="00A60DC6">
            <w:pPr>
              <w:jc w:val="center"/>
              <w:rPr>
                <w:sz w:val="20"/>
              </w:rPr>
            </w:pPr>
            <w:r w:rsidRPr="005D67F6">
              <w:rPr>
                <w:sz w:val="20"/>
              </w:rPr>
              <w:t>2.50</w:t>
            </w:r>
          </w:p>
        </w:tc>
        <w:tc>
          <w:tcPr>
            <w:tcW w:w="1260" w:type="dxa"/>
            <w:vAlign w:val="bottom"/>
          </w:tcPr>
          <w:p w14:paraId="7166587B" w14:textId="77777777" w:rsidR="00B67F02" w:rsidRPr="005D67F6" w:rsidRDefault="00B67F02" w:rsidP="00A60DC6">
            <w:pPr>
              <w:jc w:val="center"/>
              <w:rPr>
                <w:sz w:val="20"/>
              </w:rPr>
            </w:pPr>
            <w:r w:rsidRPr="005D67F6">
              <w:rPr>
                <w:sz w:val="20"/>
              </w:rPr>
              <w:t>0.50</w:t>
            </w:r>
          </w:p>
        </w:tc>
        <w:tc>
          <w:tcPr>
            <w:tcW w:w="900" w:type="dxa"/>
            <w:vAlign w:val="bottom"/>
          </w:tcPr>
          <w:p w14:paraId="7E5D5C51" w14:textId="77777777" w:rsidR="00B67F02" w:rsidRPr="005D67F6" w:rsidRDefault="00B67F02" w:rsidP="00A60DC6">
            <w:pPr>
              <w:jc w:val="center"/>
              <w:rPr>
                <w:sz w:val="20"/>
              </w:rPr>
            </w:pPr>
            <w:r w:rsidRPr="005D67F6">
              <w:rPr>
                <w:sz w:val="20"/>
              </w:rPr>
              <w:t>19.3</w:t>
            </w:r>
          </w:p>
        </w:tc>
        <w:tc>
          <w:tcPr>
            <w:tcW w:w="1451" w:type="dxa"/>
            <w:vAlign w:val="bottom"/>
          </w:tcPr>
          <w:p w14:paraId="5EAB9685" w14:textId="77777777" w:rsidR="00B67F02" w:rsidRPr="005D67F6" w:rsidRDefault="00B67F02" w:rsidP="00A60DC6">
            <w:pPr>
              <w:jc w:val="center"/>
              <w:rPr>
                <w:sz w:val="20"/>
              </w:rPr>
            </w:pPr>
            <w:r w:rsidRPr="005D67F6">
              <w:rPr>
                <w:sz w:val="20"/>
              </w:rPr>
              <w:t>50</w:t>
            </w:r>
          </w:p>
        </w:tc>
        <w:tc>
          <w:tcPr>
            <w:tcW w:w="1008" w:type="dxa"/>
            <w:vAlign w:val="bottom"/>
          </w:tcPr>
          <w:p w14:paraId="77BA5956" w14:textId="77777777" w:rsidR="00B67F02" w:rsidRPr="005D67F6" w:rsidRDefault="00B67F02" w:rsidP="00A60DC6">
            <w:pPr>
              <w:jc w:val="center"/>
              <w:rPr>
                <w:sz w:val="20"/>
              </w:rPr>
            </w:pPr>
            <w:r w:rsidRPr="005D67F6">
              <w:rPr>
                <w:sz w:val="20"/>
              </w:rPr>
              <w:t>5.50</w:t>
            </w:r>
          </w:p>
        </w:tc>
      </w:tr>
      <w:tr w:rsidR="00B67F02" w14:paraId="7459F021" w14:textId="77777777" w:rsidTr="002974EF">
        <w:trPr>
          <w:jc w:val="center"/>
        </w:trPr>
        <w:tc>
          <w:tcPr>
            <w:tcW w:w="1320" w:type="dxa"/>
            <w:vAlign w:val="bottom"/>
          </w:tcPr>
          <w:p w14:paraId="43230E71"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-7</w:t>
            </w:r>
          </w:p>
        </w:tc>
        <w:tc>
          <w:tcPr>
            <w:tcW w:w="900" w:type="dxa"/>
            <w:vAlign w:val="bottom"/>
          </w:tcPr>
          <w:p w14:paraId="32EDCE08" w14:textId="77777777" w:rsidR="00B67F02" w:rsidRPr="005D67F6" w:rsidRDefault="00B67F02" w:rsidP="00A60DC6">
            <w:pPr>
              <w:jc w:val="center"/>
              <w:rPr>
                <w:sz w:val="20"/>
              </w:rPr>
            </w:pPr>
            <w:r w:rsidRPr="005D67F6">
              <w:rPr>
                <w:sz w:val="20"/>
              </w:rPr>
              <w:t>2.50</w:t>
            </w:r>
          </w:p>
        </w:tc>
        <w:tc>
          <w:tcPr>
            <w:tcW w:w="1260" w:type="dxa"/>
            <w:vAlign w:val="bottom"/>
          </w:tcPr>
          <w:p w14:paraId="6805DF99" w14:textId="77777777" w:rsidR="00B67F02" w:rsidRPr="005D67F6" w:rsidRDefault="00B67F02" w:rsidP="00A60DC6">
            <w:pPr>
              <w:jc w:val="center"/>
              <w:rPr>
                <w:sz w:val="20"/>
              </w:rPr>
            </w:pPr>
            <w:r w:rsidRPr="005D67F6">
              <w:rPr>
                <w:sz w:val="20"/>
              </w:rPr>
              <w:t>0.70</w:t>
            </w:r>
          </w:p>
        </w:tc>
        <w:tc>
          <w:tcPr>
            <w:tcW w:w="900" w:type="dxa"/>
            <w:vAlign w:val="bottom"/>
          </w:tcPr>
          <w:p w14:paraId="445FD07E" w14:textId="77777777" w:rsidR="00B67F02" w:rsidRPr="005D67F6" w:rsidRDefault="00B67F02" w:rsidP="00A60DC6">
            <w:pPr>
              <w:jc w:val="center"/>
              <w:rPr>
                <w:sz w:val="20"/>
              </w:rPr>
            </w:pPr>
            <w:r w:rsidRPr="005D67F6">
              <w:rPr>
                <w:sz w:val="20"/>
              </w:rPr>
              <w:t>20.3</w:t>
            </w:r>
          </w:p>
        </w:tc>
        <w:tc>
          <w:tcPr>
            <w:tcW w:w="1451" w:type="dxa"/>
            <w:vAlign w:val="bottom"/>
          </w:tcPr>
          <w:p w14:paraId="2ACE386F" w14:textId="77777777" w:rsidR="00B67F02" w:rsidRPr="005D67F6" w:rsidRDefault="00B67F02" w:rsidP="00A60DC6">
            <w:pPr>
              <w:jc w:val="center"/>
              <w:rPr>
                <w:sz w:val="20"/>
              </w:rPr>
            </w:pPr>
            <w:r w:rsidRPr="005D67F6">
              <w:rPr>
                <w:sz w:val="20"/>
              </w:rPr>
              <w:t>60</w:t>
            </w:r>
          </w:p>
        </w:tc>
        <w:tc>
          <w:tcPr>
            <w:tcW w:w="1008" w:type="dxa"/>
            <w:vAlign w:val="bottom"/>
          </w:tcPr>
          <w:p w14:paraId="4457B8D1" w14:textId="77777777" w:rsidR="00B67F02" w:rsidRPr="005D67F6" w:rsidRDefault="00B67F02" w:rsidP="00A60DC6">
            <w:pPr>
              <w:jc w:val="center"/>
              <w:rPr>
                <w:sz w:val="20"/>
              </w:rPr>
            </w:pPr>
            <w:r w:rsidRPr="005D67F6">
              <w:rPr>
                <w:sz w:val="20"/>
              </w:rPr>
              <w:t>5.36</w:t>
            </w:r>
          </w:p>
        </w:tc>
      </w:tr>
      <w:tr w:rsidR="00B67F02" w14:paraId="27099F0A" w14:textId="77777777" w:rsidTr="002974EF">
        <w:trPr>
          <w:jc w:val="center"/>
        </w:trPr>
        <w:tc>
          <w:tcPr>
            <w:tcW w:w="1320" w:type="dxa"/>
            <w:vAlign w:val="bottom"/>
          </w:tcPr>
          <w:p w14:paraId="395E29C2" w14:textId="77777777" w:rsidR="00B67F02" w:rsidRPr="005D67F6" w:rsidRDefault="00B67F02" w:rsidP="00A60DC6">
            <w:pPr>
              <w:jc w:val="center"/>
              <w:rPr>
                <w:sz w:val="20"/>
                <w:vertAlign w:val="superscript"/>
              </w:rPr>
            </w:pPr>
            <w:r w:rsidRPr="005D67F6">
              <w:rPr>
                <w:sz w:val="20"/>
              </w:rPr>
              <w:t>2.0 x 10</w:t>
            </w:r>
            <w:r w:rsidRPr="005D67F6">
              <w:rPr>
                <w:sz w:val="20"/>
                <w:vertAlign w:val="superscript"/>
              </w:rPr>
              <w:t>-7</w:t>
            </w:r>
          </w:p>
        </w:tc>
        <w:tc>
          <w:tcPr>
            <w:tcW w:w="900" w:type="dxa"/>
            <w:vAlign w:val="bottom"/>
          </w:tcPr>
          <w:p w14:paraId="6C74D669" w14:textId="77777777" w:rsidR="00B67F02" w:rsidRPr="005D67F6" w:rsidRDefault="00B67F02" w:rsidP="00A60DC6">
            <w:pPr>
              <w:jc w:val="center"/>
              <w:rPr>
                <w:sz w:val="20"/>
              </w:rPr>
            </w:pPr>
            <w:r w:rsidRPr="005D67F6">
              <w:rPr>
                <w:sz w:val="20"/>
              </w:rPr>
              <w:t>2.50</w:t>
            </w:r>
          </w:p>
        </w:tc>
        <w:tc>
          <w:tcPr>
            <w:tcW w:w="1260" w:type="dxa"/>
            <w:vAlign w:val="bottom"/>
          </w:tcPr>
          <w:p w14:paraId="5952594D" w14:textId="77777777" w:rsidR="00B67F02" w:rsidRPr="005D67F6" w:rsidRDefault="00B67F02" w:rsidP="00A60DC6">
            <w:pPr>
              <w:jc w:val="center"/>
              <w:rPr>
                <w:sz w:val="20"/>
              </w:rPr>
            </w:pPr>
            <w:r w:rsidRPr="005D67F6">
              <w:rPr>
                <w:sz w:val="20"/>
              </w:rPr>
              <w:t>0.90</w:t>
            </w:r>
          </w:p>
        </w:tc>
        <w:tc>
          <w:tcPr>
            <w:tcW w:w="900" w:type="dxa"/>
            <w:vAlign w:val="bottom"/>
          </w:tcPr>
          <w:p w14:paraId="4738D330" w14:textId="77777777" w:rsidR="00B67F02" w:rsidRPr="005D67F6" w:rsidRDefault="00B67F02" w:rsidP="00A60DC6">
            <w:pPr>
              <w:jc w:val="center"/>
              <w:rPr>
                <w:sz w:val="20"/>
              </w:rPr>
            </w:pPr>
            <w:r w:rsidRPr="005D67F6">
              <w:rPr>
                <w:sz w:val="20"/>
              </w:rPr>
              <w:t>20.7</w:t>
            </w:r>
          </w:p>
        </w:tc>
        <w:tc>
          <w:tcPr>
            <w:tcW w:w="1451" w:type="dxa"/>
            <w:vAlign w:val="bottom"/>
          </w:tcPr>
          <w:p w14:paraId="6A0AA7B6" w14:textId="77777777" w:rsidR="00B67F02" w:rsidRPr="005D67F6" w:rsidRDefault="00B67F02" w:rsidP="00A60DC6">
            <w:pPr>
              <w:jc w:val="center"/>
              <w:rPr>
                <w:sz w:val="20"/>
              </w:rPr>
            </w:pPr>
            <w:r w:rsidRPr="005D67F6">
              <w:rPr>
                <w:sz w:val="20"/>
              </w:rPr>
              <w:t>75</w:t>
            </w:r>
          </w:p>
        </w:tc>
        <w:tc>
          <w:tcPr>
            <w:tcW w:w="1008" w:type="dxa"/>
            <w:vAlign w:val="bottom"/>
          </w:tcPr>
          <w:p w14:paraId="35D0D1B3" w14:textId="77777777" w:rsidR="00B67F02" w:rsidRPr="005D67F6" w:rsidRDefault="00B67F02" w:rsidP="00A60DC6">
            <w:pPr>
              <w:jc w:val="center"/>
              <w:rPr>
                <w:sz w:val="20"/>
              </w:rPr>
            </w:pPr>
            <w:r w:rsidRPr="005D67F6">
              <w:rPr>
                <w:sz w:val="20"/>
              </w:rPr>
              <w:t>5.16</w:t>
            </w:r>
          </w:p>
        </w:tc>
      </w:tr>
      <w:tr w:rsidR="00B67F02" w14:paraId="3FBB3A84" w14:textId="77777777" w:rsidTr="002974EF">
        <w:trPr>
          <w:jc w:val="center"/>
        </w:trPr>
        <w:tc>
          <w:tcPr>
            <w:tcW w:w="1320" w:type="dxa"/>
            <w:vAlign w:val="bottom"/>
          </w:tcPr>
          <w:p w14:paraId="37270266" w14:textId="77777777" w:rsidR="00B67F02" w:rsidRPr="005D67F6" w:rsidRDefault="00B67F02" w:rsidP="00A60DC6">
            <w:pPr>
              <w:jc w:val="center"/>
              <w:rPr>
                <w:sz w:val="20"/>
                <w:vertAlign w:val="superscript"/>
              </w:rPr>
            </w:pPr>
            <w:r w:rsidRPr="005D67F6">
              <w:rPr>
                <w:sz w:val="20"/>
              </w:rPr>
              <w:t>5.0 x 10</w:t>
            </w:r>
            <w:r w:rsidRPr="005D67F6">
              <w:rPr>
                <w:sz w:val="20"/>
                <w:vertAlign w:val="superscript"/>
              </w:rPr>
              <w:t>-7</w:t>
            </w:r>
          </w:p>
        </w:tc>
        <w:tc>
          <w:tcPr>
            <w:tcW w:w="900" w:type="dxa"/>
            <w:vAlign w:val="bottom"/>
          </w:tcPr>
          <w:p w14:paraId="6E93CCA2" w14:textId="77777777" w:rsidR="00B67F02" w:rsidRPr="005D67F6" w:rsidRDefault="00B67F02" w:rsidP="00A60DC6">
            <w:pPr>
              <w:jc w:val="center"/>
              <w:rPr>
                <w:sz w:val="20"/>
              </w:rPr>
            </w:pPr>
            <w:r w:rsidRPr="005D67F6">
              <w:rPr>
                <w:sz w:val="20"/>
              </w:rPr>
              <w:t>2.50</w:t>
            </w:r>
          </w:p>
        </w:tc>
        <w:tc>
          <w:tcPr>
            <w:tcW w:w="1260" w:type="dxa"/>
            <w:vAlign w:val="bottom"/>
          </w:tcPr>
          <w:p w14:paraId="371E4AEE" w14:textId="77777777" w:rsidR="00B67F02" w:rsidRPr="005D67F6" w:rsidRDefault="00B67F02" w:rsidP="00A60DC6">
            <w:pPr>
              <w:jc w:val="center"/>
              <w:rPr>
                <w:sz w:val="20"/>
              </w:rPr>
            </w:pPr>
            <w:r w:rsidRPr="005D67F6">
              <w:rPr>
                <w:sz w:val="20"/>
              </w:rPr>
              <w:t>1.0</w:t>
            </w:r>
          </w:p>
        </w:tc>
        <w:tc>
          <w:tcPr>
            <w:tcW w:w="900" w:type="dxa"/>
            <w:vAlign w:val="bottom"/>
          </w:tcPr>
          <w:p w14:paraId="202D4B7A" w14:textId="77777777" w:rsidR="00B67F02" w:rsidRPr="005D67F6" w:rsidRDefault="00B67F02" w:rsidP="00A60DC6">
            <w:pPr>
              <w:jc w:val="center"/>
              <w:rPr>
                <w:sz w:val="20"/>
              </w:rPr>
            </w:pPr>
            <w:r w:rsidRPr="005D67F6">
              <w:rPr>
                <w:sz w:val="20"/>
              </w:rPr>
              <w:t>20.7</w:t>
            </w:r>
          </w:p>
        </w:tc>
        <w:tc>
          <w:tcPr>
            <w:tcW w:w="1451" w:type="dxa"/>
            <w:vAlign w:val="bottom"/>
          </w:tcPr>
          <w:p w14:paraId="04B557F2" w14:textId="77777777" w:rsidR="00B67F02" w:rsidRPr="005D67F6" w:rsidRDefault="00B67F02" w:rsidP="00A60DC6">
            <w:pPr>
              <w:jc w:val="center"/>
              <w:rPr>
                <w:sz w:val="20"/>
              </w:rPr>
            </w:pPr>
            <w:r w:rsidRPr="005D67F6">
              <w:rPr>
                <w:sz w:val="20"/>
              </w:rPr>
              <w:t>100</w:t>
            </w:r>
          </w:p>
        </w:tc>
        <w:tc>
          <w:tcPr>
            <w:tcW w:w="1008" w:type="dxa"/>
            <w:vAlign w:val="bottom"/>
          </w:tcPr>
          <w:p w14:paraId="3BFBA379" w14:textId="77777777" w:rsidR="00B67F02" w:rsidRPr="005D67F6" w:rsidRDefault="00B67F02" w:rsidP="00A60DC6">
            <w:pPr>
              <w:jc w:val="center"/>
              <w:rPr>
                <w:sz w:val="20"/>
              </w:rPr>
            </w:pPr>
            <w:r w:rsidRPr="005D67F6">
              <w:rPr>
                <w:sz w:val="20"/>
              </w:rPr>
              <w:t>4.86</w:t>
            </w:r>
          </w:p>
        </w:tc>
      </w:tr>
      <w:tr w:rsidR="00B67F02" w14:paraId="1E46DF39" w14:textId="77777777" w:rsidTr="002974EF">
        <w:trPr>
          <w:jc w:val="center"/>
        </w:trPr>
        <w:tc>
          <w:tcPr>
            <w:tcW w:w="1320" w:type="dxa"/>
            <w:vAlign w:val="bottom"/>
          </w:tcPr>
          <w:p w14:paraId="0CC0A077"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-6</w:t>
            </w:r>
          </w:p>
        </w:tc>
        <w:tc>
          <w:tcPr>
            <w:tcW w:w="900" w:type="dxa"/>
            <w:vAlign w:val="bottom"/>
          </w:tcPr>
          <w:p w14:paraId="54D8A5C8" w14:textId="77777777" w:rsidR="00B67F02" w:rsidRPr="005D67F6" w:rsidRDefault="00B67F02" w:rsidP="00A60DC6">
            <w:pPr>
              <w:jc w:val="center"/>
              <w:rPr>
                <w:sz w:val="20"/>
              </w:rPr>
            </w:pPr>
            <w:r w:rsidRPr="005D67F6">
              <w:rPr>
                <w:sz w:val="20"/>
              </w:rPr>
              <w:t>2.50</w:t>
            </w:r>
          </w:p>
        </w:tc>
        <w:tc>
          <w:tcPr>
            <w:tcW w:w="1260" w:type="dxa"/>
            <w:vAlign w:val="bottom"/>
          </w:tcPr>
          <w:p w14:paraId="165CDE79" w14:textId="77777777" w:rsidR="00B67F02" w:rsidRPr="005D67F6" w:rsidRDefault="00B67F02" w:rsidP="00A60DC6">
            <w:pPr>
              <w:jc w:val="center"/>
              <w:rPr>
                <w:sz w:val="20"/>
              </w:rPr>
            </w:pPr>
            <w:r w:rsidRPr="005D67F6">
              <w:rPr>
                <w:sz w:val="20"/>
              </w:rPr>
              <w:t>1.2</w:t>
            </w:r>
          </w:p>
        </w:tc>
        <w:tc>
          <w:tcPr>
            <w:tcW w:w="900" w:type="dxa"/>
            <w:vAlign w:val="bottom"/>
          </w:tcPr>
          <w:p w14:paraId="03CF8241" w14:textId="77777777" w:rsidR="00B67F02" w:rsidRPr="005D67F6" w:rsidRDefault="00B67F02" w:rsidP="00A60DC6">
            <w:pPr>
              <w:jc w:val="center"/>
              <w:rPr>
                <w:sz w:val="20"/>
              </w:rPr>
            </w:pPr>
            <w:r w:rsidRPr="005D67F6">
              <w:rPr>
                <w:sz w:val="20"/>
              </w:rPr>
              <w:t>20.0</w:t>
            </w:r>
          </w:p>
        </w:tc>
        <w:tc>
          <w:tcPr>
            <w:tcW w:w="1451" w:type="dxa"/>
            <w:vAlign w:val="bottom"/>
          </w:tcPr>
          <w:p w14:paraId="4AC4B73A" w14:textId="77777777" w:rsidR="00B67F02" w:rsidRPr="005D67F6" w:rsidRDefault="00B67F02" w:rsidP="00A60DC6">
            <w:pPr>
              <w:jc w:val="center"/>
              <w:rPr>
                <w:sz w:val="20"/>
              </w:rPr>
            </w:pPr>
            <w:r w:rsidRPr="005D67F6">
              <w:rPr>
                <w:sz w:val="20"/>
              </w:rPr>
              <w:t>130</w:t>
            </w:r>
          </w:p>
        </w:tc>
        <w:tc>
          <w:tcPr>
            <w:tcW w:w="1008" w:type="dxa"/>
            <w:vAlign w:val="bottom"/>
          </w:tcPr>
          <w:p w14:paraId="77B60E13" w14:textId="77777777" w:rsidR="00B67F02" w:rsidRPr="005D67F6" w:rsidRDefault="00B67F02" w:rsidP="00A60DC6">
            <w:pPr>
              <w:jc w:val="center"/>
              <w:rPr>
                <w:sz w:val="20"/>
              </w:rPr>
            </w:pPr>
            <w:r w:rsidRPr="005D67F6">
              <w:rPr>
                <w:sz w:val="20"/>
              </w:rPr>
              <w:t>4.57</w:t>
            </w:r>
          </w:p>
        </w:tc>
      </w:tr>
      <w:tr w:rsidR="00B67F02" w14:paraId="6C24AC3A" w14:textId="77777777" w:rsidTr="002974EF">
        <w:trPr>
          <w:jc w:val="center"/>
        </w:trPr>
        <w:tc>
          <w:tcPr>
            <w:tcW w:w="1320" w:type="dxa"/>
            <w:vAlign w:val="bottom"/>
          </w:tcPr>
          <w:p w14:paraId="1FEE4BFA" w14:textId="77777777" w:rsidR="00B67F02" w:rsidRPr="005D67F6" w:rsidRDefault="00B67F02" w:rsidP="00A60DC6">
            <w:pPr>
              <w:jc w:val="center"/>
              <w:rPr>
                <w:sz w:val="20"/>
                <w:vertAlign w:val="superscript"/>
              </w:rPr>
            </w:pPr>
            <w:r w:rsidRPr="005D67F6">
              <w:rPr>
                <w:sz w:val="20"/>
              </w:rPr>
              <w:t>2.0 x 10</w:t>
            </w:r>
            <w:r w:rsidRPr="005D67F6">
              <w:rPr>
                <w:sz w:val="20"/>
                <w:vertAlign w:val="superscript"/>
              </w:rPr>
              <w:t>-6</w:t>
            </w:r>
          </w:p>
        </w:tc>
        <w:tc>
          <w:tcPr>
            <w:tcW w:w="900" w:type="dxa"/>
            <w:vAlign w:val="bottom"/>
          </w:tcPr>
          <w:p w14:paraId="13E56720" w14:textId="77777777" w:rsidR="00B67F02" w:rsidRPr="005D67F6" w:rsidRDefault="00B67F02" w:rsidP="00A60DC6">
            <w:pPr>
              <w:jc w:val="center"/>
              <w:rPr>
                <w:sz w:val="20"/>
              </w:rPr>
            </w:pPr>
            <w:r w:rsidRPr="005D67F6">
              <w:rPr>
                <w:sz w:val="20"/>
              </w:rPr>
              <w:t>2.50</w:t>
            </w:r>
          </w:p>
        </w:tc>
        <w:tc>
          <w:tcPr>
            <w:tcW w:w="1260" w:type="dxa"/>
            <w:vAlign w:val="bottom"/>
          </w:tcPr>
          <w:p w14:paraId="62B1FE08" w14:textId="77777777" w:rsidR="00B67F02" w:rsidRPr="005D67F6" w:rsidRDefault="00B67F02" w:rsidP="00A60DC6">
            <w:pPr>
              <w:jc w:val="center"/>
              <w:rPr>
                <w:sz w:val="20"/>
              </w:rPr>
            </w:pPr>
            <w:r w:rsidRPr="005D67F6">
              <w:rPr>
                <w:sz w:val="20"/>
              </w:rPr>
              <w:t>1.5</w:t>
            </w:r>
          </w:p>
        </w:tc>
        <w:tc>
          <w:tcPr>
            <w:tcW w:w="900" w:type="dxa"/>
            <w:vAlign w:val="bottom"/>
          </w:tcPr>
          <w:p w14:paraId="616B56B7" w14:textId="77777777" w:rsidR="00B67F02" w:rsidRPr="005D67F6" w:rsidRDefault="00B67F02" w:rsidP="00A60DC6">
            <w:pPr>
              <w:jc w:val="center"/>
              <w:rPr>
                <w:sz w:val="20"/>
              </w:rPr>
            </w:pPr>
            <w:r w:rsidRPr="005D67F6">
              <w:rPr>
                <w:sz w:val="20"/>
              </w:rPr>
              <w:t>18.9</w:t>
            </w:r>
          </w:p>
        </w:tc>
        <w:tc>
          <w:tcPr>
            <w:tcW w:w="1451" w:type="dxa"/>
            <w:vAlign w:val="bottom"/>
          </w:tcPr>
          <w:p w14:paraId="6DEA9434" w14:textId="77777777" w:rsidR="00B67F02" w:rsidRPr="005D67F6" w:rsidRDefault="00B67F02" w:rsidP="00A60DC6">
            <w:pPr>
              <w:jc w:val="center"/>
              <w:rPr>
                <w:sz w:val="20"/>
              </w:rPr>
            </w:pPr>
            <w:r w:rsidRPr="005D67F6">
              <w:rPr>
                <w:sz w:val="20"/>
              </w:rPr>
              <w:t>150</w:t>
            </w:r>
          </w:p>
        </w:tc>
        <w:tc>
          <w:tcPr>
            <w:tcW w:w="1008" w:type="dxa"/>
            <w:vAlign w:val="bottom"/>
          </w:tcPr>
          <w:p w14:paraId="5B44740B" w14:textId="77777777" w:rsidR="00B67F02" w:rsidRPr="005D67F6" w:rsidRDefault="00B67F02" w:rsidP="00A60DC6">
            <w:pPr>
              <w:jc w:val="center"/>
              <w:rPr>
                <w:sz w:val="20"/>
              </w:rPr>
            </w:pPr>
            <w:r w:rsidRPr="005D67F6">
              <w:rPr>
                <w:sz w:val="20"/>
              </w:rPr>
              <w:t>4.40</w:t>
            </w:r>
          </w:p>
        </w:tc>
      </w:tr>
      <w:tr w:rsidR="00B67F02" w14:paraId="26C17592" w14:textId="77777777" w:rsidTr="002974EF">
        <w:trPr>
          <w:jc w:val="center"/>
        </w:trPr>
        <w:tc>
          <w:tcPr>
            <w:tcW w:w="1320" w:type="dxa"/>
            <w:vAlign w:val="bottom"/>
          </w:tcPr>
          <w:p w14:paraId="55F00BEE" w14:textId="77777777" w:rsidR="00B67F02" w:rsidRPr="005D67F6" w:rsidRDefault="00B67F02" w:rsidP="00A60DC6">
            <w:pPr>
              <w:jc w:val="center"/>
              <w:rPr>
                <w:sz w:val="20"/>
                <w:vertAlign w:val="superscript"/>
              </w:rPr>
            </w:pPr>
            <w:r w:rsidRPr="005D67F6">
              <w:rPr>
                <w:sz w:val="20"/>
              </w:rPr>
              <w:t>5.0 x 10</w:t>
            </w:r>
            <w:r w:rsidRPr="005D67F6">
              <w:rPr>
                <w:sz w:val="20"/>
                <w:vertAlign w:val="superscript"/>
              </w:rPr>
              <w:t>-6</w:t>
            </w:r>
          </w:p>
        </w:tc>
        <w:tc>
          <w:tcPr>
            <w:tcW w:w="900" w:type="dxa"/>
            <w:vAlign w:val="bottom"/>
          </w:tcPr>
          <w:p w14:paraId="750681CC" w14:textId="77777777" w:rsidR="00B67F02" w:rsidRPr="005D67F6" w:rsidRDefault="00B67F02" w:rsidP="00A60DC6">
            <w:pPr>
              <w:jc w:val="center"/>
              <w:rPr>
                <w:sz w:val="20"/>
              </w:rPr>
            </w:pPr>
            <w:r w:rsidRPr="005D67F6">
              <w:rPr>
                <w:sz w:val="20"/>
              </w:rPr>
              <w:t>2.50</w:t>
            </w:r>
          </w:p>
        </w:tc>
        <w:tc>
          <w:tcPr>
            <w:tcW w:w="1260" w:type="dxa"/>
            <w:vAlign w:val="bottom"/>
          </w:tcPr>
          <w:p w14:paraId="15AE753C" w14:textId="77777777" w:rsidR="00B67F02" w:rsidRPr="005D67F6" w:rsidRDefault="00B67F02" w:rsidP="00A60DC6">
            <w:pPr>
              <w:jc w:val="center"/>
              <w:rPr>
                <w:sz w:val="20"/>
              </w:rPr>
            </w:pPr>
            <w:r w:rsidRPr="005D67F6">
              <w:rPr>
                <w:sz w:val="20"/>
              </w:rPr>
              <w:t>2.0</w:t>
            </w:r>
          </w:p>
        </w:tc>
        <w:tc>
          <w:tcPr>
            <w:tcW w:w="900" w:type="dxa"/>
            <w:vAlign w:val="bottom"/>
          </w:tcPr>
          <w:p w14:paraId="60D437AA" w14:textId="77777777" w:rsidR="00B67F02" w:rsidRPr="005D67F6" w:rsidRDefault="00B67F02" w:rsidP="00A60DC6">
            <w:pPr>
              <w:jc w:val="center"/>
              <w:rPr>
                <w:sz w:val="20"/>
              </w:rPr>
            </w:pPr>
            <w:r w:rsidRPr="005D67F6">
              <w:rPr>
                <w:sz w:val="20"/>
              </w:rPr>
              <w:t>17.3</w:t>
            </w:r>
          </w:p>
        </w:tc>
        <w:tc>
          <w:tcPr>
            <w:tcW w:w="1451" w:type="dxa"/>
            <w:vAlign w:val="bottom"/>
          </w:tcPr>
          <w:p w14:paraId="48686FCA" w14:textId="77777777" w:rsidR="00B67F02" w:rsidRPr="005D67F6" w:rsidRDefault="00B67F02" w:rsidP="00A60DC6">
            <w:pPr>
              <w:jc w:val="center"/>
              <w:rPr>
                <w:sz w:val="20"/>
              </w:rPr>
            </w:pPr>
            <w:r w:rsidRPr="005D67F6">
              <w:rPr>
                <w:sz w:val="20"/>
              </w:rPr>
              <w:t>180</w:t>
            </w:r>
          </w:p>
        </w:tc>
        <w:tc>
          <w:tcPr>
            <w:tcW w:w="1008" w:type="dxa"/>
            <w:vAlign w:val="bottom"/>
          </w:tcPr>
          <w:p w14:paraId="69957BF6" w14:textId="77777777" w:rsidR="00B67F02" w:rsidRPr="005D67F6" w:rsidRDefault="00B67F02" w:rsidP="00A60DC6">
            <w:pPr>
              <w:jc w:val="center"/>
              <w:rPr>
                <w:sz w:val="20"/>
              </w:rPr>
            </w:pPr>
            <w:r w:rsidRPr="005D67F6">
              <w:rPr>
                <w:sz w:val="20"/>
              </w:rPr>
              <w:t>4.20</w:t>
            </w:r>
          </w:p>
        </w:tc>
      </w:tr>
      <w:tr w:rsidR="00B67F02" w14:paraId="696563FD" w14:textId="77777777" w:rsidTr="002974EF">
        <w:trPr>
          <w:jc w:val="center"/>
        </w:trPr>
        <w:tc>
          <w:tcPr>
            <w:tcW w:w="1320" w:type="dxa"/>
            <w:vAlign w:val="bottom"/>
          </w:tcPr>
          <w:p w14:paraId="66C81669"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-5</w:t>
            </w:r>
          </w:p>
        </w:tc>
        <w:tc>
          <w:tcPr>
            <w:tcW w:w="900" w:type="dxa"/>
            <w:vAlign w:val="bottom"/>
          </w:tcPr>
          <w:p w14:paraId="2510B913" w14:textId="77777777" w:rsidR="00B67F02" w:rsidRPr="005D67F6" w:rsidRDefault="00B67F02" w:rsidP="00A60DC6">
            <w:pPr>
              <w:jc w:val="center"/>
              <w:rPr>
                <w:sz w:val="20"/>
              </w:rPr>
            </w:pPr>
            <w:r w:rsidRPr="005D67F6">
              <w:rPr>
                <w:sz w:val="20"/>
              </w:rPr>
              <w:t>2.50</w:t>
            </w:r>
          </w:p>
        </w:tc>
        <w:tc>
          <w:tcPr>
            <w:tcW w:w="1260" w:type="dxa"/>
            <w:vAlign w:val="bottom"/>
          </w:tcPr>
          <w:p w14:paraId="0D98DC35" w14:textId="77777777" w:rsidR="00B67F02" w:rsidRPr="005D67F6" w:rsidRDefault="00B67F02" w:rsidP="00A60DC6">
            <w:pPr>
              <w:jc w:val="center"/>
              <w:rPr>
                <w:sz w:val="20"/>
              </w:rPr>
            </w:pPr>
            <w:r w:rsidRPr="005D67F6">
              <w:rPr>
                <w:sz w:val="20"/>
              </w:rPr>
              <w:t>2.5</w:t>
            </w:r>
          </w:p>
        </w:tc>
        <w:tc>
          <w:tcPr>
            <w:tcW w:w="900" w:type="dxa"/>
            <w:vAlign w:val="bottom"/>
          </w:tcPr>
          <w:p w14:paraId="3C44899D" w14:textId="77777777" w:rsidR="00B67F02" w:rsidRPr="005D67F6" w:rsidRDefault="00B67F02" w:rsidP="00A60DC6">
            <w:pPr>
              <w:jc w:val="center"/>
              <w:rPr>
                <w:sz w:val="20"/>
              </w:rPr>
            </w:pPr>
            <w:r w:rsidRPr="005D67F6">
              <w:rPr>
                <w:sz w:val="20"/>
              </w:rPr>
              <w:t>16.0</w:t>
            </w:r>
          </w:p>
        </w:tc>
        <w:tc>
          <w:tcPr>
            <w:tcW w:w="1451" w:type="dxa"/>
            <w:vAlign w:val="bottom"/>
          </w:tcPr>
          <w:p w14:paraId="2C6013E5" w14:textId="77777777" w:rsidR="00B67F02" w:rsidRPr="005D67F6" w:rsidRDefault="00B67F02" w:rsidP="00A60DC6">
            <w:pPr>
              <w:jc w:val="center"/>
              <w:rPr>
                <w:sz w:val="20"/>
              </w:rPr>
            </w:pPr>
            <w:r w:rsidRPr="005D67F6">
              <w:rPr>
                <w:sz w:val="20"/>
              </w:rPr>
              <w:t>200</w:t>
            </w:r>
          </w:p>
        </w:tc>
        <w:tc>
          <w:tcPr>
            <w:tcW w:w="1008" w:type="dxa"/>
            <w:vAlign w:val="bottom"/>
          </w:tcPr>
          <w:p w14:paraId="7CE7F315" w14:textId="77777777" w:rsidR="00B67F02" w:rsidRPr="005D67F6" w:rsidRDefault="00B67F02" w:rsidP="00A60DC6">
            <w:pPr>
              <w:jc w:val="center"/>
              <w:rPr>
                <w:sz w:val="20"/>
              </w:rPr>
            </w:pPr>
            <w:r w:rsidRPr="005D67F6">
              <w:rPr>
                <w:sz w:val="20"/>
              </w:rPr>
              <w:t>4.08</w:t>
            </w:r>
          </w:p>
        </w:tc>
      </w:tr>
      <w:tr w:rsidR="00B67F02" w14:paraId="3884F10D" w14:textId="77777777" w:rsidTr="002974EF">
        <w:trPr>
          <w:jc w:val="center"/>
        </w:trPr>
        <w:tc>
          <w:tcPr>
            <w:tcW w:w="1320" w:type="dxa"/>
            <w:vAlign w:val="bottom"/>
          </w:tcPr>
          <w:p w14:paraId="71B9C862" w14:textId="77777777" w:rsidR="00B67F02" w:rsidRPr="005D67F6" w:rsidRDefault="00B67F02" w:rsidP="00A60DC6">
            <w:pPr>
              <w:jc w:val="center"/>
              <w:rPr>
                <w:sz w:val="20"/>
                <w:vertAlign w:val="superscript"/>
              </w:rPr>
            </w:pPr>
            <w:r w:rsidRPr="005D67F6">
              <w:rPr>
                <w:sz w:val="20"/>
              </w:rPr>
              <w:t>2.0 x 10</w:t>
            </w:r>
            <w:r w:rsidRPr="005D67F6">
              <w:rPr>
                <w:sz w:val="20"/>
                <w:vertAlign w:val="superscript"/>
              </w:rPr>
              <w:t>-5</w:t>
            </w:r>
          </w:p>
        </w:tc>
        <w:tc>
          <w:tcPr>
            <w:tcW w:w="900" w:type="dxa"/>
            <w:vAlign w:val="bottom"/>
          </w:tcPr>
          <w:p w14:paraId="7F4951E2" w14:textId="77777777" w:rsidR="00B67F02" w:rsidRPr="005D67F6" w:rsidRDefault="00B67F02" w:rsidP="00A60DC6">
            <w:pPr>
              <w:jc w:val="center"/>
              <w:rPr>
                <w:sz w:val="20"/>
              </w:rPr>
            </w:pPr>
            <w:r w:rsidRPr="005D67F6">
              <w:rPr>
                <w:sz w:val="20"/>
              </w:rPr>
              <w:t>2.50</w:t>
            </w:r>
          </w:p>
        </w:tc>
        <w:tc>
          <w:tcPr>
            <w:tcW w:w="1260" w:type="dxa"/>
            <w:vAlign w:val="bottom"/>
          </w:tcPr>
          <w:p w14:paraId="3AD735BA" w14:textId="77777777" w:rsidR="00B67F02" w:rsidRPr="005D67F6" w:rsidRDefault="00B67F02" w:rsidP="00A60DC6">
            <w:pPr>
              <w:jc w:val="center"/>
              <w:rPr>
                <w:sz w:val="20"/>
              </w:rPr>
            </w:pPr>
            <w:r w:rsidRPr="005D67F6">
              <w:rPr>
                <w:sz w:val="20"/>
              </w:rPr>
              <w:t>3.0</w:t>
            </w:r>
          </w:p>
        </w:tc>
        <w:tc>
          <w:tcPr>
            <w:tcW w:w="900" w:type="dxa"/>
            <w:vAlign w:val="bottom"/>
          </w:tcPr>
          <w:p w14:paraId="6D34E653" w14:textId="77777777" w:rsidR="00B67F02" w:rsidRPr="005D67F6" w:rsidRDefault="00B67F02" w:rsidP="00A60DC6">
            <w:pPr>
              <w:jc w:val="center"/>
              <w:rPr>
                <w:sz w:val="20"/>
              </w:rPr>
            </w:pPr>
            <w:r w:rsidRPr="005D67F6">
              <w:rPr>
                <w:sz w:val="20"/>
              </w:rPr>
              <w:t>15.0</w:t>
            </w:r>
          </w:p>
        </w:tc>
        <w:tc>
          <w:tcPr>
            <w:tcW w:w="1451" w:type="dxa"/>
            <w:vAlign w:val="bottom"/>
          </w:tcPr>
          <w:p w14:paraId="2175027A" w14:textId="77777777" w:rsidR="00B67F02" w:rsidRPr="005D67F6" w:rsidRDefault="00B67F02" w:rsidP="00A60DC6">
            <w:pPr>
              <w:jc w:val="center"/>
              <w:rPr>
                <w:sz w:val="20"/>
              </w:rPr>
            </w:pPr>
            <w:r w:rsidRPr="005D67F6">
              <w:rPr>
                <w:sz w:val="20"/>
              </w:rPr>
              <w:t>300</w:t>
            </w:r>
          </w:p>
        </w:tc>
        <w:tc>
          <w:tcPr>
            <w:tcW w:w="1008" w:type="dxa"/>
            <w:vAlign w:val="bottom"/>
          </w:tcPr>
          <w:p w14:paraId="20ECD3C5" w14:textId="77777777" w:rsidR="00B67F02" w:rsidRPr="005D67F6" w:rsidRDefault="00B67F02" w:rsidP="00A60DC6">
            <w:pPr>
              <w:jc w:val="center"/>
              <w:rPr>
                <w:sz w:val="20"/>
              </w:rPr>
            </w:pPr>
            <w:r w:rsidRPr="005D67F6">
              <w:rPr>
                <w:sz w:val="20"/>
              </w:rPr>
              <w:t>3.66</w:t>
            </w:r>
          </w:p>
        </w:tc>
      </w:tr>
      <w:tr w:rsidR="00B67F02" w14:paraId="58AC990E" w14:textId="77777777" w:rsidTr="002974EF">
        <w:trPr>
          <w:jc w:val="center"/>
        </w:trPr>
        <w:tc>
          <w:tcPr>
            <w:tcW w:w="1320" w:type="dxa"/>
            <w:vAlign w:val="bottom"/>
          </w:tcPr>
          <w:p w14:paraId="5F205A4F" w14:textId="77777777" w:rsidR="00B67F02" w:rsidRPr="005D67F6" w:rsidRDefault="00B67F02" w:rsidP="00A60DC6">
            <w:pPr>
              <w:jc w:val="center"/>
              <w:rPr>
                <w:sz w:val="20"/>
                <w:vertAlign w:val="superscript"/>
              </w:rPr>
            </w:pPr>
            <w:r w:rsidRPr="005D67F6">
              <w:rPr>
                <w:sz w:val="20"/>
              </w:rPr>
              <w:t>5.0 x 10</w:t>
            </w:r>
            <w:r w:rsidRPr="005D67F6">
              <w:rPr>
                <w:sz w:val="20"/>
                <w:vertAlign w:val="superscript"/>
              </w:rPr>
              <w:t>-5</w:t>
            </w:r>
          </w:p>
        </w:tc>
        <w:tc>
          <w:tcPr>
            <w:tcW w:w="900" w:type="dxa"/>
            <w:vAlign w:val="bottom"/>
          </w:tcPr>
          <w:p w14:paraId="773579B0" w14:textId="77777777" w:rsidR="00B67F02" w:rsidRPr="005D67F6" w:rsidRDefault="00B67F02" w:rsidP="00A60DC6">
            <w:pPr>
              <w:jc w:val="center"/>
              <w:rPr>
                <w:sz w:val="20"/>
              </w:rPr>
            </w:pPr>
            <w:r w:rsidRPr="005D67F6">
              <w:rPr>
                <w:sz w:val="20"/>
              </w:rPr>
              <w:t>2.50</w:t>
            </w:r>
          </w:p>
        </w:tc>
        <w:tc>
          <w:tcPr>
            <w:tcW w:w="1260" w:type="dxa"/>
            <w:vAlign w:val="bottom"/>
          </w:tcPr>
          <w:p w14:paraId="598A51D7" w14:textId="77777777" w:rsidR="00B67F02" w:rsidRPr="005D67F6" w:rsidRDefault="00B67F02" w:rsidP="00A60DC6">
            <w:pPr>
              <w:jc w:val="center"/>
              <w:rPr>
                <w:sz w:val="20"/>
              </w:rPr>
            </w:pPr>
            <w:r w:rsidRPr="005D67F6">
              <w:rPr>
                <w:sz w:val="20"/>
              </w:rPr>
              <w:t>4.0</w:t>
            </w:r>
          </w:p>
        </w:tc>
        <w:tc>
          <w:tcPr>
            <w:tcW w:w="900" w:type="dxa"/>
            <w:vAlign w:val="bottom"/>
          </w:tcPr>
          <w:p w14:paraId="2A729D84" w14:textId="77777777" w:rsidR="00B67F02" w:rsidRPr="005D67F6" w:rsidRDefault="00B67F02" w:rsidP="00A60DC6">
            <w:pPr>
              <w:jc w:val="center"/>
              <w:rPr>
                <w:sz w:val="20"/>
              </w:rPr>
            </w:pPr>
            <w:r w:rsidRPr="005D67F6">
              <w:rPr>
                <w:sz w:val="20"/>
              </w:rPr>
              <w:t>13.3</w:t>
            </w:r>
          </w:p>
        </w:tc>
        <w:tc>
          <w:tcPr>
            <w:tcW w:w="1451" w:type="dxa"/>
            <w:vAlign w:val="bottom"/>
          </w:tcPr>
          <w:p w14:paraId="0A11A6D3" w14:textId="77777777" w:rsidR="00B67F02" w:rsidRPr="005D67F6" w:rsidRDefault="00B67F02" w:rsidP="00A60DC6">
            <w:pPr>
              <w:jc w:val="center"/>
              <w:rPr>
                <w:sz w:val="20"/>
              </w:rPr>
            </w:pPr>
            <w:r w:rsidRPr="005D67F6">
              <w:rPr>
                <w:sz w:val="20"/>
              </w:rPr>
              <w:t>400</w:t>
            </w:r>
          </w:p>
        </w:tc>
        <w:tc>
          <w:tcPr>
            <w:tcW w:w="1008" w:type="dxa"/>
            <w:vAlign w:val="bottom"/>
          </w:tcPr>
          <w:p w14:paraId="6239A645" w14:textId="77777777" w:rsidR="00B67F02" w:rsidRPr="005D67F6" w:rsidRDefault="00B67F02" w:rsidP="00A60DC6">
            <w:pPr>
              <w:jc w:val="center"/>
              <w:rPr>
                <w:sz w:val="20"/>
              </w:rPr>
            </w:pPr>
            <w:r w:rsidRPr="005D67F6">
              <w:rPr>
                <w:sz w:val="20"/>
              </w:rPr>
              <w:t>3.40</w:t>
            </w:r>
          </w:p>
        </w:tc>
      </w:tr>
      <w:tr w:rsidR="00B67F02" w14:paraId="58E09B56" w14:textId="77777777" w:rsidTr="002974EF">
        <w:trPr>
          <w:jc w:val="center"/>
        </w:trPr>
        <w:tc>
          <w:tcPr>
            <w:tcW w:w="1320" w:type="dxa"/>
            <w:vAlign w:val="bottom"/>
          </w:tcPr>
          <w:p w14:paraId="70788ED1"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-4</w:t>
            </w:r>
          </w:p>
        </w:tc>
        <w:tc>
          <w:tcPr>
            <w:tcW w:w="900" w:type="dxa"/>
            <w:vAlign w:val="bottom"/>
          </w:tcPr>
          <w:p w14:paraId="5C0BD4DF" w14:textId="77777777" w:rsidR="00B67F02" w:rsidRPr="005D67F6" w:rsidRDefault="00B67F02" w:rsidP="00A60DC6">
            <w:pPr>
              <w:jc w:val="center"/>
              <w:rPr>
                <w:sz w:val="20"/>
              </w:rPr>
            </w:pPr>
            <w:r w:rsidRPr="005D67F6">
              <w:rPr>
                <w:sz w:val="20"/>
              </w:rPr>
              <w:t>2.50</w:t>
            </w:r>
          </w:p>
        </w:tc>
        <w:tc>
          <w:tcPr>
            <w:tcW w:w="1260" w:type="dxa"/>
            <w:vAlign w:val="bottom"/>
          </w:tcPr>
          <w:p w14:paraId="4CF24D0C" w14:textId="77777777" w:rsidR="00B67F02" w:rsidRPr="005D67F6" w:rsidRDefault="00B67F02" w:rsidP="00A60DC6">
            <w:pPr>
              <w:jc w:val="center"/>
              <w:rPr>
                <w:sz w:val="20"/>
              </w:rPr>
            </w:pPr>
            <w:r w:rsidRPr="005D67F6">
              <w:rPr>
                <w:sz w:val="20"/>
              </w:rPr>
              <w:t>5.0</w:t>
            </w:r>
          </w:p>
        </w:tc>
        <w:tc>
          <w:tcPr>
            <w:tcW w:w="900" w:type="dxa"/>
            <w:vAlign w:val="bottom"/>
          </w:tcPr>
          <w:p w14:paraId="06829DA1" w14:textId="77777777" w:rsidR="00B67F02" w:rsidRPr="005D67F6" w:rsidRDefault="00B67F02" w:rsidP="00A60DC6">
            <w:pPr>
              <w:jc w:val="center"/>
              <w:rPr>
                <w:sz w:val="20"/>
              </w:rPr>
            </w:pPr>
            <w:r w:rsidRPr="005D67F6">
              <w:rPr>
                <w:sz w:val="20"/>
              </w:rPr>
              <w:t>12.0</w:t>
            </w:r>
          </w:p>
        </w:tc>
        <w:tc>
          <w:tcPr>
            <w:tcW w:w="1451" w:type="dxa"/>
            <w:vAlign w:val="bottom"/>
          </w:tcPr>
          <w:p w14:paraId="5BE5DBEA" w14:textId="77777777" w:rsidR="00B67F02" w:rsidRPr="005D67F6" w:rsidRDefault="00B67F02" w:rsidP="00A60DC6">
            <w:pPr>
              <w:jc w:val="center"/>
              <w:rPr>
                <w:sz w:val="20"/>
              </w:rPr>
            </w:pPr>
            <w:r w:rsidRPr="005D67F6">
              <w:rPr>
                <w:sz w:val="20"/>
              </w:rPr>
              <w:t>500</w:t>
            </w:r>
          </w:p>
        </w:tc>
        <w:tc>
          <w:tcPr>
            <w:tcW w:w="1008" w:type="dxa"/>
            <w:vAlign w:val="bottom"/>
          </w:tcPr>
          <w:p w14:paraId="1C328337" w14:textId="77777777" w:rsidR="00B67F02" w:rsidRPr="005D67F6" w:rsidRDefault="00B67F02" w:rsidP="00A60DC6">
            <w:pPr>
              <w:jc w:val="center"/>
              <w:rPr>
                <w:sz w:val="20"/>
              </w:rPr>
            </w:pPr>
            <w:r w:rsidRPr="005D67F6">
              <w:rPr>
                <w:sz w:val="20"/>
              </w:rPr>
              <w:t>3.23</w:t>
            </w:r>
          </w:p>
        </w:tc>
      </w:tr>
      <w:tr w:rsidR="00B67F02" w14:paraId="4965B2A0" w14:textId="77777777" w:rsidTr="002974EF">
        <w:trPr>
          <w:jc w:val="center"/>
        </w:trPr>
        <w:tc>
          <w:tcPr>
            <w:tcW w:w="1320" w:type="dxa"/>
            <w:vAlign w:val="bottom"/>
          </w:tcPr>
          <w:p w14:paraId="3BB42196" w14:textId="77777777" w:rsidR="00B67F02" w:rsidRPr="005D67F6" w:rsidRDefault="00B67F02" w:rsidP="00A60DC6">
            <w:pPr>
              <w:jc w:val="center"/>
              <w:rPr>
                <w:sz w:val="20"/>
                <w:vertAlign w:val="superscript"/>
              </w:rPr>
            </w:pPr>
            <w:r w:rsidRPr="005D67F6">
              <w:rPr>
                <w:sz w:val="20"/>
              </w:rPr>
              <w:t>2.0 x 10</w:t>
            </w:r>
            <w:r w:rsidRPr="005D67F6">
              <w:rPr>
                <w:sz w:val="20"/>
                <w:vertAlign w:val="superscript"/>
              </w:rPr>
              <w:t>-4</w:t>
            </w:r>
          </w:p>
        </w:tc>
        <w:tc>
          <w:tcPr>
            <w:tcW w:w="900" w:type="dxa"/>
            <w:vAlign w:val="bottom"/>
          </w:tcPr>
          <w:p w14:paraId="08794E30" w14:textId="77777777" w:rsidR="00B67F02" w:rsidRPr="005D67F6" w:rsidRDefault="00B67F02" w:rsidP="00A60DC6">
            <w:pPr>
              <w:jc w:val="center"/>
              <w:rPr>
                <w:sz w:val="20"/>
              </w:rPr>
            </w:pPr>
            <w:r w:rsidRPr="005D67F6">
              <w:rPr>
                <w:sz w:val="20"/>
              </w:rPr>
              <w:t>2.50</w:t>
            </w:r>
          </w:p>
        </w:tc>
        <w:tc>
          <w:tcPr>
            <w:tcW w:w="1260" w:type="dxa"/>
            <w:vAlign w:val="bottom"/>
          </w:tcPr>
          <w:p w14:paraId="30B940FC" w14:textId="77777777" w:rsidR="00B67F02" w:rsidRPr="005D67F6" w:rsidRDefault="00B67F02" w:rsidP="00A60DC6">
            <w:pPr>
              <w:jc w:val="center"/>
              <w:rPr>
                <w:sz w:val="20"/>
              </w:rPr>
            </w:pPr>
            <w:r w:rsidRPr="005D67F6">
              <w:rPr>
                <w:sz w:val="20"/>
              </w:rPr>
              <w:t>6.0</w:t>
            </w:r>
          </w:p>
        </w:tc>
        <w:tc>
          <w:tcPr>
            <w:tcW w:w="900" w:type="dxa"/>
            <w:vAlign w:val="bottom"/>
          </w:tcPr>
          <w:p w14:paraId="4DFECA34" w14:textId="77777777" w:rsidR="00B67F02" w:rsidRPr="005D67F6" w:rsidRDefault="00B67F02" w:rsidP="00A60DC6">
            <w:pPr>
              <w:jc w:val="center"/>
              <w:rPr>
                <w:sz w:val="20"/>
              </w:rPr>
            </w:pPr>
            <w:r w:rsidRPr="005D67F6">
              <w:rPr>
                <w:sz w:val="20"/>
              </w:rPr>
              <w:t>11.1</w:t>
            </w:r>
          </w:p>
        </w:tc>
        <w:tc>
          <w:tcPr>
            <w:tcW w:w="1451" w:type="dxa"/>
            <w:vAlign w:val="bottom"/>
          </w:tcPr>
          <w:p w14:paraId="42A011BF" w14:textId="77777777" w:rsidR="00B67F02" w:rsidRPr="005D67F6" w:rsidRDefault="00B67F02" w:rsidP="00A60DC6">
            <w:pPr>
              <w:jc w:val="center"/>
              <w:rPr>
                <w:sz w:val="20"/>
              </w:rPr>
            </w:pPr>
            <w:r w:rsidRPr="005D67F6">
              <w:rPr>
                <w:sz w:val="20"/>
              </w:rPr>
              <w:t>700</w:t>
            </w:r>
          </w:p>
        </w:tc>
        <w:tc>
          <w:tcPr>
            <w:tcW w:w="1008" w:type="dxa"/>
            <w:vAlign w:val="bottom"/>
          </w:tcPr>
          <w:p w14:paraId="11D59299" w14:textId="77777777" w:rsidR="00B67F02" w:rsidRPr="005D67F6" w:rsidRDefault="00B67F02" w:rsidP="00A60DC6">
            <w:pPr>
              <w:jc w:val="center"/>
              <w:rPr>
                <w:sz w:val="20"/>
              </w:rPr>
            </w:pPr>
            <w:r w:rsidRPr="005D67F6">
              <w:rPr>
                <w:sz w:val="20"/>
              </w:rPr>
              <w:t>3.01</w:t>
            </w:r>
          </w:p>
        </w:tc>
      </w:tr>
      <w:tr w:rsidR="00B67F02" w14:paraId="4E0C6012" w14:textId="77777777" w:rsidTr="002974EF">
        <w:trPr>
          <w:jc w:val="center"/>
        </w:trPr>
        <w:tc>
          <w:tcPr>
            <w:tcW w:w="1320" w:type="dxa"/>
            <w:vAlign w:val="bottom"/>
          </w:tcPr>
          <w:p w14:paraId="5D82830F" w14:textId="77777777" w:rsidR="00B67F02" w:rsidRPr="005D67F6" w:rsidRDefault="00B67F02" w:rsidP="00A60DC6">
            <w:pPr>
              <w:jc w:val="center"/>
              <w:rPr>
                <w:sz w:val="20"/>
                <w:vertAlign w:val="superscript"/>
              </w:rPr>
            </w:pPr>
            <w:r w:rsidRPr="005D67F6">
              <w:rPr>
                <w:sz w:val="20"/>
              </w:rPr>
              <w:t>5.0 x 10</w:t>
            </w:r>
            <w:r w:rsidRPr="005D67F6">
              <w:rPr>
                <w:sz w:val="20"/>
                <w:vertAlign w:val="superscript"/>
              </w:rPr>
              <w:t>-4</w:t>
            </w:r>
          </w:p>
        </w:tc>
        <w:tc>
          <w:tcPr>
            <w:tcW w:w="900" w:type="dxa"/>
            <w:vAlign w:val="bottom"/>
          </w:tcPr>
          <w:p w14:paraId="72EAB59B" w14:textId="77777777" w:rsidR="00B67F02" w:rsidRPr="005D67F6" w:rsidRDefault="00B67F02" w:rsidP="00A60DC6">
            <w:pPr>
              <w:jc w:val="center"/>
              <w:rPr>
                <w:sz w:val="20"/>
              </w:rPr>
            </w:pPr>
            <w:r w:rsidRPr="005D67F6">
              <w:rPr>
                <w:sz w:val="20"/>
              </w:rPr>
              <w:t>2.50</w:t>
            </w:r>
          </w:p>
        </w:tc>
        <w:tc>
          <w:tcPr>
            <w:tcW w:w="1260" w:type="dxa"/>
            <w:vAlign w:val="bottom"/>
          </w:tcPr>
          <w:p w14:paraId="3145EF60" w14:textId="77777777" w:rsidR="00B67F02" w:rsidRPr="005D67F6" w:rsidRDefault="00B67F02" w:rsidP="00A60DC6">
            <w:pPr>
              <w:jc w:val="center"/>
              <w:rPr>
                <w:sz w:val="20"/>
              </w:rPr>
            </w:pPr>
            <w:r w:rsidRPr="005D67F6">
              <w:rPr>
                <w:sz w:val="20"/>
              </w:rPr>
              <w:t>7.0</w:t>
            </w:r>
          </w:p>
        </w:tc>
        <w:tc>
          <w:tcPr>
            <w:tcW w:w="900" w:type="dxa"/>
            <w:vAlign w:val="bottom"/>
          </w:tcPr>
          <w:p w14:paraId="62FCF749" w14:textId="77777777" w:rsidR="00B67F02" w:rsidRPr="005D67F6" w:rsidRDefault="00B67F02" w:rsidP="00A60DC6">
            <w:pPr>
              <w:jc w:val="center"/>
              <w:rPr>
                <w:sz w:val="20"/>
              </w:rPr>
            </w:pPr>
            <w:r w:rsidRPr="005D67F6">
              <w:rPr>
                <w:sz w:val="20"/>
              </w:rPr>
              <w:t>10.3</w:t>
            </w:r>
          </w:p>
        </w:tc>
        <w:tc>
          <w:tcPr>
            <w:tcW w:w="1451" w:type="dxa"/>
            <w:vAlign w:val="bottom"/>
          </w:tcPr>
          <w:p w14:paraId="1DA79B51"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3</w:t>
            </w:r>
          </w:p>
        </w:tc>
        <w:tc>
          <w:tcPr>
            <w:tcW w:w="1008" w:type="dxa"/>
            <w:vAlign w:val="bottom"/>
          </w:tcPr>
          <w:p w14:paraId="41FE2634" w14:textId="77777777" w:rsidR="00B67F02" w:rsidRPr="005D67F6" w:rsidRDefault="00B67F02" w:rsidP="00A60DC6">
            <w:pPr>
              <w:jc w:val="center"/>
              <w:rPr>
                <w:sz w:val="20"/>
              </w:rPr>
            </w:pPr>
            <w:r w:rsidRPr="005D67F6">
              <w:rPr>
                <w:sz w:val="20"/>
              </w:rPr>
              <w:t>2.84</w:t>
            </w:r>
          </w:p>
        </w:tc>
      </w:tr>
      <w:tr w:rsidR="00B67F02" w14:paraId="669E19E4" w14:textId="77777777" w:rsidTr="002974EF">
        <w:trPr>
          <w:jc w:val="center"/>
        </w:trPr>
        <w:tc>
          <w:tcPr>
            <w:tcW w:w="1320" w:type="dxa"/>
            <w:vAlign w:val="bottom"/>
          </w:tcPr>
          <w:p w14:paraId="4BCE81CF"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-3</w:t>
            </w:r>
          </w:p>
        </w:tc>
        <w:tc>
          <w:tcPr>
            <w:tcW w:w="900" w:type="dxa"/>
            <w:vAlign w:val="bottom"/>
          </w:tcPr>
          <w:p w14:paraId="4C56B1EC" w14:textId="77777777" w:rsidR="00B67F02" w:rsidRPr="005D67F6" w:rsidRDefault="00B67F02" w:rsidP="00A60DC6">
            <w:pPr>
              <w:jc w:val="center"/>
              <w:rPr>
                <w:sz w:val="20"/>
              </w:rPr>
            </w:pPr>
            <w:r w:rsidRPr="005D67F6">
              <w:rPr>
                <w:sz w:val="20"/>
              </w:rPr>
              <w:t>2.51</w:t>
            </w:r>
          </w:p>
        </w:tc>
        <w:tc>
          <w:tcPr>
            <w:tcW w:w="1260" w:type="dxa"/>
            <w:vAlign w:val="bottom"/>
          </w:tcPr>
          <w:p w14:paraId="34F48EC4" w14:textId="77777777" w:rsidR="00B67F02" w:rsidRPr="005D67F6" w:rsidRDefault="00B67F02" w:rsidP="00A60DC6">
            <w:pPr>
              <w:jc w:val="center"/>
              <w:rPr>
                <w:sz w:val="20"/>
              </w:rPr>
            </w:pPr>
            <w:r w:rsidRPr="005D67F6">
              <w:rPr>
                <w:sz w:val="20"/>
              </w:rPr>
              <w:t>8.0</w:t>
            </w:r>
          </w:p>
        </w:tc>
        <w:tc>
          <w:tcPr>
            <w:tcW w:w="900" w:type="dxa"/>
            <w:vAlign w:val="bottom"/>
          </w:tcPr>
          <w:p w14:paraId="2515BB7D" w14:textId="77777777" w:rsidR="00B67F02" w:rsidRPr="005D67F6" w:rsidRDefault="00B67F02" w:rsidP="00A60DC6">
            <w:pPr>
              <w:jc w:val="center"/>
              <w:rPr>
                <w:sz w:val="20"/>
              </w:rPr>
            </w:pPr>
            <w:r w:rsidRPr="005D67F6">
              <w:rPr>
                <w:sz w:val="20"/>
              </w:rPr>
              <w:t>9.72</w:t>
            </w:r>
          </w:p>
        </w:tc>
        <w:tc>
          <w:tcPr>
            <w:tcW w:w="1451" w:type="dxa"/>
            <w:vAlign w:val="bottom"/>
          </w:tcPr>
          <w:p w14:paraId="4DC66C6C" w14:textId="77777777" w:rsidR="00B67F02" w:rsidRPr="005D67F6" w:rsidRDefault="00B67F02" w:rsidP="00A60DC6">
            <w:pPr>
              <w:jc w:val="center"/>
              <w:rPr>
                <w:sz w:val="20"/>
                <w:vertAlign w:val="superscript"/>
              </w:rPr>
            </w:pPr>
            <w:r w:rsidRPr="005D67F6">
              <w:rPr>
                <w:sz w:val="20"/>
              </w:rPr>
              <w:t>1.5 x 10</w:t>
            </w:r>
            <w:r w:rsidRPr="005D67F6">
              <w:rPr>
                <w:sz w:val="20"/>
                <w:vertAlign w:val="superscript"/>
              </w:rPr>
              <w:t>3</w:t>
            </w:r>
          </w:p>
        </w:tc>
        <w:tc>
          <w:tcPr>
            <w:tcW w:w="1008" w:type="dxa"/>
            <w:vAlign w:val="bottom"/>
          </w:tcPr>
          <w:p w14:paraId="503A460C" w14:textId="77777777" w:rsidR="00B67F02" w:rsidRPr="005D67F6" w:rsidRDefault="00B67F02" w:rsidP="00A60DC6">
            <w:pPr>
              <w:jc w:val="center"/>
              <w:rPr>
                <w:sz w:val="20"/>
              </w:rPr>
            </w:pPr>
            <w:r w:rsidRPr="005D67F6">
              <w:rPr>
                <w:sz w:val="20"/>
              </w:rPr>
              <w:t>2.70</w:t>
            </w:r>
          </w:p>
        </w:tc>
      </w:tr>
      <w:tr w:rsidR="00B67F02" w14:paraId="1A4AE8BF" w14:textId="77777777" w:rsidTr="002974EF">
        <w:trPr>
          <w:jc w:val="center"/>
        </w:trPr>
        <w:tc>
          <w:tcPr>
            <w:tcW w:w="1320" w:type="dxa"/>
            <w:vAlign w:val="bottom"/>
          </w:tcPr>
          <w:p w14:paraId="5A54305E" w14:textId="77777777" w:rsidR="00B67F02" w:rsidRPr="005D67F6" w:rsidRDefault="00B67F02" w:rsidP="00A60DC6">
            <w:pPr>
              <w:jc w:val="center"/>
              <w:rPr>
                <w:sz w:val="20"/>
                <w:vertAlign w:val="superscript"/>
              </w:rPr>
            </w:pPr>
            <w:r w:rsidRPr="005D67F6">
              <w:rPr>
                <w:sz w:val="20"/>
              </w:rPr>
              <w:t>2.0 x 10</w:t>
            </w:r>
            <w:r w:rsidRPr="005D67F6">
              <w:rPr>
                <w:sz w:val="20"/>
                <w:vertAlign w:val="superscript"/>
              </w:rPr>
              <w:t>-3</w:t>
            </w:r>
          </w:p>
        </w:tc>
        <w:tc>
          <w:tcPr>
            <w:tcW w:w="900" w:type="dxa"/>
            <w:vAlign w:val="bottom"/>
          </w:tcPr>
          <w:p w14:paraId="6AD07F9B" w14:textId="77777777" w:rsidR="00B67F02" w:rsidRPr="005D67F6" w:rsidRDefault="00B67F02" w:rsidP="00A60DC6">
            <w:pPr>
              <w:jc w:val="center"/>
              <w:rPr>
                <w:sz w:val="20"/>
              </w:rPr>
            </w:pPr>
            <w:r w:rsidRPr="005D67F6">
              <w:rPr>
                <w:sz w:val="20"/>
              </w:rPr>
              <w:t>2.53</w:t>
            </w:r>
          </w:p>
        </w:tc>
        <w:tc>
          <w:tcPr>
            <w:tcW w:w="1260" w:type="dxa"/>
            <w:vAlign w:val="bottom"/>
          </w:tcPr>
          <w:p w14:paraId="5BBC4801" w14:textId="77777777" w:rsidR="00B67F02" w:rsidRPr="005D67F6" w:rsidRDefault="00B67F02" w:rsidP="00A60DC6">
            <w:pPr>
              <w:jc w:val="center"/>
              <w:rPr>
                <w:sz w:val="20"/>
              </w:rPr>
            </w:pPr>
            <w:r w:rsidRPr="005D67F6">
              <w:rPr>
                <w:sz w:val="20"/>
              </w:rPr>
              <w:t>9.0</w:t>
            </w:r>
          </w:p>
        </w:tc>
        <w:tc>
          <w:tcPr>
            <w:tcW w:w="900" w:type="dxa"/>
            <w:vAlign w:val="bottom"/>
          </w:tcPr>
          <w:p w14:paraId="61234160" w14:textId="77777777" w:rsidR="00B67F02" w:rsidRPr="005D67F6" w:rsidRDefault="00B67F02" w:rsidP="00A60DC6">
            <w:pPr>
              <w:jc w:val="center"/>
              <w:rPr>
                <w:sz w:val="20"/>
              </w:rPr>
            </w:pPr>
            <w:r w:rsidRPr="005D67F6">
              <w:rPr>
                <w:sz w:val="20"/>
              </w:rPr>
              <w:t>9.22</w:t>
            </w:r>
          </w:p>
        </w:tc>
        <w:tc>
          <w:tcPr>
            <w:tcW w:w="1451" w:type="dxa"/>
            <w:vAlign w:val="bottom"/>
          </w:tcPr>
          <w:p w14:paraId="208FF91C" w14:textId="77777777" w:rsidR="00B67F02" w:rsidRPr="005D67F6" w:rsidRDefault="00B67F02" w:rsidP="00A60DC6">
            <w:pPr>
              <w:jc w:val="center"/>
              <w:rPr>
                <w:sz w:val="20"/>
                <w:vertAlign w:val="superscript"/>
              </w:rPr>
            </w:pPr>
            <w:r w:rsidRPr="005D67F6">
              <w:rPr>
                <w:sz w:val="20"/>
              </w:rPr>
              <w:t>2.0 x 10</w:t>
            </w:r>
            <w:r w:rsidRPr="005D67F6">
              <w:rPr>
                <w:sz w:val="20"/>
                <w:vertAlign w:val="superscript"/>
              </w:rPr>
              <w:t>3</w:t>
            </w:r>
          </w:p>
        </w:tc>
        <w:tc>
          <w:tcPr>
            <w:tcW w:w="1008" w:type="dxa"/>
            <w:vAlign w:val="bottom"/>
          </w:tcPr>
          <w:p w14:paraId="4E547CF7" w14:textId="77777777" w:rsidR="00B67F02" w:rsidRPr="005D67F6" w:rsidRDefault="00B67F02" w:rsidP="00A60DC6">
            <w:pPr>
              <w:jc w:val="center"/>
              <w:rPr>
                <w:sz w:val="20"/>
              </w:rPr>
            </w:pPr>
            <w:r w:rsidRPr="005D67F6">
              <w:rPr>
                <w:sz w:val="20"/>
              </w:rPr>
              <w:t>2.63</w:t>
            </w:r>
          </w:p>
        </w:tc>
      </w:tr>
      <w:tr w:rsidR="00B67F02" w14:paraId="117CF662" w14:textId="77777777" w:rsidTr="002974EF">
        <w:trPr>
          <w:jc w:val="center"/>
        </w:trPr>
        <w:tc>
          <w:tcPr>
            <w:tcW w:w="1320" w:type="dxa"/>
            <w:vAlign w:val="bottom"/>
          </w:tcPr>
          <w:p w14:paraId="46CFB922" w14:textId="77777777" w:rsidR="00B67F02" w:rsidRPr="005D67F6" w:rsidRDefault="00B67F02" w:rsidP="00A60DC6">
            <w:pPr>
              <w:jc w:val="center"/>
              <w:rPr>
                <w:sz w:val="20"/>
                <w:vertAlign w:val="superscript"/>
              </w:rPr>
            </w:pPr>
            <w:r w:rsidRPr="005D67F6">
              <w:rPr>
                <w:sz w:val="20"/>
              </w:rPr>
              <w:t>5.0 x 10</w:t>
            </w:r>
            <w:r w:rsidRPr="005D67F6">
              <w:rPr>
                <w:sz w:val="20"/>
                <w:vertAlign w:val="superscript"/>
              </w:rPr>
              <w:t>-3</w:t>
            </w:r>
          </w:p>
        </w:tc>
        <w:tc>
          <w:tcPr>
            <w:tcW w:w="900" w:type="dxa"/>
            <w:vAlign w:val="bottom"/>
          </w:tcPr>
          <w:p w14:paraId="29FE2DB6" w14:textId="77777777" w:rsidR="00B67F02" w:rsidRPr="005D67F6" w:rsidRDefault="00B67F02" w:rsidP="00A60DC6">
            <w:pPr>
              <w:jc w:val="center"/>
              <w:rPr>
                <w:sz w:val="20"/>
              </w:rPr>
            </w:pPr>
            <w:r w:rsidRPr="005D67F6">
              <w:rPr>
                <w:sz w:val="20"/>
              </w:rPr>
              <w:t>2.67</w:t>
            </w:r>
          </w:p>
        </w:tc>
        <w:tc>
          <w:tcPr>
            <w:tcW w:w="1260" w:type="dxa"/>
            <w:vAlign w:val="bottom"/>
          </w:tcPr>
          <w:p w14:paraId="172C6939" w14:textId="77777777" w:rsidR="00B67F02" w:rsidRPr="005D67F6" w:rsidRDefault="00B67F02" w:rsidP="00A60DC6">
            <w:pPr>
              <w:jc w:val="center"/>
              <w:rPr>
                <w:sz w:val="20"/>
              </w:rPr>
            </w:pPr>
            <w:r w:rsidRPr="005D67F6">
              <w:rPr>
                <w:sz w:val="20"/>
              </w:rPr>
              <w:t>10</w:t>
            </w:r>
          </w:p>
        </w:tc>
        <w:tc>
          <w:tcPr>
            <w:tcW w:w="900" w:type="dxa"/>
            <w:vAlign w:val="bottom"/>
          </w:tcPr>
          <w:p w14:paraId="1DCD7BD6" w14:textId="77777777" w:rsidR="00B67F02" w:rsidRPr="005D67F6" w:rsidRDefault="00B67F02" w:rsidP="00A60DC6">
            <w:pPr>
              <w:jc w:val="center"/>
              <w:rPr>
                <w:sz w:val="20"/>
              </w:rPr>
            </w:pPr>
            <w:r w:rsidRPr="005D67F6">
              <w:rPr>
                <w:sz w:val="20"/>
              </w:rPr>
              <w:t>8.81</w:t>
            </w:r>
          </w:p>
        </w:tc>
        <w:tc>
          <w:tcPr>
            <w:tcW w:w="1451" w:type="dxa"/>
            <w:vAlign w:val="bottom"/>
          </w:tcPr>
          <w:p w14:paraId="6F148932" w14:textId="77777777" w:rsidR="00B67F02" w:rsidRPr="005D67F6" w:rsidRDefault="00B67F02" w:rsidP="00A60DC6">
            <w:pPr>
              <w:jc w:val="center"/>
              <w:rPr>
                <w:sz w:val="20"/>
                <w:vertAlign w:val="superscript"/>
              </w:rPr>
            </w:pPr>
            <w:r w:rsidRPr="005D67F6">
              <w:rPr>
                <w:sz w:val="20"/>
              </w:rPr>
              <w:t>3.0 x 10</w:t>
            </w:r>
            <w:r w:rsidRPr="005D67F6">
              <w:rPr>
                <w:sz w:val="20"/>
                <w:vertAlign w:val="superscript"/>
              </w:rPr>
              <w:t>3</w:t>
            </w:r>
          </w:p>
        </w:tc>
        <w:tc>
          <w:tcPr>
            <w:tcW w:w="1008" w:type="dxa"/>
            <w:vAlign w:val="bottom"/>
          </w:tcPr>
          <w:p w14:paraId="01E035CF" w14:textId="77777777" w:rsidR="00B67F02" w:rsidRPr="005D67F6" w:rsidRDefault="00B67F02" w:rsidP="00A60DC6">
            <w:pPr>
              <w:jc w:val="center"/>
              <w:rPr>
                <w:sz w:val="20"/>
              </w:rPr>
            </w:pPr>
            <w:r w:rsidRPr="005D67F6">
              <w:rPr>
                <w:sz w:val="20"/>
              </w:rPr>
              <w:t>2.57</w:t>
            </w:r>
          </w:p>
        </w:tc>
      </w:tr>
      <w:tr w:rsidR="00B67F02" w14:paraId="039100C2" w14:textId="77777777" w:rsidTr="002974EF">
        <w:trPr>
          <w:jc w:val="center"/>
        </w:trPr>
        <w:tc>
          <w:tcPr>
            <w:tcW w:w="1320" w:type="dxa"/>
            <w:vAlign w:val="bottom"/>
          </w:tcPr>
          <w:p w14:paraId="0204B937"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-2</w:t>
            </w:r>
          </w:p>
        </w:tc>
        <w:tc>
          <w:tcPr>
            <w:tcW w:w="900" w:type="dxa"/>
            <w:vAlign w:val="bottom"/>
          </w:tcPr>
          <w:p w14:paraId="0A423286" w14:textId="77777777" w:rsidR="00B67F02" w:rsidRPr="005D67F6" w:rsidRDefault="00B67F02" w:rsidP="00A60DC6">
            <w:pPr>
              <w:jc w:val="center"/>
              <w:rPr>
                <w:sz w:val="20"/>
              </w:rPr>
            </w:pPr>
            <w:r w:rsidRPr="005D67F6">
              <w:rPr>
                <w:sz w:val="20"/>
              </w:rPr>
              <w:t>3.03</w:t>
            </w:r>
          </w:p>
        </w:tc>
        <w:tc>
          <w:tcPr>
            <w:tcW w:w="1260" w:type="dxa"/>
            <w:vAlign w:val="bottom"/>
          </w:tcPr>
          <w:p w14:paraId="2898F35C" w14:textId="77777777" w:rsidR="00B67F02" w:rsidRPr="005D67F6" w:rsidRDefault="00B67F02" w:rsidP="00A60DC6">
            <w:pPr>
              <w:jc w:val="center"/>
              <w:rPr>
                <w:sz w:val="20"/>
              </w:rPr>
            </w:pPr>
            <w:r w:rsidRPr="005D67F6">
              <w:rPr>
                <w:sz w:val="20"/>
              </w:rPr>
              <w:t>12</w:t>
            </w:r>
          </w:p>
        </w:tc>
        <w:tc>
          <w:tcPr>
            <w:tcW w:w="900" w:type="dxa"/>
            <w:vAlign w:val="bottom"/>
          </w:tcPr>
          <w:p w14:paraId="0EBCCF21" w14:textId="77777777" w:rsidR="00B67F02" w:rsidRPr="005D67F6" w:rsidRDefault="00B67F02" w:rsidP="00A60DC6">
            <w:pPr>
              <w:jc w:val="center"/>
              <w:rPr>
                <w:sz w:val="20"/>
              </w:rPr>
            </w:pPr>
            <w:r w:rsidRPr="005D67F6">
              <w:rPr>
                <w:sz w:val="20"/>
              </w:rPr>
              <w:t>8.16</w:t>
            </w:r>
          </w:p>
        </w:tc>
        <w:tc>
          <w:tcPr>
            <w:tcW w:w="1451" w:type="dxa"/>
            <w:vAlign w:val="bottom"/>
          </w:tcPr>
          <w:p w14:paraId="7C62F0DA" w14:textId="77777777" w:rsidR="00B67F02" w:rsidRPr="005D67F6" w:rsidRDefault="00B67F02" w:rsidP="00A60DC6">
            <w:pPr>
              <w:jc w:val="center"/>
              <w:rPr>
                <w:sz w:val="20"/>
                <w:vertAlign w:val="superscript"/>
              </w:rPr>
            </w:pPr>
            <w:r w:rsidRPr="005D67F6">
              <w:rPr>
                <w:sz w:val="20"/>
              </w:rPr>
              <w:t>5.0 x 10</w:t>
            </w:r>
            <w:r w:rsidRPr="005D67F6">
              <w:rPr>
                <w:sz w:val="20"/>
                <w:vertAlign w:val="superscript"/>
              </w:rPr>
              <w:t>3</w:t>
            </w:r>
          </w:p>
        </w:tc>
        <w:tc>
          <w:tcPr>
            <w:tcW w:w="1008" w:type="dxa"/>
            <w:vAlign w:val="bottom"/>
          </w:tcPr>
          <w:p w14:paraId="7ABEC4CE" w14:textId="77777777" w:rsidR="00B67F02" w:rsidRPr="005D67F6" w:rsidRDefault="00B67F02" w:rsidP="00A60DC6">
            <w:pPr>
              <w:jc w:val="center"/>
              <w:rPr>
                <w:sz w:val="20"/>
              </w:rPr>
            </w:pPr>
            <w:r w:rsidRPr="005D67F6">
              <w:rPr>
                <w:sz w:val="20"/>
              </w:rPr>
              <w:t>2.53</w:t>
            </w:r>
          </w:p>
        </w:tc>
      </w:tr>
      <w:tr w:rsidR="00B67F02" w14:paraId="061F50C2" w14:textId="77777777" w:rsidTr="002974EF">
        <w:trPr>
          <w:jc w:val="center"/>
        </w:trPr>
        <w:tc>
          <w:tcPr>
            <w:tcW w:w="1320" w:type="dxa"/>
            <w:vAlign w:val="bottom"/>
          </w:tcPr>
          <w:p w14:paraId="6CD6D7EF" w14:textId="77777777" w:rsidR="00B67F02" w:rsidRPr="005D67F6" w:rsidRDefault="00B67F02" w:rsidP="00A60DC6">
            <w:pPr>
              <w:jc w:val="center"/>
              <w:rPr>
                <w:sz w:val="20"/>
                <w:vertAlign w:val="superscript"/>
              </w:rPr>
            </w:pPr>
            <w:r w:rsidRPr="005D67F6">
              <w:rPr>
                <w:sz w:val="20"/>
              </w:rPr>
              <w:t>2.0 x 10</w:t>
            </w:r>
            <w:r w:rsidRPr="005D67F6">
              <w:rPr>
                <w:sz w:val="20"/>
                <w:vertAlign w:val="superscript"/>
              </w:rPr>
              <w:t>-2</w:t>
            </w:r>
          </w:p>
        </w:tc>
        <w:tc>
          <w:tcPr>
            <w:tcW w:w="900" w:type="dxa"/>
            <w:vAlign w:val="bottom"/>
          </w:tcPr>
          <w:p w14:paraId="0926D447" w14:textId="77777777" w:rsidR="00B67F02" w:rsidRPr="005D67F6" w:rsidRDefault="00B67F02" w:rsidP="00A60DC6">
            <w:pPr>
              <w:jc w:val="center"/>
              <w:rPr>
                <w:sz w:val="20"/>
              </w:rPr>
            </w:pPr>
            <w:r w:rsidRPr="005D67F6">
              <w:rPr>
                <w:sz w:val="20"/>
              </w:rPr>
              <w:t>3.92</w:t>
            </w:r>
          </w:p>
        </w:tc>
        <w:tc>
          <w:tcPr>
            <w:tcW w:w="1260" w:type="dxa"/>
            <w:vAlign w:val="bottom"/>
          </w:tcPr>
          <w:p w14:paraId="31AA635D" w14:textId="77777777" w:rsidR="00B67F02" w:rsidRPr="005D67F6" w:rsidRDefault="00B67F02" w:rsidP="00A60DC6">
            <w:pPr>
              <w:jc w:val="center"/>
              <w:rPr>
                <w:sz w:val="20"/>
              </w:rPr>
            </w:pPr>
            <w:r w:rsidRPr="005D67F6">
              <w:rPr>
                <w:sz w:val="20"/>
              </w:rPr>
              <w:t>14</w:t>
            </w:r>
          </w:p>
        </w:tc>
        <w:tc>
          <w:tcPr>
            <w:tcW w:w="900" w:type="dxa"/>
            <w:vAlign w:val="bottom"/>
          </w:tcPr>
          <w:p w14:paraId="70B2A9C5" w14:textId="77777777" w:rsidR="00B67F02" w:rsidRPr="005D67F6" w:rsidRDefault="00B67F02" w:rsidP="00A60DC6">
            <w:pPr>
              <w:jc w:val="center"/>
              <w:rPr>
                <w:sz w:val="20"/>
              </w:rPr>
            </w:pPr>
            <w:r w:rsidRPr="005D67F6">
              <w:rPr>
                <w:sz w:val="20"/>
              </w:rPr>
              <w:t>7.67</w:t>
            </w:r>
          </w:p>
        </w:tc>
        <w:tc>
          <w:tcPr>
            <w:tcW w:w="1451" w:type="dxa"/>
            <w:vAlign w:val="bottom"/>
          </w:tcPr>
          <w:p w14:paraId="1127D33F"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4</w:t>
            </w:r>
          </w:p>
        </w:tc>
        <w:tc>
          <w:tcPr>
            <w:tcW w:w="1008" w:type="dxa"/>
            <w:vAlign w:val="bottom"/>
          </w:tcPr>
          <w:p w14:paraId="3FDFC1EC" w14:textId="77777777" w:rsidR="00B67F02" w:rsidRPr="005D67F6" w:rsidRDefault="00B67F02" w:rsidP="00A60DC6">
            <w:pPr>
              <w:jc w:val="center"/>
              <w:rPr>
                <w:sz w:val="20"/>
              </w:rPr>
            </w:pPr>
            <w:r w:rsidRPr="005D67F6">
              <w:rPr>
                <w:sz w:val="20"/>
              </w:rPr>
              <w:t>2.51</w:t>
            </w:r>
          </w:p>
        </w:tc>
      </w:tr>
      <w:tr w:rsidR="00B67F02" w14:paraId="733DB61F" w14:textId="77777777" w:rsidTr="002974EF">
        <w:trPr>
          <w:jc w:val="center"/>
        </w:trPr>
        <w:tc>
          <w:tcPr>
            <w:tcW w:w="1320" w:type="dxa"/>
            <w:vAlign w:val="bottom"/>
          </w:tcPr>
          <w:p w14:paraId="7A69C3AB" w14:textId="77777777" w:rsidR="00B67F02" w:rsidRPr="005D67F6" w:rsidRDefault="00B67F02" w:rsidP="00A60DC6">
            <w:pPr>
              <w:jc w:val="center"/>
              <w:rPr>
                <w:sz w:val="20"/>
                <w:vertAlign w:val="superscript"/>
              </w:rPr>
            </w:pPr>
            <w:r w:rsidRPr="005D67F6">
              <w:rPr>
                <w:sz w:val="20"/>
              </w:rPr>
              <w:t>3.0 x 10</w:t>
            </w:r>
            <w:r w:rsidRPr="005D67F6">
              <w:rPr>
                <w:sz w:val="20"/>
                <w:vertAlign w:val="superscript"/>
              </w:rPr>
              <w:t>-2</w:t>
            </w:r>
          </w:p>
        </w:tc>
        <w:tc>
          <w:tcPr>
            <w:tcW w:w="900" w:type="dxa"/>
            <w:vAlign w:val="bottom"/>
          </w:tcPr>
          <w:p w14:paraId="468462DE" w14:textId="77777777" w:rsidR="00B67F02" w:rsidRPr="005D67F6" w:rsidRDefault="00B67F02" w:rsidP="00A60DC6">
            <w:pPr>
              <w:jc w:val="center"/>
              <w:rPr>
                <w:sz w:val="20"/>
              </w:rPr>
            </w:pPr>
            <w:r w:rsidRPr="005D67F6">
              <w:rPr>
                <w:sz w:val="20"/>
              </w:rPr>
              <w:t>4.84</w:t>
            </w:r>
          </w:p>
        </w:tc>
        <w:tc>
          <w:tcPr>
            <w:tcW w:w="1260" w:type="dxa"/>
            <w:vAlign w:val="bottom"/>
          </w:tcPr>
          <w:p w14:paraId="5FD1C047" w14:textId="77777777" w:rsidR="00B67F02" w:rsidRPr="005D67F6" w:rsidRDefault="00B67F02" w:rsidP="00A60DC6">
            <w:pPr>
              <w:jc w:val="center"/>
              <w:rPr>
                <w:sz w:val="20"/>
              </w:rPr>
            </w:pPr>
            <w:r w:rsidRPr="005D67F6">
              <w:rPr>
                <w:sz w:val="20"/>
              </w:rPr>
              <w:t>15</w:t>
            </w:r>
          </w:p>
        </w:tc>
        <w:tc>
          <w:tcPr>
            <w:tcW w:w="900" w:type="dxa"/>
            <w:vAlign w:val="bottom"/>
          </w:tcPr>
          <w:p w14:paraId="0CCA57A3" w14:textId="77777777" w:rsidR="00B67F02" w:rsidRPr="005D67F6" w:rsidRDefault="00B67F02" w:rsidP="00A60DC6">
            <w:pPr>
              <w:jc w:val="center"/>
              <w:rPr>
                <w:sz w:val="20"/>
              </w:rPr>
            </w:pPr>
            <w:r w:rsidRPr="005D67F6">
              <w:rPr>
                <w:sz w:val="20"/>
              </w:rPr>
              <w:t>7.47</w:t>
            </w:r>
          </w:p>
        </w:tc>
        <w:tc>
          <w:tcPr>
            <w:tcW w:w="1451" w:type="dxa"/>
            <w:vAlign w:val="bottom"/>
          </w:tcPr>
          <w:p w14:paraId="4990B4A6" w14:textId="77777777" w:rsidR="00B67F02" w:rsidRPr="005D67F6" w:rsidRDefault="00B67F02" w:rsidP="00A60DC6">
            <w:pPr>
              <w:jc w:val="center"/>
              <w:rPr>
                <w:sz w:val="20"/>
                <w:vertAlign w:val="superscript"/>
              </w:rPr>
            </w:pPr>
            <w:r w:rsidRPr="005D67F6">
              <w:rPr>
                <w:sz w:val="20"/>
              </w:rPr>
              <w:t>2.0 x 10</w:t>
            </w:r>
            <w:r w:rsidRPr="005D67F6">
              <w:rPr>
                <w:sz w:val="20"/>
                <w:vertAlign w:val="superscript"/>
              </w:rPr>
              <w:t>4</w:t>
            </w:r>
          </w:p>
        </w:tc>
        <w:tc>
          <w:tcPr>
            <w:tcW w:w="1008" w:type="dxa"/>
            <w:vAlign w:val="bottom"/>
          </w:tcPr>
          <w:p w14:paraId="4F6F1321" w14:textId="77777777" w:rsidR="00B67F02" w:rsidRPr="005D67F6" w:rsidRDefault="00B67F02" w:rsidP="00A60DC6">
            <w:pPr>
              <w:jc w:val="center"/>
              <w:rPr>
                <w:sz w:val="20"/>
              </w:rPr>
            </w:pPr>
            <w:r w:rsidRPr="005D67F6">
              <w:rPr>
                <w:sz w:val="20"/>
              </w:rPr>
              <w:t>2.50</w:t>
            </w:r>
          </w:p>
        </w:tc>
      </w:tr>
      <w:tr w:rsidR="00B67F02" w14:paraId="2DAD833A" w14:textId="77777777" w:rsidTr="002974EF">
        <w:trPr>
          <w:jc w:val="center"/>
        </w:trPr>
        <w:tc>
          <w:tcPr>
            <w:tcW w:w="1320" w:type="dxa"/>
            <w:vAlign w:val="bottom"/>
          </w:tcPr>
          <w:p w14:paraId="2180BB00" w14:textId="77777777" w:rsidR="00B67F02" w:rsidRPr="005D67F6" w:rsidRDefault="00B67F02" w:rsidP="00A60DC6">
            <w:pPr>
              <w:jc w:val="center"/>
              <w:rPr>
                <w:sz w:val="20"/>
                <w:vertAlign w:val="superscript"/>
              </w:rPr>
            </w:pPr>
            <w:r w:rsidRPr="005D67F6">
              <w:rPr>
                <w:sz w:val="20"/>
              </w:rPr>
              <w:t>5.0 x 10</w:t>
            </w:r>
            <w:r w:rsidRPr="005D67F6">
              <w:rPr>
                <w:sz w:val="20"/>
                <w:vertAlign w:val="superscript"/>
              </w:rPr>
              <w:t>-2</w:t>
            </w:r>
          </w:p>
        </w:tc>
        <w:tc>
          <w:tcPr>
            <w:tcW w:w="900" w:type="dxa"/>
            <w:vAlign w:val="bottom"/>
          </w:tcPr>
          <w:p w14:paraId="6292ACAA" w14:textId="77777777" w:rsidR="00B67F02" w:rsidRPr="005D67F6" w:rsidRDefault="00B67F02" w:rsidP="00A60DC6">
            <w:pPr>
              <w:jc w:val="center"/>
              <w:rPr>
                <w:sz w:val="20"/>
              </w:rPr>
            </w:pPr>
            <w:r w:rsidRPr="005D67F6">
              <w:rPr>
                <w:sz w:val="20"/>
              </w:rPr>
              <w:t>6.58</w:t>
            </w:r>
          </w:p>
        </w:tc>
        <w:tc>
          <w:tcPr>
            <w:tcW w:w="1260" w:type="dxa"/>
            <w:vAlign w:val="bottom"/>
          </w:tcPr>
          <w:p w14:paraId="2FF6E268" w14:textId="77777777" w:rsidR="00B67F02" w:rsidRPr="005D67F6" w:rsidRDefault="00B67F02" w:rsidP="00A60DC6">
            <w:pPr>
              <w:jc w:val="center"/>
              <w:rPr>
                <w:sz w:val="20"/>
              </w:rPr>
            </w:pPr>
            <w:r w:rsidRPr="005D67F6">
              <w:rPr>
                <w:sz w:val="20"/>
              </w:rPr>
              <w:t>16</w:t>
            </w:r>
          </w:p>
        </w:tc>
        <w:tc>
          <w:tcPr>
            <w:tcW w:w="900" w:type="dxa"/>
            <w:vAlign w:val="bottom"/>
          </w:tcPr>
          <w:p w14:paraId="2D5871CB" w14:textId="77777777" w:rsidR="00B67F02" w:rsidRPr="005D67F6" w:rsidRDefault="00B67F02" w:rsidP="00A60DC6">
            <w:pPr>
              <w:jc w:val="center"/>
              <w:rPr>
                <w:sz w:val="20"/>
              </w:rPr>
            </w:pPr>
            <w:r w:rsidRPr="005D67F6">
              <w:rPr>
                <w:sz w:val="20"/>
              </w:rPr>
              <w:t>7.30</w:t>
            </w:r>
          </w:p>
        </w:tc>
        <w:tc>
          <w:tcPr>
            <w:tcW w:w="1451" w:type="dxa"/>
            <w:vAlign w:val="bottom"/>
          </w:tcPr>
          <w:p w14:paraId="3512538F" w14:textId="77777777" w:rsidR="00B67F02" w:rsidRPr="005D67F6" w:rsidRDefault="00B67F02" w:rsidP="00A60DC6">
            <w:pPr>
              <w:jc w:val="center"/>
              <w:rPr>
                <w:sz w:val="20"/>
                <w:vertAlign w:val="superscript"/>
              </w:rPr>
            </w:pPr>
            <w:r w:rsidRPr="005D67F6">
              <w:rPr>
                <w:sz w:val="20"/>
              </w:rPr>
              <w:t>5.0 x 10</w:t>
            </w:r>
            <w:r w:rsidRPr="005D67F6">
              <w:rPr>
                <w:sz w:val="20"/>
                <w:vertAlign w:val="superscript"/>
              </w:rPr>
              <w:t>4</w:t>
            </w:r>
          </w:p>
        </w:tc>
        <w:tc>
          <w:tcPr>
            <w:tcW w:w="1008" w:type="dxa"/>
            <w:vAlign w:val="bottom"/>
          </w:tcPr>
          <w:p w14:paraId="1B1C747C" w14:textId="77777777" w:rsidR="00B67F02" w:rsidRPr="005D67F6" w:rsidRDefault="00B67F02" w:rsidP="00A60DC6">
            <w:pPr>
              <w:jc w:val="center"/>
              <w:rPr>
                <w:sz w:val="20"/>
              </w:rPr>
            </w:pPr>
            <w:r w:rsidRPr="005D67F6">
              <w:rPr>
                <w:sz w:val="20"/>
              </w:rPr>
              <w:t>2.50</w:t>
            </w:r>
          </w:p>
        </w:tc>
      </w:tr>
      <w:tr w:rsidR="00B67F02" w14:paraId="2E37FA0C" w14:textId="77777777" w:rsidTr="002974EF">
        <w:trPr>
          <w:jc w:val="center"/>
        </w:trPr>
        <w:tc>
          <w:tcPr>
            <w:tcW w:w="1320" w:type="dxa"/>
            <w:vAlign w:val="bottom"/>
          </w:tcPr>
          <w:p w14:paraId="74901B2A" w14:textId="77777777" w:rsidR="00B67F02" w:rsidRPr="005D67F6" w:rsidRDefault="00B67F02" w:rsidP="00A60DC6">
            <w:pPr>
              <w:jc w:val="center"/>
              <w:rPr>
                <w:sz w:val="20"/>
                <w:vertAlign w:val="superscript"/>
              </w:rPr>
            </w:pPr>
            <w:r w:rsidRPr="005D67F6">
              <w:rPr>
                <w:sz w:val="20"/>
              </w:rPr>
              <w:t>7.0 x 10</w:t>
            </w:r>
            <w:r w:rsidRPr="005D67F6">
              <w:rPr>
                <w:sz w:val="20"/>
                <w:vertAlign w:val="superscript"/>
              </w:rPr>
              <w:t>-2</w:t>
            </w:r>
          </w:p>
        </w:tc>
        <w:tc>
          <w:tcPr>
            <w:tcW w:w="900" w:type="dxa"/>
            <w:vAlign w:val="bottom"/>
          </w:tcPr>
          <w:p w14:paraId="576F04F4" w14:textId="77777777" w:rsidR="00B67F02" w:rsidRPr="005D67F6" w:rsidRDefault="00B67F02" w:rsidP="00A60DC6">
            <w:pPr>
              <w:jc w:val="center"/>
              <w:rPr>
                <w:sz w:val="20"/>
              </w:rPr>
            </w:pPr>
            <w:r w:rsidRPr="005D67F6">
              <w:rPr>
                <w:sz w:val="20"/>
              </w:rPr>
              <w:t>8.10</w:t>
            </w:r>
          </w:p>
        </w:tc>
        <w:tc>
          <w:tcPr>
            <w:tcW w:w="1260" w:type="dxa"/>
            <w:vAlign w:val="bottom"/>
          </w:tcPr>
          <w:p w14:paraId="591DF7A8" w14:textId="77777777" w:rsidR="00B67F02" w:rsidRPr="005D67F6" w:rsidRDefault="00B67F02" w:rsidP="00A60DC6">
            <w:pPr>
              <w:jc w:val="center"/>
              <w:rPr>
                <w:sz w:val="20"/>
              </w:rPr>
            </w:pPr>
            <w:r w:rsidRPr="005D67F6">
              <w:rPr>
                <w:sz w:val="20"/>
              </w:rPr>
              <w:t>17</w:t>
            </w:r>
          </w:p>
        </w:tc>
        <w:tc>
          <w:tcPr>
            <w:tcW w:w="900" w:type="dxa"/>
            <w:vAlign w:val="bottom"/>
          </w:tcPr>
          <w:p w14:paraId="6DB2BAE6" w14:textId="77777777" w:rsidR="00B67F02" w:rsidRPr="005D67F6" w:rsidRDefault="00B67F02" w:rsidP="00A60DC6">
            <w:pPr>
              <w:jc w:val="center"/>
              <w:rPr>
                <w:sz w:val="20"/>
              </w:rPr>
            </w:pPr>
            <w:r w:rsidRPr="005D67F6">
              <w:rPr>
                <w:sz w:val="20"/>
              </w:rPr>
              <w:t>7.14</w:t>
            </w:r>
          </w:p>
        </w:tc>
        <w:tc>
          <w:tcPr>
            <w:tcW w:w="1451" w:type="dxa"/>
            <w:vAlign w:val="bottom"/>
          </w:tcPr>
          <w:p w14:paraId="7CB905B5"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5</w:t>
            </w:r>
          </w:p>
        </w:tc>
        <w:tc>
          <w:tcPr>
            <w:tcW w:w="1008" w:type="dxa"/>
            <w:vAlign w:val="bottom"/>
          </w:tcPr>
          <w:p w14:paraId="611CF035" w14:textId="77777777" w:rsidR="00B67F02" w:rsidRPr="005D67F6" w:rsidRDefault="00B67F02" w:rsidP="00A60DC6">
            <w:pPr>
              <w:jc w:val="center"/>
              <w:rPr>
                <w:sz w:val="20"/>
              </w:rPr>
            </w:pPr>
            <w:r w:rsidRPr="005D67F6">
              <w:rPr>
                <w:sz w:val="20"/>
              </w:rPr>
              <w:t>2.50</w:t>
            </w:r>
          </w:p>
        </w:tc>
      </w:tr>
      <w:tr w:rsidR="00B67F02" w14:paraId="3428B974" w14:textId="77777777" w:rsidTr="002974EF">
        <w:trPr>
          <w:jc w:val="center"/>
        </w:trPr>
        <w:tc>
          <w:tcPr>
            <w:tcW w:w="1320" w:type="dxa"/>
            <w:vAlign w:val="bottom"/>
          </w:tcPr>
          <w:p w14:paraId="34805B34" w14:textId="77777777" w:rsidR="00B67F02" w:rsidRPr="005D67F6" w:rsidRDefault="00B67F02" w:rsidP="00A60DC6">
            <w:pPr>
              <w:jc w:val="center"/>
              <w:rPr>
                <w:sz w:val="20"/>
              </w:rPr>
            </w:pPr>
            <w:r w:rsidRPr="005D67F6">
              <w:rPr>
                <w:sz w:val="20"/>
              </w:rPr>
              <w:t>0.10</w:t>
            </w:r>
          </w:p>
        </w:tc>
        <w:tc>
          <w:tcPr>
            <w:tcW w:w="900" w:type="dxa"/>
            <w:vAlign w:val="bottom"/>
          </w:tcPr>
          <w:p w14:paraId="3B37A040" w14:textId="77777777" w:rsidR="00B67F02" w:rsidRPr="005D67F6" w:rsidRDefault="00B67F02" w:rsidP="00A60DC6">
            <w:pPr>
              <w:jc w:val="center"/>
              <w:rPr>
                <w:sz w:val="20"/>
              </w:rPr>
            </w:pPr>
            <w:r w:rsidRPr="005D67F6">
              <w:rPr>
                <w:sz w:val="20"/>
              </w:rPr>
              <w:t>10.0</w:t>
            </w:r>
          </w:p>
        </w:tc>
        <w:tc>
          <w:tcPr>
            <w:tcW w:w="1260" w:type="dxa"/>
            <w:vAlign w:val="bottom"/>
          </w:tcPr>
          <w:p w14:paraId="600B803B" w14:textId="77777777" w:rsidR="00B67F02" w:rsidRPr="005D67F6" w:rsidRDefault="00B67F02" w:rsidP="00A60DC6">
            <w:pPr>
              <w:jc w:val="center"/>
              <w:rPr>
                <w:sz w:val="20"/>
              </w:rPr>
            </w:pPr>
            <w:r w:rsidRPr="005D67F6">
              <w:rPr>
                <w:sz w:val="20"/>
              </w:rPr>
              <w:t>18</w:t>
            </w:r>
          </w:p>
        </w:tc>
        <w:tc>
          <w:tcPr>
            <w:tcW w:w="900" w:type="dxa"/>
            <w:vAlign w:val="bottom"/>
          </w:tcPr>
          <w:p w14:paraId="34432E20" w14:textId="77777777" w:rsidR="00B67F02" w:rsidRPr="005D67F6" w:rsidRDefault="00B67F02" w:rsidP="00A60DC6">
            <w:pPr>
              <w:jc w:val="center"/>
              <w:rPr>
                <w:sz w:val="20"/>
              </w:rPr>
            </w:pPr>
            <w:r w:rsidRPr="005D67F6">
              <w:rPr>
                <w:sz w:val="20"/>
              </w:rPr>
              <w:t>7.00</w:t>
            </w:r>
          </w:p>
        </w:tc>
        <w:tc>
          <w:tcPr>
            <w:tcW w:w="1451" w:type="dxa"/>
            <w:vAlign w:val="bottom"/>
          </w:tcPr>
          <w:p w14:paraId="104D6189"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6</w:t>
            </w:r>
          </w:p>
        </w:tc>
        <w:tc>
          <w:tcPr>
            <w:tcW w:w="1008" w:type="dxa"/>
            <w:vAlign w:val="bottom"/>
          </w:tcPr>
          <w:p w14:paraId="03A38B6E" w14:textId="77777777" w:rsidR="00B67F02" w:rsidRPr="005D67F6" w:rsidRDefault="00B67F02" w:rsidP="00A60DC6">
            <w:pPr>
              <w:jc w:val="center"/>
              <w:rPr>
                <w:sz w:val="20"/>
              </w:rPr>
            </w:pPr>
            <w:r w:rsidRPr="005D67F6">
              <w:rPr>
                <w:sz w:val="20"/>
              </w:rPr>
              <w:t>2.50</w:t>
            </w:r>
          </w:p>
        </w:tc>
      </w:tr>
      <w:tr w:rsidR="00B67F02" w14:paraId="7467A87D" w14:textId="77777777" w:rsidTr="002974EF">
        <w:trPr>
          <w:jc w:val="center"/>
        </w:trPr>
        <w:tc>
          <w:tcPr>
            <w:tcW w:w="1320" w:type="dxa"/>
            <w:vAlign w:val="bottom"/>
          </w:tcPr>
          <w:p w14:paraId="195F5D5A" w14:textId="77777777" w:rsidR="00B67F02" w:rsidRPr="005D67F6" w:rsidRDefault="00B67F02" w:rsidP="00A60DC6">
            <w:pPr>
              <w:jc w:val="center"/>
              <w:rPr>
                <w:sz w:val="20"/>
              </w:rPr>
            </w:pPr>
            <w:r w:rsidRPr="005D67F6">
              <w:rPr>
                <w:sz w:val="20"/>
              </w:rPr>
              <w:t>0.15</w:t>
            </w:r>
          </w:p>
        </w:tc>
        <w:tc>
          <w:tcPr>
            <w:tcW w:w="900" w:type="dxa"/>
            <w:vAlign w:val="bottom"/>
          </w:tcPr>
          <w:p w14:paraId="7A8D00BC" w14:textId="77777777" w:rsidR="00B67F02" w:rsidRPr="005D67F6" w:rsidRDefault="00B67F02" w:rsidP="00A60DC6">
            <w:pPr>
              <w:jc w:val="center"/>
              <w:rPr>
                <w:sz w:val="20"/>
              </w:rPr>
            </w:pPr>
            <w:r w:rsidRPr="005D67F6">
              <w:rPr>
                <w:sz w:val="20"/>
              </w:rPr>
              <w:t>12.5</w:t>
            </w:r>
          </w:p>
        </w:tc>
        <w:tc>
          <w:tcPr>
            <w:tcW w:w="1260" w:type="dxa"/>
            <w:vAlign w:val="bottom"/>
          </w:tcPr>
          <w:p w14:paraId="0E623199" w14:textId="77777777" w:rsidR="00B67F02" w:rsidRPr="005D67F6" w:rsidRDefault="00B67F02" w:rsidP="00A60DC6">
            <w:pPr>
              <w:jc w:val="center"/>
              <w:rPr>
                <w:sz w:val="20"/>
              </w:rPr>
            </w:pPr>
            <w:r w:rsidRPr="005D67F6">
              <w:rPr>
                <w:sz w:val="20"/>
              </w:rPr>
              <w:t>20</w:t>
            </w:r>
          </w:p>
        </w:tc>
        <w:tc>
          <w:tcPr>
            <w:tcW w:w="900" w:type="dxa"/>
            <w:vAlign w:val="bottom"/>
          </w:tcPr>
          <w:p w14:paraId="68157373" w14:textId="77777777" w:rsidR="00B67F02" w:rsidRPr="005D67F6" w:rsidRDefault="00B67F02" w:rsidP="00A60DC6">
            <w:pPr>
              <w:jc w:val="center"/>
              <w:rPr>
                <w:sz w:val="20"/>
              </w:rPr>
            </w:pPr>
            <w:r w:rsidRPr="005D67F6">
              <w:rPr>
                <w:sz w:val="20"/>
              </w:rPr>
              <w:t>6.76</w:t>
            </w:r>
          </w:p>
        </w:tc>
        <w:tc>
          <w:tcPr>
            <w:tcW w:w="1451" w:type="dxa"/>
            <w:vAlign w:val="bottom"/>
          </w:tcPr>
          <w:p w14:paraId="19FAFDD0" w14:textId="77777777" w:rsidR="00B67F02" w:rsidRPr="005D67F6" w:rsidRDefault="00B67F02" w:rsidP="00A60DC6">
            <w:pPr>
              <w:jc w:val="center"/>
              <w:rPr>
                <w:sz w:val="20"/>
                <w:vertAlign w:val="superscript"/>
              </w:rPr>
            </w:pPr>
            <w:r w:rsidRPr="005D67F6">
              <w:rPr>
                <w:sz w:val="20"/>
              </w:rPr>
              <w:t>1.0 x 10</w:t>
            </w:r>
            <w:r w:rsidRPr="005D67F6">
              <w:rPr>
                <w:sz w:val="20"/>
                <w:vertAlign w:val="superscript"/>
              </w:rPr>
              <w:t>7</w:t>
            </w:r>
          </w:p>
        </w:tc>
        <w:tc>
          <w:tcPr>
            <w:tcW w:w="1008" w:type="dxa"/>
            <w:vAlign w:val="bottom"/>
          </w:tcPr>
          <w:p w14:paraId="4CE7D1C7" w14:textId="77777777" w:rsidR="00B67F02" w:rsidRPr="005D67F6" w:rsidRDefault="00B67F02" w:rsidP="00A60DC6">
            <w:pPr>
              <w:jc w:val="center"/>
              <w:rPr>
                <w:sz w:val="20"/>
              </w:rPr>
            </w:pPr>
            <w:r w:rsidRPr="005D67F6">
              <w:rPr>
                <w:sz w:val="20"/>
              </w:rPr>
              <w:t>2.50</w:t>
            </w:r>
          </w:p>
        </w:tc>
      </w:tr>
    </w:tbl>
    <w:p w14:paraId="47B7C483" w14:textId="77777777" w:rsidR="00B67F02" w:rsidRDefault="00B67F02" w:rsidP="00B67F02">
      <w:pPr>
        <w:rPr>
          <w:b/>
        </w:rPr>
      </w:pPr>
    </w:p>
    <w:p w14:paraId="6FFAAE3A" w14:textId="77777777" w:rsidR="00B67F02" w:rsidRDefault="00BE0318" w:rsidP="00297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450"/>
        <w:jc w:val="center"/>
      </w:pPr>
      <w:r>
        <w:rPr>
          <w:noProof/>
        </w:rPr>
        <w:lastRenderedPageBreak/>
        <w:drawing>
          <wp:inline distT="0" distB="0" distL="0" distR="0" wp14:anchorId="05DE17D5" wp14:editId="3444FFB3">
            <wp:extent cx="4327451" cy="2856461"/>
            <wp:effectExtent l="0" t="0" r="0" b="0"/>
            <wp:docPr id="2" name="Picture 2" descr="Fig_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_8_1"/>
                    <pic:cNvPicPr>
                      <a:picLocks noChangeAspect="1" noChangeArrowheads="1"/>
                    </pic:cNvPicPr>
                  </pic:nvPicPr>
                  <pic:blipFill>
                    <a:blip r:embed="rId12" cstate="print"/>
                    <a:srcRect/>
                    <a:stretch>
                      <a:fillRect/>
                    </a:stretch>
                  </pic:blipFill>
                  <pic:spPr bwMode="auto">
                    <a:xfrm>
                      <a:off x="0" y="0"/>
                      <a:ext cx="4340393" cy="2865004"/>
                    </a:xfrm>
                    <a:prstGeom prst="rect">
                      <a:avLst/>
                    </a:prstGeom>
                    <a:noFill/>
                    <a:ln w="9525">
                      <a:noFill/>
                      <a:miter lim="800000"/>
                      <a:headEnd/>
                      <a:tailEnd/>
                    </a:ln>
                  </pic:spPr>
                </pic:pic>
              </a:graphicData>
            </a:graphic>
          </wp:inline>
        </w:drawing>
      </w:r>
    </w:p>
    <w:p w14:paraId="7EFAE2B3" w14:textId="14DC281A" w:rsidR="009C40AC" w:rsidRDefault="00B67F02" w:rsidP="000B4489">
      <w:pPr>
        <w:pStyle w:val="Heading2"/>
      </w:pPr>
      <w:bookmarkStart w:id="10" w:name="_Toc31185434"/>
      <w:r>
        <w:t>Figure 8-</w:t>
      </w:r>
      <w:r w:rsidR="00511254">
        <w:t xml:space="preserve">1 </w:t>
      </w:r>
      <w:r>
        <w:t xml:space="preserve">Neutron Radiation Weighting (Quality) Factors as a function of neutron energy. </w:t>
      </w:r>
      <w:r w:rsidRPr="00B67F02">
        <w:t>(</w:t>
      </w:r>
      <w:r>
        <w:t>Based on ICRP Publication 103.</w:t>
      </w:r>
      <w:r w:rsidRPr="00B67F02">
        <w:t>)</w:t>
      </w:r>
      <w:bookmarkEnd w:id="10"/>
    </w:p>
    <w:p w14:paraId="79D7E223" w14:textId="77777777" w:rsidR="009C40AC" w:rsidRDefault="008742BA">
      <w:pPr>
        <w:rPr>
          <w:b/>
          <w:bCs/>
        </w:rPr>
      </w:pPr>
      <w:r>
        <w:rPr>
          <w:b/>
          <w:bCs/>
        </w:rPr>
        <w:t xml:space="preserve"> </w:t>
      </w:r>
    </w:p>
    <w:p w14:paraId="6A0B5551" w14:textId="6149937D" w:rsidR="00A4170E" w:rsidRPr="005D67F6" w:rsidRDefault="00944022" w:rsidP="00905F8E">
      <w:pPr>
        <w:pStyle w:val="Heading1"/>
      </w:pPr>
      <w:bookmarkStart w:id="11" w:name="_Toc39300985"/>
      <w:bookmarkStart w:id="12" w:name="_Toc301440385"/>
      <w:bookmarkStart w:id="13" w:name="_Toc31185435"/>
      <w:r w:rsidRPr="005D67F6">
        <w:t>81</w:t>
      </w:r>
      <w:r>
        <w:t>3</w:t>
      </w:r>
      <w:r w:rsidRPr="005D67F6">
        <w:t xml:space="preserve"> Responsibilities</w:t>
      </w:r>
      <w:r w:rsidR="00A4170E" w:rsidRPr="005D67F6">
        <w:t xml:space="preserve"> for </w:t>
      </w:r>
      <w:r w:rsidR="00A4170E" w:rsidRPr="00905F8E">
        <w:t>Configuration</w:t>
      </w:r>
      <w:r w:rsidR="00A4170E" w:rsidRPr="005D67F6">
        <w:t xml:space="preserve"> Control of Radiation Shielding</w:t>
      </w:r>
      <w:bookmarkEnd w:id="11"/>
      <w:bookmarkEnd w:id="12"/>
      <w:bookmarkEnd w:id="13"/>
      <w:r w:rsidR="00265514" w:rsidRPr="005D67F6">
        <w:t xml:space="preserve">  </w:t>
      </w:r>
    </w:p>
    <w:p w14:paraId="4FD50753" w14:textId="77777777" w:rsidR="005D67F6" w:rsidRDefault="005D67F6" w:rsidP="005D67F6">
      <w:pPr>
        <w:ind w:left="720" w:hanging="720"/>
        <w:jc w:val="both"/>
      </w:pPr>
    </w:p>
    <w:p w14:paraId="3A86E181" w14:textId="684E90D3" w:rsidR="008E6228" w:rsidRDefault="00060119" w:rsidP="00060119">
      <w:pPr>
        <w:jc w:val="both"/>
      </w:pPr>
      <w:r>
        <w:t>Division/Section Heads</w:t>
      </w:r>
      <w:r w:rsidR="000548B8">
        <w:t xml:space="preserve">, with the support of </w:t>
      </w:r>
      <w:r w:rsidR="00461442">
        <w:t>the assigned</w:t>
      </w:r>
      <w:r w:rsidR="000548B8">
        <w:t xml:space="preserve"> RSO</w:t>
      </w:r>
      <w:r w:rsidR="00B57945">
        <w:t>(</w:t>
      </w:r>
      <w:r w:rsidR="000548B8">
        <w:t>s</w:t>
      </w:r>
      <w:r w:rsidR="00B57945">
        <w:t>)</w:t>
      </w:r>
      <w:r w:rsidR="000548B8">
        <w:t>,</w:t>
      </w:r>
      <w:r>
        <w:t xml:space="preserve"> are responsible for management of radiation shielding pertaining to </w:t>
      </w:r>
      <w:r w:rsidR="00256718">
        <w:t xml:space="preserve">the </w:t>
      </w:r>
      <w:r>
        <w:t>accelerators, beamlines and associated experiments</w:t>
      </w:r>
      <w:r w:rsidR="00A55F09">
        <w:t>, or other radiological areas</w:t>
      </w:r>
      <w:r>
        <w:t xml:space="preserve"> des</w:t>
      </w:r>
      <w:r w:rsidR="00256718">
        <w:t>igned, constructed, and operated by them as assigned by the Fermilab Director</w:t>
      </w:r>
      <w:r>
        <w:t xml:space="preserve">. </w:t>
      </w:r>
      <w:r w:rsidR="000548B8">
        <w:t xml:space="preserve">Coordination between different organizations is common, required, and naturally expected. The Head of the </w:t>
      </w:r>
      <w:r>
        <w:t>Facilities Engineering Services Section (FESS) has special responsibilities</w:t>
      </w:r>
      <w:r w:rsidR="00256718">
        <w:t xml:space="preserve"> pertai</w:t>
      </w:r>
      <w:r w:rsidR="000548B8">
        <w:t>n</w:t>
      </w:r>
      <w:r w:rsidR="00256718">
        <w:t>ing to accelerator/beamline/experiment radiation shielding</w:t>
      </w:r>
      <w:r w:rsidR="008E6228">
        <w:t xml:space="preserve"> specifically attributed to that organization in the list below that require coordination with the responsible Division/Section(s)</w:t>
      </w:r>
      <w:r>
        <w:t xml:space="preserve">. </w:t>
      </w:r>
      <w:r w:rsidR="009F765C">
        <w:t>The Fermilab Shielding Assessment Review Panel (SARP), the Chair of which is a member of t</w:t>
      </w:r>
      <w:r w:rsidR="00DD2D5C">
        <w:t xml:space="preserve">he </w:t>
      </w:r>
      <w:hyperlink r:id="rId13" w:history="1">
        <w:r w:rsidR="00DD2D5C" w:rsidRPr="00DD2D5C">
          <w:rPr>
            <w:rStyle w:val="Hyperlink"/>
          </w:rPr>
          <w:t>Radiation Safety Subcommittee</w:t>
        </w:r>
      </w:hyperlink>
      <w:r w:rsidR="00AA6EC2">
        <w:t xml:space="preserve"> </w:t>
      </w:r>
      <w:r w:rsidR="009F765C">
        <w:t xml:space="preserve">of </w:t>
      </w:r>
      <w:proofErr w:type="spellStart"/>
      <w:r w:rsidR="009F765C">
        <w:t>FESHCom</w:t>
      </w:r>
      <w:proofErr w:type="spellEnd"/>
      <w:r w:rsidR="00B57945">
        <w:t>,</w:t>
      </w:r>
      <w:r w:rsidR="009F765C">
        <w:t xml:space="preserve"> has </w:t>
      </w:r>
      <w:r w:rsidR="00B6525A">
        <w:t>a key role</w:t>
      </w:r>
      <w:r w:rsidR="009F765C">
        <w:t xml:space="preserve"> in the reviews of shielding assessments</w:t>
      </w:r>
      <w:r w:rsidR="00C21493">
        <w:t xml:space="preserve"> as specified elsewhere in this Chapter</w:t>
      </w:r>
      <w:r w:rsidR="009F765C">
        <w:t>.</w:t>
      </w:r>
    </w:p>
    <w:p w14:paraId="6385F059" w14:textId="77777777" w:rsidR="008E6228" w:rsidRDefault="008E6228" w:rsidP="00060119">
      <w:pPr>
        <w:jc w:val="both"/>
      </w:pPr>
    </w:p>
    <w:p w14:paraId="2462620C" w14:textId="43B3B3D4" w:rsidR="00060119" w:rsidRDefault="00F02C7D" w:rsidP="00060119">
      <w:pPr>
        <w:jc w:val="both"/>
      </w:pPr>
      <w:r>
        <w:t xml:space="preserve">In partnership with the </w:t>
      </w:r>
      <w:r w:rsidR="00596223">
        <w:t>ES&amp;H</w:t>
      </w:r>
      <w:r>
        <w:t xml:space="preserve"> Section t</w:t>
      </w:r>
      <w:r w:rsidR="00060119">
        <w:t>he</w:t>
      </w:r>
      <w:r w:rsidR="008E6228">
        <w:t xml:space="preserve"> </w:t>
      </w:r>
      <w:r w:rsidR="00060119">
        <w:t xml:space="preserve">responsibilities </w:t>
      </w:r>
      <w:r w:rsidR="008E6228">
        <w:t xml:space="preserve">of the Division/Section(s), </w:t>
      </w:r>
      <w:r w:rsidR="001D0225">
        <w:t xml:space="preserve">and </w:t>
      </w:r>
      <w:r w:rsidR="008E6228">
        <w:t>where necessary coord</w:t>
      </w:r>
      <w:r w:rsidR="00411A02">
        <w:t>inated with FESS, include these</w:t>
      </w:r>
      <w:r w:rsidR="00060119">
        <w:t xml:space="preserve"> program elements:</w:t>
      </w:r>
    </w:p>
    <w:p w14:paraId="6D58266C" w14:textId="77777777" w:rsidR="00060119" w:rsidRDefault="00060119" w:rsidP="00060119">
      <w:pPr>
        <w:ind w:left="720" w:hanging="720"/>
        <w:jc w:val="both"/>
      </w:pPr>
    </w:p>
    <w:p w14:paraId="69C6E2AF" w14:textId="0AA4EAA3" w:rsidR="00060119" w:rsidRDefault="00F02C7D" w:rsidP="000548B8">
      <w:pPr>
        <w:pStyle w:val="ListParagraph"/>
        <w:numPr>
          <w:ilvl w:val="0"/>
          <w:numId w:val="15"/>
        </w:numPr>
        <w:ind w:hanging="720"/>
        <w:jc w:val="both"/>
      </w:pPr>
      <w:r>
        <w:t>D</w:t>
      </w:r>
      <w:r w:rsidR="00060119">
        <w:t xml:space="preserve">evelop and maintain a comprehensive inventory of </w:t>
      </w:r>
      <w:r w:rsidR="009243D8">
        <w:t>accelerator/</w:t>
      </w:r>
      <w:r w:rsidR="00060119">
        <w:t>beamline</w:t>
      </w:r>
      <w:r w:rsidR="009243D8">
        <w:t>/experiment</w:t>
      </w:r>
      <w:r w:rsidR="00060119">
        <w:t xml:space="preserve"> shielding against ionizing radiation in the areas assigned to them by the </w:t>
      </w:r>
      <w:r w:rsidR="00944022">
        <w:t>Director and</w:t>
      </w:r>
      <w:r w:rsidR="00060119">
        <w:t xml:space="preserve"> assure that the shielding complies with provisions of this manual. The inventory most likely will take the form of a set of civil construction drawings </w:t>
      </w:r>
      <w:r w:rsidR="00034E40">
        <w:t>overlaid</w:t>
      </w:r>
      <w:r w:rsidR="00060119">
        <w:t xml:space="preserve"> with beamline components maintained in an accessible electronic format. Portable or movable shielding and devices installed either temporarily or permanently within larger, permanent facilities that are required to achieve a given level of radiation protection shall be documented, perhaps on overlays to civil construction drawings.</w:t>
      </w:r>
    </w:p>
    <w:p w14:paraId="0DF351AF" w14:textId="77777777" w:rsidR="00060119" w:rsidRDefault="00060119" w:rsidP="000548B8">
      <w:pPr>
        <w:ind w:hanging="720"/>
        <w:jc w:val="both"/>
      </w:pPr>
    </w:p>
    <w:p w14:paraId="4A914E96" w14:textId="39D5F231" w:rsidR="009E5A0B" w:rsidRPr="009E5A0B" w:rsidRDefault="00F02C7D" w:rsidP="000548B8">
      <w:pPr>
        <w:pStyle w:val="ListParagraph"/>
        <w:numPr>
          <w:ilvl w:val="0"/>
          <w:numId w:val="15"/>
        </w:numPr>
        <w:ind w:hanging="720"/>
        <w:jc w:val="both"/>
        <w:rPr>
          <w:b/>
        </w:rPr>
      </w:pPr>
      <w:r>
        <w:t>A</w:t>
      </w:r>
      <w:r w:rsidR="00805E36">
        <w:t>ssure</w:t>
      </w:r>
      <w:r w:rsidR="00B6525A">
        <w:t xml:space="preserve"> the conduct of </w:t>
      </w:r>
      <w:r w:rsidR="00060119">
        <w:t>a</w:t>
      </w:r>
      <w:r w:rsidR="00256718">
        <w:t>ppropriate</w:t>
      </w:r>
      <w:r w:rsidR="00060119">
        <w:t xml:space="preserve"> shielding assessment</w:t>
      </w:r>
      <w:r w:rsidR="00256718">
        <w:t>s</w:t>
      </w:r>
      <w:r w:rsidR="00060119">
        <w:t xml:space="preserve"> when new </w:t>
      </w:r>
      <w:r w:rsidR="009E5A0B">
        <w:t xml:space="preserve">accelerators, beamlines, </w:t>
      </w:r>
      <w:r w:rsidR="00A55F09">
        <w:t xml:space="preserve">radiological facilities, </w:t>
      </w:r>
      <w:r w:rsidR="009E5A0B">
        <w:t>or experiments are designed</w:t>
      </w:r>
      <w:r w:rsidR="000A3530">
        <w:t xml:space="preserve"> as specified further in subsequent Articles in this chapter.</w:t>
      </w:r>
    </w:p>
    <w:p w14:paraId="4380AA2E" w14:textId="77777777" w:rsidR="009E5A0B" w:rsidRDefault="009E5A0B" w:rsidP="000548B8">
      <w:pPr>
        <w:pStyle w:val="ListParagraph"/>
        <w:ind w:hanging="720"/>
      </w:pPr>
    </w:p>
    <w:p w14:paraId="3A0D90CF" w14:textId="130AEC66" w:rsidR="003A294B" w:rsidRPr="003A294B" w:rsidRDefault="00F02C7D" w:rsidP="000548B8">
      <w:pPr>
        <w:pStyle w:val="ListParagraph"/>
        <w:numPr>
          <w:ilvl w:val="0"/>
          <w:numId w:val="15"/>
        </w:numPr>
        <w:ind w:hanging="720"/>
        <w:jc w:val="both"/>
        <w:rPr>
          <w:b/>
        </w:rPr>
      </w:pPr>
      <w:r>
        <w:t>A</w:t>
      </w:r>
      <w:r w:rsidR="00805E36">
        <w:t>ssure</w:t>
      </w:r>
      <w:r w:rsidR="00944022">
        <w:t xml:space="preserve"> </w:t>
      </w:r>
      <w:r w:rsidR="00B6525A">
        <w:t xml:space="preserve">the conduct of revised </w:t>
      </w:r>
      <w:r w:rsidR="009E5A0B">
        <w:t xml:space="preserve">shielding </w:t>
      </w:r>
      <w:r w:rsidR="00060119">
        <w:t>assessments</w:t>
      </w:r>
      <w:r w:rsidR="006E2F34">
        <w:t xml:space="preserve"> </w:t>
      </w:r>
      <w:r w:rsidR="00060119">
        <w:t xml:space="preserve">when </w:t>
      </w:r>
      <w:r w:rsidR="009243D8">
        <w:t>accelerator/</w:t>
      </w:r>
      <w:r w:rsidR="00060119">
        <w:t>beamline</w:t>
      </w:r>
      <w:r w:rsidR="009243D8">
        <w:t>/experiment</w:t>
      </w:r>
      <w:r w:rsidR="00060119">
        <w:t xml:space="preserve"> operating conditions </w:t>
      </w:r>
      <w:r w:rsidR="00060119" w:rsidRPr="00256718">
        <w:rPr>
          <w:u w:val="single"/>
        </w:rPr>
        <w:t>change</w:t>
      </w:r>
      <w:r w:rsidR="00511254">
        <w:t xml:space="preserve"> significantly, including those that affect the approved Accelerator Safety Envelope </w:t>
      </w:r>
      <w:r w:rsidR="00B10193">
        <w:t xml:space="preserve">or </w:t>
      </w:r>
      <w:r w:rsidR="004517A3">
        <w:t xml:space="preserve">could </w:t>
      </w:r>
      <w:r w:rsidR="00511254">
        <w:t>result in a change to the posting levels (see Article 236) applicable to a given area</w:t>
      </w:r>
      <w:r w:rsidR="00C366E0">
        <w:t>, or would affect the existing shielding assessment</w:t>
      </w:r>
      <w:r w:rsidR="00060119">
        <w:t>.</w:t>
      </w:r>
      <w:r w:rsidR="00CB44AA">
        <w:t xml:space="preserve"> </w:t>
      </w:r>
      <w:r w:rsidR="006E2F34">
        <w:t>FESHM 2010 specifies the unreviewed safety issue determination (USID) process</w:t>
      </w:r>
      <w:r w:rsidR="007D160D">
        <w:t xml:space="preserve"> and where it is applicable</w:t>
      </w:r>
      <w:r w:rsidR="003326E7">
        <w:t>.</w:t>
      </w:r>
    </w:p>
    <w:p w14:paraId="357936D5" w14:textId="77777777" w:rsidR="003A294B" w:rsidRDefault="003A294B" w:rsidP="003A294B">
      <w:pPr>
        <w:pStyle w:val="ListParagraph"/>
      </w:pPr>
    </w:p>
    <w:p w14:paraId="063956DC" w14:textId="15661BE5" w:rsidR="000548B8" w:rsidRPr="00256718" w:rsidRDefault="00F02C7D" w:rsidP="000548B8">
      <w:pPr>
        <w:pStyle w:val="ListParagraph"/>
        <w:numPr>
          <w:ilvl w:val="0"/>
          <w:numId w:val="15"/>
        </w:numPr>
        <w:ind w:hanging="720"/>
        <w:jc w:val="both"/>
        <w:rPr>
          <w:b/>
        </w:rPr>
      </w:pPr>
      <w:r>
        <w:t>Assure</w:t>
      </w:r>
      <w:r w:rsidR="00677DA5">
        <w:t xml:space="preserve"> the </w:t>
      </w:r>
      <w:r w:rsidR="000548B8">
        <w:t>review and approval of shielding assessments in accordance with the process described in Article 81</w:t>
      </w:r>
      <w:r w:rsidR="00F92D32">
        <w:t>4</w:t>
      </w:r>
      <w:r w:rsidR="000548B8">
        <w:t>.</w:t>
      </w:r>
    </w:p>
    <w:p w14:paraId="60C5E25A" w14:textId="77777777" w:rsidR="00256718" w:rsidRDefault="00256718" w:rsidP="000548B8">
      <w:pPr>
        <w:pStyle w:val="ListParagraph"/>
        <w:ind w:hanging="720"/>
        <w:rPr>
          <w:b/>
        </w:rPr>
      </w:pPr>
    </w:p>
    <w:p w14:paraId="22898BE3" w14:textId="3B4A169D" w:rsidR="000548B8" w:rsidRDefault="00F02C7D" w:rsidP="003E19BC">
      <w:pPr>
        <w:pStyle w:val="ListParagraph"/>
        <w:numPr>
          <w:ilvl w:val="0"/>
          <w:numId w:val="15"/>
        </w:numPr>
        <w:ind w:hanging="720"/>
        <w:jc w:val="both"/>
      </w:pPr>
      <w:r>
        <w:t>M</w:t>
      </w:r>
      <w:r w:rsidR="00B6525A">
        <w:t xml:space="preserve">aintain </w:t>
      </w:r>
      <w:r w:rsidR="000548B8">
        <w:t>documentation of the shielding of beamlines in t</w:t>
      </w:r>
      <w:r w:rsidR="003A294B">
        <w:t>heir area of responsibility. D</w:t>
      </w:r>
      <w:r w:rsidR="000548B8">
        <w:t>etermine and document appropriate beam operating parameter limits required to meet ES&amp;H requirements specified bo</w:t>
      </w:r>
      <w:r w:rsidR="001D0225">
        <w:t xml:space="preserve">th in the FRCM and in </w:t>
      </w:r>
      <w:hyperlink r:id="rId14" w:history="1">
        <w:r w:rsidR="001D0225" w:rsidRPr="001D0225">
          <w:rPr>
            <w:rStyle w:val="Hyperlink"/>
          </w:rPr>
          <w:t>FESHM Chapter 2010</w:t>
        </w:r>
      </w:hyperlink>
      <w:r w:rsidR="000548B8">
        <w:t xml:space="preserve">. This includes the Accelerator Safety Envelope (ASE) elements that </w:t>
      </w:r>
      <w:proofErr w:type="gramStart"/>
      <w:r w:rsidR="000548B8">
        <w:t>are connected with</w:t>
      </w:r>
      <w:proofErr w:type="gramEnd"/>
      <w:r w:rsidR="000548B8">
        <w:t xml:space="preserve"> radiological shielding.</w:t>
      </w:r>
    </w:p>
    <w:p w14:paraId="11C83A3E" w14:textId="77777777" w:rsidR="007F399D" w:rsidRDefault="007F399D" w:rsidP="007F399D">
      <w:pPr>
        <w:pStyle w:val="ListParagraph"/>
      </w:pPr>
    </w:p>
    <w:p w14:paraId="496F0788" w14:textId="61FD597F" w:rsidR="007F399D" w:rsidRDefault="007F399D" w:rsidP="00562BE0">
      <w:pPr>
        <w:pStyle w:val="ListParagraph"/>
        <w:numPr>
          <w:ilvl w:val="0"/>
          <w:numId w:val="15"/>
        </w:numPr>
        <w:ind w:hanging="720"/>
        <w:jc w:val="both"/>
      </w:pPr>
      <w:r>
        <w:t xml:space="preserve">Prepare shielding assessment addenda to reflect </w:t>
      </w:r>
      <w:r w:rsidR="00511254">
        <w:t xml:space="preserve">minor </w:t>
      </w:r>
      <w:r>
        <w:t>changes to a given area covered by a previously approved shielding assessment</w:t>
      </w:r>
      <w:r w:rsidR="001E2015">
        <w:t xml:space="preserve">.  </w:t>
      </w:r>
      <w:r w:rsidR="00511254">
        <w:t xml:space="preserve">Such changes include those that do </w:t>
      </w:r>
      <w:r w:rsidR="00511254">
        <w:rPr>
          <w:u w:val="single"/>
        </w:rPr>
        <w:t>not</w:t>
      </w:r>
      <w:r w:rsidR="00511254">
        <w:t xml:space="preserve"> affect the approved Accelerator Safety Envelope (see FESHM 2010), do not significantly change operating conditions such as the available intensity, energy, or</w:t>
      </w:r>
      <w:r w:rsidR="00062C92">
        <w:t xml:space="preserve"> particle type, etc., or do not</w:t>
      </w:r>
      <w:r>
        <w:t xml:space="preserve"> reduce the level of safety as defined by the various posting levels of Article 236. </w:t>
      </w:r>
      <w:r w:rsidR="00F52399">
        <w:t>At the discretion of the</w:t>
      </w:r>
      <w:r w:rsidR="00062C92">
        <w:t xml:space="preserve"> </w:t>
      </w:r>
      <w:r w:rsidR="00B6525A">
        <w:t>SRSO</w:t>
      </w:r>
      <w:r w:rsidR="00F52399">
        <w:t>, these addenda</w:t>
      </w:r>
      <w:r w:rsidR="009A121F">
        <w:t>, commonly called “post assessment documents”</w:t>
      </w:r>
      <w:r w:rsidR="00F52399">
        <w:t xml:space="preserve"> </w:t>
      </w:r>
      <w:r w:rsidR="00B6525A">
        <w:t>shall be documented by the Radiological Control Organization or</w:t>
      </w:r>
      <w:r w:rsidR="00F52399">
        <w:t xml:space="preserve"> sent to the SARP for further review. They are to be permanently </w:t>
      </w:r>
      <w:r w:rsidR="004717B2">
        <w:t>documented along with the approved Shielding Assessment in a permanently maintained document retrieval system.</w:t>
      </w:r>
    </w:p>
    <w:p w14:paraId="4380D049" w14:textId="77777777" w:rsidR="000548B8" w:rsidRDefault="000548B8" w:rsidP="000548B8">
      <w:pPr>
        <w:jc w:val="both"/>
      </w:pPr>
    </w:p>
    <w:p w14:paraId="3FC35F3B" w14:textId="5A284733" w:rsidR="000548B8" w:rsidRDefault="003A294B" w:rsidP="000548B8">
      <w:pPr>
        <w:pStyle w:val="ListParagraph"/>
        <w:numPr>
          <w:ilvl w:val="0"/>
          <w:numId w:val="15"/>
        </w:numPr>
        <w:ind w:hanging="720"/>
        <w:jc w:val="both"/>
      </w:pPr>
      <w:r>
        <w:t>The</w:t>
      </w:r>
      <w:r w:rsidR="000548B8">
        <w:t xml:space="preserve"> placement of temporary shielding</w:t>
      </w:r>
      <w:r w:rsidR="00FA0A29">
        <w:t xml:space="preserve"> and beam absorbers, as described by the shielding assessment,</w:t>
      </w:r>
      <w:r w:rsidR="000548B8">
        <w:t xml:space="preserve"> in </w:t>
      </w:r>
      <w:r w:rsidR="00FA0A29">
        <w:t xml:space="preserve">or near </w:t>
      </w:r>
      <w:r w:rsidR="000548B8">
        <w:t xml:space="preserve">accelerator/beamline enclosures </w:t>
      </w:r>
      <w:r>
        <w:t>sh</w:t>
      </w:r>
      <w:r w:rsidR="00FA0A29">
        <w:t>all</w:t>
      </w:r>
      <w:r>
        <w:t xml:space="preserve"> be controlled </w:t>
      </w:r>
      <w:r w:rsidR="000548B8">
        <w:t xml:space="preserve">by some or </w:t>
      </w:r>
      <w:proofErr w:type="gramStart"/>
      <w:r w:rsidR="000548B8">
        <w:t>all of</w:t>
      </w:r>
      <w:proofErr w:type="gramEnd"/>
      <w:r w:rsidR="000548B8">
        <w:t xml:space="preserve"> the following provisions:</w:t>
      </w:r>
    </w:p>
    <w:p w14:paraId="452924B0" w14:textId="77777777" w:rsidR="000548B8" w:rsidRDefault="000548B8" w:rsidP="000548B8">
      <w:pPr>
        <w:ind w:left="1440" w:hanging="720"/>
        <w:jc w:val="both"/>
      </w:pPr>
    </w:p>
    <w:p w14:paraId="56714E00" w14:textId="47BF0226" w:rsidR="000548B8" w:rsidRDefault="000548B8" w:rsidP="000548B8">
      <w:pPr>
        <w:pStyle w:val="ListParagraph"/>
        <w:numPr>
          <w:ilvl w:val="1"/>
          <w:numId w:val="16"/>
        </w:numPr>
        <w:ind w:left="1440" w:hanging="720"/>
        <w:jc w:val="both"/>
      </w:pPr>
      <w:r>
        <w:t>Provid</w:t>
      </w:r>
      <w:r w:rsidR="00FA0A29">
        <w:t>ing</w:t>
      </w:r>
      <w:r>
        <w:t xml:space="preserve"> appropriate labeling and securing of such shielding to prevent its inadvertent removal,</w:t>
      </w:r>
    </w:p>
    <w:p w14:paraId="65FD86A6" w14:textId="77777777" w:rsidR="00FA0A29" w:rsidRDefault="00FA0A29" w:rsidP="00FA0A29">
      <w:pPr>
        <w:pStyle w:val="ListParagraph"/>
        <w:ind w:left="1440"/>
        <w:jc w:val="both"/>
      </w:pPr>
    </w:p>
    <w:p w14:paraId="7DF78E0A" w14:textId="5F1F344B" w:rsidR="00FA0A29" w:rsidRDefault="00FA0A29" w:rsidP="000548B8">
      <w:pPr>
        <w:pStyle w:val="ListParagraph"/>
        <w:numPr>
          <w:ilvl w:val="1"/>
          <w:numId w:val="16"/>
        </w:numPr>
        <w:ind w:left="1440" w:hanging="720"/>
        <w:jc w:val="both"/>
      </w:pPr>
      <w:r>
        <w:t>Appl</w:t>
      </w:r>
      <w:r w:rsidR="00943825">
        <w:t>ying</w:t>
      </w:r>
      <w:r>
        <w:t xml:space="preserve"> standard labels and/or locks and chains, or other devices and equipment approved by the assigned RSO where practical, </w:t>
      </w:r>
    </w:p>
    <w:p w14:paraId="53CA3C93" w14:textId="77777777" w:rsidR="00461442" w:rsidRDefault="00461442" w:rsidP="00461442">
      <w:pPr>
        <w:pStyle w:val="ListParagraph"/>
        <w:ind w:left="1440"/>
        <w:jc w:val="both"/>
      </w:pPr>
    </w:p>
    <w:p w14:paraId="1082C6CC" w14:textId="36D07D49" w:rsidR="000548B8" w:rsidRDefault="000548B8" w:rsidP="000548B8">
      <w:pPr>
        <w:pStyle w:val="ListParagraph"/>
        <w:numPr>
          <w:ilvl w:val="1"/>
          <w:numId w:val="16"/>
        </w:numPr>
        <w:ind w:left="1440" w:hanging="720"/>
        <w:jc w:val="both"/>
      </w:pPr>
      <w:r>
        <w:t>Develop</w:t>
      </w:r>
      <w:r w:rsidR="00FA0A29">
        <w:t>ing</w:t>
      </w:r>
      <w:r>
        <w:t xml:space="preserve"> appropriate procedures for evaluating its effectiveness, and integrity,</w:t>
      </w:r>
    </w:p>
    <w:p w14:paraId="04112919" w14:textId="77777777" w:rsidR="00461442" w:rsidRDefault="00461442" w:rsidP="00461442">
      <w:pPr>
        <w:pStyle w:val="ListParagraph"/>
        <w:ind w:left="1440"/>
        <w:jc w:val="both"/>
      </w:pPr>
    </w:p>
    <w:p w14:paraId="21626546" w14:textId="6347E382" w:rsidR="000548B8" w:rsidRDefault="000548B8" w:rsidP="000548B8">
      <w:pPr>
        <w:pStyle w:val="ListParagraph"/>
        <w:numPr>
          <w:ilvl w:val="1"/>
          <w:numId w:val="16"/>
        </w:numPr>
        <w:ind w:left="1440" w:hanging="720"/>
        <w:jc w:val="both"/>
      </w:pPr>
      <w:r>
        <w:lastRenderedPageBreak/>
        <w:t>Develop</w:t>
      </w:r>
      <w:r w:rsidR="00FA0A29">
        <w:t>ing</w:t>
      </w:r>
      <w:r>
        <w:t xml:space="preserve"> and retain appropriate documentation</w:t>
      </w:r>
      <w:r w:rsidR="003A294B">
        <w:t xml:space="preserve"> inventory</w:t>
      </w:r>
      <w:r>
        <w:t>, which becomes part of the permanent record of the operation.</w:t>
      </w:r>
    </w:p>
    <w:p w14:paraId="5BD5A586" w14:textId="77777777" w:rsidR="00F02C7D" w:rsidRDefault="00F02C7D" w:rsidP="00C53563">
      <w:pPr>
        <w:pStyle w:val="ListParagraph"/>
      </w:pPr>
    </w:p>
    <w:p w14:paraId="19B69125" w14:textId="77777777" w:rsidR="00F92D32" w:rsidRDefault="00F92D32" w:rsidP="00F92D32">
      <w:pPr>
        <w:pStyle w:val="ListParagraph"/>
        <w:numPr>
          <w:ilvl w:val="0"/>
          <w:numId w:val="15"/>
        </w:numPr>
        <w:ind w:hanging="720"/>
        <w:jc w:val="both"/>
      </w:pPr>
      <w:r>
        <w:t>Responsibilities for required as-built shielding documents and drawings are as follows:</w:t>
      </w:r>
    </w:p>
    <w:p w14:paraId="0BEAFE81" w14:textId="77777777" w:rsidR="00F92D32" w:rsidRDefault="00F92D32" w:rsidP="00F92D32">
      <w:pPr>
        <w:pStyle w:val="ListParagraph"/>
        <w:jc w:val="both"/>
      </w:pPr>
    </w:p>
    <w:p w14:paraId="513247F8" w14:textId="77777777" w:rsidR="00F92D32" w:rsidRDefault="00F92D32" w:rsidP="00F92D32">
      <w:pPr>
        <w:numPr>
          <w:ilvl w:val="0"/>
          <w:numId w:val="1"/>
        </w:numPr>
        <w:ind w:hanging="720"/>
        <w:jc w:val="both"/>
      </w:pPr>
      <w:r>
        <w:t xml:space="preserve">FESS shall prepare and maintain the original set of “as-built” drawings documenting the status of radiation shielding for civil structures. </w:t>
      </w:r>
    </w:p>
    <w:p w14:paraId="56360C09" w14:textId="77777777" w:rsidR="00555C76" w:rsidRDefault="00555C76" w:rsidP="00555C76">
      <w:pPr>
        <w:ind w:left="1440"/>
        <w:jc w:val="both"/>
      </w:pPr>
    </w:p>
    <w:p w14:paraId="10FFDC46" w14:textId="776C8C2B" w:rsidR="00F92D32" w:rsidRDefault="00F92D32" w:rsidP="00F92D32">
      <w:pPr>
        <w:numPr>
          <w:ilvl w:val="0"/>
          <w:numId w:val="1"/>
        </w:numPr>
        <w:ind w:hanging="720"/>
        <w:jc w:val="both"/>
      </w:pPr>
      <w:r>
        <w:t>Divisions/</w:t>
      </w:r>
      <w:r w:rsidR="008E6228">
        <w:t>Sections</w:t>
      </w:r>
      <w:r w:rsidR="00954AF2">
        <w:t>,</w:t>
      </w:r>
      <w:r w:rsidR="00B6525A">
        <w:t xml:space="preserve"> with the assistance of the Radiological Control Organization</w:t>
      </w:r>
      <w:r w:rsidR="00954AF2">
        <w:t>,</w:t>
      </w:r>
      <w:r>
        <w:t xml:space="preserve"> shall augment such drawings to encompass required portable shielding or devices and provide this documentation to FESS.</w:t>
      </w:r>
    </w:p>
    <w:p w14:paraId="42B2217A" w14:textId="77777777" w:rsidR="00461442" w:rsidRDefault="00461442" w:rsidP="00461442">
      <w:pPr>
        <w:ind w:left="1440"/>
        <w:jc w:val="both"/>
      </w:pPr>
    </w:p>
    <w:p w14:paraId="46BB1A10" w14:textId="2D0F7C75" w:rsidR="00F92D32" w:rsidRDefault="00F92D32" w:rsidP="00F92D32">
      <w:pPr>
        <w:numPr>
          <w:ilvl w:val="0"/>
          <w:numId w:val="1"/>
        </w:numPr>
        <w:ind w:hanging="720"/>
        <w:jc w:val="both"/>
      </w:pPr>
      <w:r>
        <w:t>The drawings shall be approved by the</w:t>
      </w:r>
      <w:r w:rsidR="00B6525A">
        <w:t xml:space="preserve"> Radiological Control Organization </w:t>
      </w:r>
      <w:r>
        <w:t>personnel at 3 stages; conceptual design (meaning development of specifications), prior to bidding, and as-built. These approvals are congruent with the shielding assessment process discussed in Article 814.</w:t>
      </w:r>
    </w:p>
    <w:p w14:paraId="12E3C25D" w14:textId="77777777" w:rsidR="00461442" w:rsidRDefault="00461442" w:rsidP="00461442">
      <w:pPr>
        <w:pStyle w:val="ListParagraph"/>
      </w:pPr>
    </w:p>
    <w:p w14:paraId="46A42880" w14:textId="785AE825" w:rsidR="00F92D32" w:rsidRDefault="00F92D32" w:rsidP="00F92D32">
      <w:pPr>
        <w:numPr>
          <w:ilvl w:val="0"/>
          <w:numId w:val="1"/>
        </w:numPr>
        <w:ind w:hanging="720"/>
        <w:jc w:val="both"/>
      </w:pPr>
      <w:r>
        <w:t xml:space="preserve">Thereafter FESS will maintain the up-to-date originals of the civil drawings (and retain archival drawings of past conditions) </w:t>
      </w:r>
      <w:r w:rsidR="007749C9">
        <w:t xml:space="preserve">that will be made available to the </w:t>
      </w:r>
      <w:r w:rsidR="00596223">
        <w:t>ES&amp;H</w:t>
      </w:r>
      <w:r w:rsidR="007749C9">
        <w:t xml:space="preserve"> Section and </w:t>
      </w:r>
      <w:r w:rsidR="00BF6A08">
        <w:t>D</w:t>
      </w:r>
      <w:r w:rsidR="007749C9">
        <w:t>ivisions/</w:t>
      </w:r>
      <w:r w:rsidR="00BF6A08">
        <w:t>S</w:t>
      </w:r>
      <w:r w:rsidR="007749C9">
        <w:t>ections as required.</w:t>
      </w:r>
    </w:p>
    <w:p w14:paraId="22B2919D" w14:textId="77777777" w:rsidR="009243D8" w:rsidRDefault="009243D8" w:rsidP="009243D8">
      <w:pPr>
        <w:ind w:left="1440"/>
        <w:jc w:val="both"/>
      </w:pPr>
    </w:p>
    <w:p w14:paraId="37890914" w14:textId="77777777" w:rsidR="00310B02" w:rsidRDefault="00310B02">
      <w:pPr>
        <w:rPr>
          <w:b/>
        </w:rPr>
      </w:pPr>
      <w:r>
        <w:rPr>
          <w:b/>
        </w:rPr>
        <w:br w:type="page"/>
      </w:r>
    </w:p>
    <w:p w14:paraId="1F2E2453" w14:textId="18B8AC2D" w:rsidR="009243D8" w:rsidRDefault="00944022" w:rsidP="00211AE6">
      <w:pPr>
        <w:pStyle w:val="Heading1"/>
      </w:pPr>
      <w:bookmarkStart w:id="14" w:name="_Toc301440386"/>
      <w:bookmarkStart w:id="15" w:name="_Toc31185436"/>
      <w:r>
        <w:lastRenderedPageBreak/>
        <w:t>814 Shielding</w:t>
      </w:r>
      <w:r w:rsidR="009243D8">
        <w:t xml:space="preserve"> Assessment Preparation, Review, and Approval Process</w:t>
      </w:r>
      <w:bookmarkEnd w:id="14"/>
      <w:bookmarkEnd w:id="15"/>
    </w:p>
    <w:p w14:paraId="483458BF" w14:textId="77777777" w:rsidR="009243D8" w:rsidRDefault="009243D8" w:rsidP="009243D8">
      <w:pPr>
        <w:jc w:val="both"/>
        <w:rPr>
          <w:b/>
        </w:rPr>
      </w:pPr>
    </w:p>
    <w:p w14:paraId="1B3D7400" w14:textId="77777777" w:rsidR="009243D8" w:rsidRDefault="009243D8" w:rsidP="009243D8">
      <w:pPr>
        <w:tabs>
          <w:tab w:val="left" w:pos="477"/>
        </w:tabs>
        <w:jc w:val="both"/>
      </w:pPr>
      <w:r>
        <w:t>T</w:t>
      </w:r>
      <w:r w:rsidR="00BC46BA">
        <w:t>he flowchart shown in Fig. 8-2 illustrate</w:t>
      </w:r>
      <w:r>
        <w:t xml:space="preserve">s </w:t>
      </w:r>
      <w:r w:rsidR="00BC46BA">
        <w:t>the shielding assessment, review, and approval process.</w:t>
      </w:r>
      <w:r w:rsidR="00E50295">
        <w:t xml:space="preserve"> It applies to upgrades as well as new designs.</w:t>
      </w:r>
    </w:p>
    <w:p w14:paraId="1F97EAF6" w14:textId="77777777" w:rsidR="00A14E2E" w:rsidRPr="00737C2C" w:rsidRDefault="00D448CB" w:rsidP="00A14E2E">
      <w:pPr>
        <w:ind w:left="-1350"/>
        <w:rPr>
          <w:b/>
        </w:rPr>
      </w:pPr>
      <w:r>
        <w:rPr>
          <w:b/>
          <w:noProof/>
        </w:rPr>
        <mc:AlternateContent>
          <mc:Choice Requires="wps">
            <w:drawing>
              <wp:anchor distT="0" distB="0" distL="114300" distR="114300" simplePos="0" relativeHeight="251660288" behindDoc="0" locked="0" layoutInCell="1" allowOverlap="1" wp14:anchorId="56124E24" wp14:editId="174CAC4C">
                <wp:simplePos x="0" y="0"/>
                <wp:positionH relativeFrom="column">
                  <wp:posOffset>193040</wp:posOffset>
                </wp:positionH>
                <wp:positionV relativeFrom="paragraph">
                  <wp:posOffset>295275</wp:posOffset>
                </wp:positionV>
                <wp:extent cx="705485" cy="554990"/>
                <wp:effectExtent l="12065" t="9525" r="6350" b="6985"/>
                <wp:wrapNone/>
                <wp:docPr id="4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554990"/>
                        </a:xfrm>
                        <a:prstGeom prst="rect">
                          <a:avLst/>
                        </a:prstGeom>
                        <a:solidFill>
                          <a:srgbClr val="FFFFFF"/>
                        </a:solidFill>
                        <a:ln w="9525">
                          <a:solidFill>
                            <a:srgbClr val="000000"/>
                          </a:solidFill>
                          <a:miter lim="800000"/>
                          <a:headEnd/>
                          <a:tailEnd/>
                        </a:ln>
                      </wps:spPr>
                      <wps:txbx>
                        <w:txbxContent>
                          <w:p w14:paraId="0C8C5C79" w14:textId="77777777" w:rsidR="00E839FD" w:rsidRPr="00737C2C" w:rsidRDefault="00E839FD" w:rsidP="00A14E2E">
                            <w:pPr>
                              <w:rPr>
                                <w:rFonts w:ascii="Arial" w:hAnsi="Arial" w:cs="Arial"/>
                                <w:b/>
                              </w:rPr>
                            </w:pPr>
                            <w:r w:rsidRPr="00737C2C">
                              <w:rPr>
                                <w:rFonts w:cs="Arial"/>
                                <w:b/>
                                <w:sz w:val="16"/>
                              </w:rPr>
                              <w:t>Conceptual design for facility is initiated</w:t>
                            </w:r>
                            <w:r>
                              <w:rPr>
                                <w:rFonts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24E24" id="_x0000_t202" coordsize="21600,21600" o:spt="202" path="m,l,21600r21600,l21600,xe">
                <v:stroke joinstyle="miter"/>
                <v:path gradientshapeok="t" o:connecttype="rect"/>
              </v:shapetype>
              <v:shape id="Text Box 50" o:spid="_x0000_s1026" type="#_x0000_t202" style="position:absolute;left:0;text-align:left;margin-left:15.2pt;margin-top:23.25pt;width:55.55pt;height:4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">
                <v:textbox>
                  <w:txbxContent>
                    <w:p w14:paraId="0C8C5C79" w14:textId="77777777" w:rsidR="00E839FD" w:rsidRPr="00737C2C" w:rsidRDefault="00E839FD" w:rsidP="00A14E2E">
                      <w:pPr>
                        <w:rPr>
                          <w:rFonts w:ascii="Arial" w:hAnsi="Arial" w:cs="Arial"/>
                          <w:b/>
                        </w:rPr>
                      </w:pPr>
                      <w:r w:rsidRPr="00737C2C">
                        <w:rPr>
                          <w:rFonts w:cs="Arial"/>
                          <w:b/>
                          <w:sz w:val="16"/>
                        </w:rPr>
                        <w:t>Conceptual design for facility is initiated</w:t>
                      </w:r>
                      <w:r>
                        <w:rPr>
                          <w:rFonts w:cs="Arial"/>
                          <w:b/>
                          <w:sz w:val="16"/>
                        </w:rPr>
                        <w:t>.</w:t>
                      </w:r>
                    </w:p>
                  </w:txbxContent>
                </v:textbox>
              </v:shape>
            </w:pict>
          </mc:Fallback>
        </mc:AlternateContent>
      </w:r>
      <w:r>
        <w:rPr>
          <w:b/>
          <w:noProof/>
        </w:rPr>
        <mc:AlternateContent>
          <mc:Choice Requires="wpc">
            <w:drawing>
              <wp:inline distT="0" distB="0" distL="0" distR="0" wp14:anchorId="737AA4B1" wp14:editId="0CC4EC00">
                <wp:extent cx="7029450" cy="6035040"/>
                <wp:effectExtent l="0" t="0" r="0" b="0"/>
                <wp:docPr id="3"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51"/>
                        <wps:cNvSpPr>
                          <a:spLocks noChangeArrowheads="1"/>
                        </wps:cNvSpPr>
                        <wps:spPr bwMode="auto">
                          <a:xfrm>
                            <a:off x="391794" y="3645535"/>
                            <a:ext cx="2404745" cy="1899920"/>
                          </a:xfrm>
                          <a:prstGeom prst="diamond">
                            <a:avLst/>
                          </a:prstGeom>
                          <a:solidFill>
                            <a:srgbClr val="FFFFFF"/>
                          </a:solidFill>
                          <a:ln w="9525">
                            <a:solidFill>
                              <a:srgbClr val="000000"/>
                            </a:solidFill>
                            <a:miter lim="800000"/>
                            <a:headEnd/>
                            <a:tailEnd/>
                          </a:ln>
                        </wps:spPr>
                        <wps:txbx>
                          <w:txbxContent>
                            <w:p w14:paraId="77FAF3D7" w14:textId="52CCDFB2" w:rsidR="00E839FD" w:rsidRDefault="00E839FD" w:rsidP="00A14E2E">
                              <w:r w:rsidRPr="00C16779">
                                <w:rPr>
                                  <w:b/>
                                  <w:sz w:val="16"/>
                                </w:rPr>
                                <w:t>Is a revised Safety Assessment Document or Accelerator Safety Envelope needed under FESHM 2010?</w:t>
                              </w:r>
                              <w:r w:rsidRPr="00C16779">
                                <w:rPr>
                                  <w:sz w:val="16"/>
                                </w:rPr>
                                <w:t xml:space="preserve"> </w:t>
                              </w:r>
                              <w:r w:rsidRPr="00C16779">
                                <w:rPr>
                                  <w:b/>
                                  <w:sz w:val="14"/>
                                </w:rPr>
                                <w:t>(Complete SAD process is not shown here.)</w:t>
                              </w:r>
                            </w:p>
                          </w:txbxContent>
                        </wps:txbx>
                        <wps:bodyPr rot="0" vert="horz" wrap="square" lIns="91440" tIns="45720" rIns="91440" bIns="45720" anchor="t" anchorCtr="0" upright="1">
                          <a:noAutofit/>
                        </wps:bodyPr>
                      </wps:wsp>
                      <wps:wsp>
                        <wps:cNvPr id="4" name="AutoShape 8"/>
                        <wps:cNvCnPr>
                          <a:cxnSpLocks noChangeShapeType="1"/>
                        </wps:cNvCnPr>
                        <wps:spPr bwMode="auto">
                          <a:xfrm>
                            <a:off x="1111885" y="600075"/>
                            <a:ext cx="1917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9"/>
                        <wps:cNvSpPr txBox="1">
                          <a:spLocks noChangeArrowheads="1"/>
                        </wps:cNvSpPr>
                        <wps:spPr bwMode="auto">
                          <a:xfrm>
                            <a:off x="1755775" y="295275"/>
                            <a:ext cx="728345" cy="554990"/>
                          </a:xfrm>
                          <a:prstGeom prst="rect">
                            <a:avLst/>
                          </a:prstGeom>
                          <a:solidFill>
                            <a:srgbClr val="FFFFFF"/>
                          </a:solidFill>
                          <a:ln w="9525">
                            <a:solidFill>
                              <a:srgbClr val="000000"/>
                            </a:solidFill>
                            <a:miter lim="800000"/>
                            <a:headEnd/>
                            <a:tailEnd/>
                          </a:ln>
                        </wps:spPr>
                        <wps:txbx>
                          <w:txbxContent>
                            <w:p w14:paraId="74744BD4" w14:textId="115F4606" w:rsidR="00E839FD" w:rsidRPr="00737C2C" w:rsidRDefault="00E839FD" w:rsidP="00A14E2E">
                              <w:pPr>
                                <w:rPr>
                                  <w:b/>
                                </w:rPr>
                              </w:pPr>
                              <w:r w:rsidRPr="00737C2C">
                                <w:rPr>
                                  <w:b/>
                                  <w:sz w:val="16"/>
                                </w:rPr>
                                <w:t>Conceptual radiation shielding drawings</w:t>
                              </w:r>
                              <w:r>
                                <w:rPr>
                                  <w:b/>
                                  <w:sz w:val="16"/>
                                </w:rPr>
                                <w:t>.</w:t>
                              </w:r>
                              <w:r w:rsidRPr="00737C2C">
                                <w:rPr>
                                  <w:b/>
                                  <w:sz w:val="16"/>
                                </w:rPr>
                                <w:t xml:space="preserve"> created in FESS.</w:t>
                              </w:r>
                            </w:p>
                          </w:txbxContent>
                        </wps:txbx>
                        <wps:bodyPr rot="0" vert="horz" wrap="square" lIns="91440" tIns="45720" rIns="91440" bIns="45720" anchor="t" anchorCtr="0" upright="1">
                          <a:noAutofit/>
                        </wps:bodyPr>
                      </wps:wsp>
                      <wps:wsp>
                        <wps:cNvPr id="6" name="AutoShape 10"/>
                        <wps:cNvCnPr>
                          <a:cxnSpLocks noChangeShapeType="1"/>
                        </wps:cNvCnPr>
                        <wps:spPr bwMode="auto">
                          <a:xfrm>
                            <a:off x="2484120" y="600075"/>
                            <a:ext cx="2165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1"/>
                        <wps:cNvCnPr>
                          <a:cxnSpLocks noChangeShapeType="1"/>
                        </wps:cNvCnPr>
                        <wps:spPr bwMode="auto">
                          <a:xfrm>
                            <a:off x="4772025" y="685800"/>
                            <a:ext cx="20320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2"/>
                        <wps:cNvSpPr txBox="1">
                          <a:spLocks noChangeArrowheads="1"/>
                        </wps:cNvSpPr>
                        <wps:spPr bwMode="auto">
                          <a:xfrm>
                            <a:off x="3193516" y="4493950"/>
                            <a:ext cx="409575" cy="228600"/>
                          </a:xfrm>
                          <a:prstGeom prst="rect">
                            <a:avLst/>
                          </a:prstGeom>
                          <a:solidFill>
                            <a:srgbClr val="FFFFFF"/>
                          </a:solidFill>
                          <a:ln w="9525">
                            <a:solidFill>
                              <a:srgbClr val="000000"/>
                            </a:solidFill>
                            <a:miter lim="800000"/>
                            <a:headEnd/>
                            <a:tailEnd/>
                          </a:ln>
                        </wps:spPr>
                        <wps:txbx>
                          <w:txbxContent>
                            <w:p w14:paraId="5EFFAD31" w14:textId="77777777" w:rsidR="00E839FD" w:rsidRPr="00737C2C" w:rsidRDefault="00E839FD" w:rsidP="00A14E2E">
                              <w:pPr>
                                <w:rPr>
                                  <w:b/>
                                  <w:sz w:val="16"/>
                                  <w:szCs w:val="16"/>
                                </w:rPr>
                              </w:pPr>
                              <w:r w:rsidRPr="00737C2C">
                                <w:rPr>
                                  <w:b/>
                                  <w:sz w:val="16"/>
                                  <w:szCs w:val="16"/>
                                </w:rPr>
                                <w:t>Yes</w: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3956798" y="3824605"/>
                            <a:ext cx="1676400" cy="1635481"/>
                          </a:xfrm>
                          <a:prstGeom prst="rect">
                            <a:avLst/>
                          </a:prstGeom>
                          <a:solidFill>
                            <a:srgbClr val="FFFFFF"/>
                          </a:solidFill>
                          <a:ln w="9525">
                            <a:solidFill>
                              <a:srgbClr val="000000"/>
                            </a:solidFill>
                            <a:miter lim="800000"/>
                            <a:headEnd/>
                            <a:tailEnd/>
                          </a:ln>
                        </wps:spPr>
                        <wps:txbx>
                          <w:txbxContent>
                            <w:p w14:paraId="6185F5B7" w14:textId="2344FA07" w:rsidR="00E839FD" w:rsidRDefault="00E839FD" w:rsidP="00A14E2E">
                              <w:r w:rsidRPr="00737C2C">
                                <w:rPr>
                                  <w:b/>
                                  <w:sz w:val="16"/>
                                </w:rPr>
                                <w:t xml:space="preserve">DOE FSO approves the Accelerator Safety Envelope (ASE) covering the project and concurs with the SAD module. </w:t>
                              </w:r>
                              <w:r>
                                <w:rPr>
                                  <w:b/>
                                  <w:sz w:val="16"/>
                                </w:rPr>
                                <w:t xml:space="preserve">(See FESHM 2010). </w:t>
                              </w:r>
                              <w:r w:rsidRPr="00737C2C">
                                <w:rPr>
                                  <w:b/>
                                  <w:sz w:val="16"/>
                                </w:rPr>
                                <w:t>The shielding assessment is a reference in the SAD and must already be approved. Beam operations cannot commence until FSO has approved</w:t>
                              </w:r>
                              <w:r>
                                <w:rPr>
                                  <w:sz w:val="16"/>
                                </w:rPr>
                                <w:t xml:space="preserve"> </w:t>
                              </w:r>
                              <w:r w:rsidRPr="00737C2C">
                                <w:rPr>
                                  <w:b/>
                                  <w:sz w:val="16"/>
                                </w:rPr>
                                <w:t>the ASE and any required Accelerator Readiness Review</w:t>
                              </w:r>
                              <w:r>
                                <w:rPr>
                                  <w:sz w:val="16"/>
                                </w:rPr>
                                <w:t xml:space="preserve"> </w:t>
                              </w:r>
                              <w:r w:rsidRPr="00737C2C">
                                <w:rPr>
                                  <w:b/>
                                  <w:sz w:val="16"/>
                                </w:rPr>
                                <w:t>(ARR) has been completed.</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758180" y="3512875"/>
                            <a:ext cx="951805" cy="249979"/>
                          </a:xfrm>
                          <a:prstGeom prst="rect">
                            <a:avLst/>
                          </a:prstGeom>
                          <a:solidFill>
                            <a:srgbClr val="FFFFFF"/>
                          </a:solidFill>
                          <a:ln w="9525">
                            <a:solidFill>
                              <a:srgbClr val="000000"/>
                            </a:solidFill>
                            <a:miter lim="800000"/>
                            <a:headEnd/>
                            <a:tailEnd/>
                          </a:ln>
                        </wps:spPr>
                        <wps:txbx>
                          <w:txbxContent>
                            <w:p w14:paraId="78AB30FC" w14:textId="77777777" w:rsidR="00E839FD" w:rsidRPr="00737C2C" w:rsidRDefault="00E839FD" w:rsidP="00A14E2E">
                              <w:pPr>
                                <w:rPr>
                                  <w:b/>
                                </w:rPr>
                              </w:pPr>
                              <w:r w:rsidRPr="00737C2C">
                                <w:rPr>
                                  <w:b/>
                                  <w:sz w:val="16"/>
                                </w:rPr>
                                <w:t>Operate Beam</w:t>
                              </w:r>
                            </w:p>
                          </w:txbxContent>
                        </wps:txbx>
                        <wps:bodyPr rot="0" vert="horz" wrap="square" lIns="91440" tIns="45720" rIns="91440" bIns="45720" anchor="t" anchorCtr="0" upright="1">
                          <a:noAutofit/>
                        </wps:bodyPr>
                      </wps:wsp>
                      <wps:wsp>
                        <wps:cNvPr id="11" name="Text Box 16"/>
                        <wps:cNvSpPr txBox="1">
                          <a:spLocks noChangeArrowheads="1"/>
                        </wps:cNvSpPr>
                        <wps:spPr bwMode="auto">
                          <a:xfrm>
                            <a:off x="695325" y="2314061"/>
                            <a:ext cx="1333500" cy="993020"/>
                          </a:xfrm>
                          <a:prstGeom prst="rect">
                            <a:avLst/>
                          </a:prstGeom>
                          <a:solidFill>
                            <a:srgbClr val="FFFFFF"/>
                          </a:solidFill>
                          <a:ln w="9525">
                            <a:solidFill>
                              <a:srgbClr val="000000"/>
                            </a:solidFill>
                            <a:miter lim="800000"/>
                            <a:headEnd/>
                            <a:tailEnd/>
                          </a:ln>
                        </wps:spPr>
                        <wps:txbx>
                          <w:txbxContent>
                            <w:p w14:paraId="77033775" w14:textId="4B0F064F" w:rsidR="00E839FD" w:rsidRPr="00737C2C" w:rsidRDefault="00E839FD" w:rsidP="00A14E2E">
                              <w:pPr>
                                <w:rPr>
                                  <w:b/>
                                  <w:sz w:val="16"/>
                                </w:rPr>
                              </w:pPr>
                              <w:r w:rsidRPr="00737C2C">
                                <w:rPr>
                                  <w:b/>
                                  <w:sz w:val="16"/>
                                </w:rPr>
                                <w:t xml:space="preserve">On the recommendation of </w:t>
                              </w:r>
                              <w:r>
                                <w:rPr>
                                  <w:b/>
                                  <w:sz w:val="16"/>
                                </w:rPr>
                                <w:t>Radiation Physics Science Department</w:t>
                              </w:r>
                              <w:r w:rsidRPr="00737C2C">
                                <w:rPr>
                                  <w:b/>
                                  <w:sz w:val="16"/>
                                </w:rPr>
                                <w:t>,</w:t>
                              </w:r>
                              <w:r>
                                <w:rPr>
                                  <w:b/>
                                  <w:sz w:val="16"/>
                                </w:rPr>
                                <w:t xml:space="preserve"> and </w:t>
                              </w:r>
                              <w:r w:rsidRPr="00737C2C">
                                <w:rPr>
                                  <w:b/>
                                  <w:sz w:val="16"/>
                                </w:rPr>
                                <w:t xml:space="preserve">the </w:t>
                              </w:r>
                              <w:r>
                                <w:rPr>
                                  <w:b/>
                                  <w:sz w:val="16"/>
                                </w:rPr>
                                <w:t xml:space="preserve">assigned </w:t>
                              </w:r>
                              <w:r w:rsidRPr="00737C2C">
                                <w:rPr>
                                  <w:b/>
                                  <w:sz w:val="16"/>
                                </w:rPr>
                                <w:t>RSO</w:t>
                              </w:r>
                              <w:r>
                                <w:rPr>
                                  <w:b/>
                                  <w:sz w:val="16"/>
                                </w:rPr>
                                <w:t xml:space="preserve">, </w:t>
                              </w:r>
                              <w:r w:rsidRPr="00737C2C">
                                <w:rPr>
                                  <w:b/>
                                  <w:sz w:val="16"/>
                                </w:rPr>
                                <w:t xml:space="preserve">D/S Head approves shielding assessment, formally sends to </w:t>
                              </w:r>
                              <w:r>
                                <w:rPr>
                                  <w:b/>
                                  <w:sz w:val="16"/>
                                </w:rPr>
                                <w:t>SARP</w:t>
                              </w:r>
                              <w:r w:rsidRPr="00737C2C">
                                <w:rPr>
                                  <w:b/>
                                  <w:sz w:val="16"/>
                                </w:rPr>
                                <w:t>.</w:t>
                              </w:r>
                            </w:p>
                          </w:txbxContent>
                        </wps:txbx>
                        <wps:bodyPr rot="0" vert="horz" wrap="square" lIns="91440" tIns="45720" rIns="91440" bIns="45720" anchor="t" anchorCtr="0" upright="1">
                          <a:noAutofit/>
                        </wps:bodyPr>
                      </wps:wsp>
                      <wps:wsp>
                        <wps:cNvPr id="12" name="Text Box 17"/>
                        <wps:cNvSpPr txBox="1">
                          <a:spLocks noChangeArrowheads="1"/>
                        </wps:cNvSpPr>
                        <wps:spPr bwMode="auto">
                          <a:xfrm>
                            <a:off x="2337435" y="2481580"/>
                            <a:ext cx="1496695" cy="796925"/>
                          </a:xfrm>
                          <a:prstGeom prst="rect">
                            <a:avLst/>
                          </a:prstGeom>
                          <a:solidFill>
                            <a:srgbClr val="FFFFFF"/>
                          </a:solidFill>
                          <a:ln w="9525">
                            <a:solidFill>
                              <a:srgbClr val="000000"/>
                            </a:solidFill>
                            <a:miter lim="800000"/>
                            <a:headEnd/>
                            <a:tailEnd/>
                          </a:ln>
                        </wps:spPr>
                        <wps:txbx>
                          <w:txbxContent>
                            <w:p w14:paraId="545D4D6F" w14:textId="723609DF" w:rsidR="00E839FD" w:rsidRPr="00737C2C" w:rsidRDefault="00E839FD" w:rsidP="00A14E2E">
                              <w:pPr>
                                <w:rPr>
                                  <w:b/>
                                </w:rPr>
                              </w:pPr>
                              <w:r>
                                <w:rPr>
                                  <w:b/>
                                  <w:sz w:val="16"/>
                                </w:rPr>
                                <w:t>SARP</w:t>
                              </w:r>
                              <w:r w:rsidRPr="00737C2C">
                                <w:rPr>
                                  <w:b/>
                                  <w:sz w:val="16"/>
                                </w:rPr>
                                <w:t xml:space="preserve"> conducts formal shielding assessment with iterations as necessary.  </w:t>
                              </w:r>
                              <w:r>
                                <w:rPr>
                                  <w:b/>
                                  <w:sz w:val="16"/>
                                </w:rPr>
                                <w:t>SARP</w:t>
                              </w:r>
                              <w:r w:rsidRPr="00737C2C">
                                <w:rPr>
                                  <w:b/>
                                  <w:sz w:val="16"/>
                                </w:rPr>
                                <w:t xml:space="preserve"> makes recommendation to SRSO.</w:t>
                              </w:r>
                            </w:p>
                          </w:txbxContent>
                        </wps:txbx>
                        <wps:bodyPr rot="0" vert="horz" wrap="square" lIns="91440" tIns="45720" rIns="91440" bIns="45720" anchor="t" anchorCtr="0" upright="1">
                          <a:noAutofit/>
                        </wps:bodyPr>
                      </wps:wsp>
                      <wps:wsp>
                        <wps:cNvPr id="13" name="Text Box 18"/>
                        <wps:cNvSpPr txBox="1">
                          <a:spLocks noChangeArrowheads="1"/>
                        </wps:cNvSpPr>
                        <wps:spPr bwMode="auto">
                          <a:xfrm>
                            <a:off x="5603240" y="2422995"/>
                            <a:ext cx="1071550" cy="835174"/>
                          </a:xfrm>
                          <a:prstGeom prst="rect">
                            <a:avLst/>
                          </a:prstGeom>
                          <a:solidFill>
                            <a:srgbClr val="FFFFFF"/>
                          </a:solidFill>
                          <a:ln w="9525">
                            <a:solidFill>
                              <a:srgbClr val="000000"/>
                            </a:solidFill>
                            <a:miter lim="800000"/>
                            <a:headEnd/>
                            <a:tailEnd/>
                          </a:ln>
                        </wps:spPr>
                        <wps:txbx>
                          <w:txbxContent>
                            <w:p w14:paraId="671AC020" w14:textId="6532CE8B" w:rsidR="00E839FD" w:rsidRDefault="00E839FD" w:rsidP="00A14E2E">
                              <w:pPr>
                                <w:rPr>
                                  <w:b/>
                                  <w:sz w:val="16"/>
                                </w:rPr>
                              </w:pPr>
                              <w:r w:rsidRPr="00737C2C">
                                <w:rPr>
                                  <w:b/>
                                  <w:sz w:val="16"/>
                                </w:rPr>
                                <w:t xml:space="preserve">The </w:t>
                              </w:r>
                              <w:r>
                                <w:rPr>
                                  <w:b/>
                                  <w:sz w:val="16"/>
                                </w:rPr>
                                <w:t>shielding assessment approval ends here.</w:t>
                              </w:r>
                            </w:p>
                            <w:p w14:paraId="49682148" w14:textId="31A411AB" w:rsidR="00E839FD" w:rsidRPr="00737C2C" w:rsidRDefault="00E839FD" w:rsidP="00A14E2E">
                              <w:pPr>
                                <w:rPr>
                                  <w:b/>
                                </w:rPr>
                              </w:pPr>
                              <w:r>
                                <w:rPr>
                                  <w:b/>
                                  <w:sz w:val="16"/>
                                </w:rPr>
                                <w:t>Now continue to review SAD/ASE implications.</w:t>
                              </w:r>
                            </w:p>
                          </w:txbxContent>
                        </wps:txbx>
                        <wps:bodyPr rot="0" vert="horz" wrap="square" lIns="91440" tIns="45720" rIns="91440" bIns="45720" anchor="t" anchorCtr="0" upright="1">
                          <a:noAutofit/>
                        </wps:bodyPr>
                      </wps:wsp>
                      <wps:wsp>
                        <wps:cNvPr id="14" name="Text Box 19"/>
                        <wps:cNvSpPr txBox="1">
                          <a:spLocks noChangeArrowheads="1"/>
                        </wps:cNvSpPr>
                        <wps:spPr bwMode="auto">
                          <a:xfrm>
                            <a:off x="4144010" y="2527935"/>
                            <a:ext cx="1237615" cy="709295"/>
                          </a:xfrm>
                          <a:prstGeom prst="rect">
                            <a:avLst/>
                          </a:prstGeom>
                          <a:solidFill>
                            <a:srgbClr val="FFFFFF"/>
                          </a:solidFill>
                          <a:ln w="9525">
                            <a:solidFill>
                              <a:srgbClr val="000000"/>
                            </a:solidFill>
                            <a:miter lim="800000"/>
                            <a:headEnd/>
                            <a:tailEnd/>
                          </a:ln>
                        </wps:spPr>
                        <wps:txbx>
                          <w:txbxContent>
                            <w:p w14:paraId="077501FA" w14:textId="26DA803F" w:rsidR="00E839FD" w:rsidRPr="00737C2C" w:rsidRDefault="00E839FD" w:rsidP="00A14E2E">
                              <w:pPr>
                                <w:rPr>
                                  <w:b/>
                                </w:rPr>
                              </w:pPr>
                              <w:r w:rsidRPr="00737C2C">
                                <w:rPr>
                                  <w:b/>
                                  <w:sz w:val="16"/>
                                </w:rPr>
                                <w:t xml:space="preserve">The SRSO approves the shielding assessment &amp; notifies D/S Head </w:t>
                              </w:r>
                              <w:r>
                                <w:rPr>
                                  <w:b/>
                                  <w:sz w:val="16"/>
                                </w:rPr>
                                <w:t xml:space="preserve">&amp; SARP Chair </w:t>
                              </w:r>
                              <w:r w:rsidRPr="00737C2C">
                                <w:rPr>
                                  <w:b/>
                                  <w:sz w:val="16"/>
                                </w:rPr>
                                <w:t>in writing.</w:t>
                              </w:r>
                            </w:p>
                            <w:p w14:paraId="2ED98EB7" w14:textId="77777777" w:rsidR="00E839FD" w:rsidRPr="00D82D2D" w:rsidRDefault="00E839FD" w:rsidP="00A14E2E"/>
                          </w:txbxContent>
                        </wps:txbx>
                        <wps:bodyPr rot="0" vert="horz" wrap="square" lIns="91440" tIns="45720" rIns="91440" bIns="45720" anchor="t" anchorCtr="0" upright="1">
                          <a:noAutofit/>
                        </wps:bodyPr>
                      </wps:wsp>
                      <wps:wsp>
                        <wps:cNvPr id="15" name="Text Box 20"/>
                        <wps:cNvSpPr txBox="1">
                          <a:spLocks noChangeArrowheads="1"/>
                        </wps:cNvSpPr>
                        <wps:spPr bwMode="auto">
                          <a:xfrm>
                            <a:off x="987683" y="1389073"/>
                            <a:ext cx="1332660" cy="753329"/>
                          </a:xfrm>
                          <a:prstGeom prst="rect">
                            <a:avLst/>
                          </a:prstGeom>
                          <a:solidFill>
                            <a:srgbClr val="FFFFFF"/>
                          </a:solidFill>
                          <a:ln w="9525">
                            <a:solidFill>
                              <a:srgbClr val="000000"/>
                            </a:solidFill>
                            <a:miter lim="800000"/>
                            <a:headEnd/>
                            <a:tailEnd/>
                          </a:ln>
                        </wps:spPr>
                        <wps:txbx>
                          <w:txbxContent>
                            <w:p w14:paraId="4A71D6B9" w14:textId="498CB45E" w:rsidR="00E839FD" w:rsidRPr="00737C2C" w:rsidRDefault="00E839FD" w:rsidP="00A14E2E">
                              <w:pPr>
                                <w:rPr>
                                  <w:b/>
                                </w:rPr>
                              </w:pPr>
                              <w:r w:rsidRPr="00737C2C">
                                <w:rPr>
                                  <w:b/>
                                  <w:sz w:val="16"/>
                                </w:rPr>
                                <w:t xml:space="preserve">D/S Head, </w:t>
                              </w:r>
                              <w:r>
                                <w:rPr>
                                  <w:b/>
                                  <w:sz w:val="16"/>
                                </w:rPr>
                                <w:t xml:space="preserve">Radiation Physics Science Department </w:t>
                              </w:r>
                              <w:r w:rsidRPr="00737C2C">
                                <w:rPr>
                                  <w:b/>
                                  <w:sz w:val="16"/>
                                </w:rPr>
                                <w:t xml:space="preserve">and </w:t>
                              </w:r>
                              <w:r>
                                <w:rPr>
                                  <w:b/>
                                  <w:sz w:val="16"/>
                                </w:rPr>
                                <w:t>assigned RSO</w:t>
                              </w:r>
                              <w:r w:rsidRPr="00737C2C">
                                <w:rPr>
                                  <w:b/>
                                  <w:sz w:val="16"/>
                                </w:rPr>
                                <w:t xml:space="preserve"> approve design prior to bidding.</w:t>
                              </w:r>
                            </w:p>
                          </w:txbxContent>
                        </wps:txbx>
                        <wps:bodyPr rot="0" vert="horz" wrap="square" lIns="91440" tIns="45720" rIns="91440" bIns="45720" anchor="t" anchorCtr="0" upright="1">
                          <a:noAutofit/>
                        </wps:bodyPr>
                      </wps:wsp>
                      <wps:wsp>
                        <wps:cNvPr id="16" name="Text Box 21"/>
                        <wps:cNvSpPr txBox="1">
                          <a:spLocks noChangeArrowheads="1"/>
                        </wps:cNvSpPr>
                        <wps:spPr bwMode="auto">
                          <a:xfrm>
                            <a:off x="3033395" y="1657985"/>
                            <a:ext cx="848995" cy="396240"/>
                          </a:xfrm>
                          <a:prstGeom prst="rect">
                            <a:avLst/>
                          </a:prstGeom>
                          <a:solidFill>
                            <a:srgbClr val="FFFFFF"/>
                          </a:solidFill>
                          <a:ln w="9525">
                            <a:solidFill>
                              <a:srgbClr val="000000"/>
                            </a:solidFill>
                            <a:miter lim="800000"/>
                            <a:headEnd/>
                            <a:tailEnd/>
                          </a:ln>
                        </wps:spPr>
                        <wps:txbx>
                          <w:txbxContent>
                            <w:p w14:paraId="250EA147" w14:textId="77777777" w:rsidR="00E839FD" w:rsidRPr="00737C2C" w:rsidRDefault="00E839FD" w:rsidP="00A14E2E">
                              <w:pPr>
                                <w:rPr>
                                  <w:b/>
                                </w:rPr>
                              </w:pPr>
                              <w:r w:rsidRPr="00737C2C">
                                <w:rPr>
                                  <w:b/>
                                  <w:sz w:val="16"/>
                                </w:rPr>
                                <w:t>Construction proceeds.</w:t>
                              </w:r>
                            </w:p>
                          </w:txbxContent>
                        </wps:txbx>
                        <wps:bodyPr rot="0" vert="horz" wrap="square" lIns="91440" tIns="45720" rIns="91440" bIns="45720" anchor="t" anchorCtr="0" upright="1">
                          <a:noAutofit/>
                        </wps:bodyPr>
                      </wps:wsp>
                      <wps:wsp>
                        <wps:cNvPr id="17" name="Text Box 22"/>
                        <wps:cNvSpPr txBox="1">
                          <a:spLocks noChangeArrowheads="1"/>
                        </wps:cNvSpPr>
                        <wps:spPr bwMode="auto">
                          <a:xfrm>
                            <a:off x="4570095" y="1490980"/>
                            <a:ext cx="1630680" cy="709295"/>
                          </a:xfrm>
                          <a:prstGeom prst="rect">
                            <a:avLst/>
                          </a:prstGeom>
                          <a:solidFill>
                            <a:srgbClr val="FFFFFF"/>
                          </a:solidFill>
                          <a:ln w="9525">
                            <a:solidFill>
                              <a:srgbClr val="000000"/>
                            </a:solidFill>
                            <a:miter lim="800000"/>
                            <a:headEnd/>
                            <a:tailEnd/>
                          </a:ln>
                        </wps:spPr>
                        <wps:txbx>
                          <w:txbxContent>
                            <w:p w14:paraId="70814DF5" w14:textId="77777777" w:rsidR="00E839FD" w:rsidRPr="00737C2C" w:rsidRDefault="00E839FD" w:rsidP="00A14E2E">
                              <w:pPr>
                                <w:rPr>
                                  <w:b/>
                                </w:rPr>
                              </w:pPr>
                              <w:r w:rsidRPr="00737C2C">
                                <w:rPr>
                                  <w:b/>
                                  <w:sz w:val="16"/>
                                </w:rPr>
                                <w:t>Radiation shielding drawings are developed as construction proceeds and completed by FESS Engineering.</w:t>
                              </w:r>
                            </w:p>
                            <w:p w14:paraId="2B989A07" w14:textId="77777777" w:rsidR="00E839FD" w:rsidRDefault="00E839FD" w:rsidP="00A14E2E"/>
                          </w:txbxContent>
                        </wps:txbx>
                        <wps:bodyPr rot="0" vert="horz" wrap="square" lIns="91440" tIns="45720" rIns="91440" bIns="45720" anchor="t" anchorCtr="0" upright="1">
                          <a:noAutofit/>
                        </wps:bodyPr>
                      </wps:wsp>
                      <wps:wsp>
                        <wps:cNvPr id="18" name="AutoShape 23"/>
                        <wps:cNvCnPr>
                          <a:cxnSpLocks noChangeShapeType="1"/>
                          <a:stCxn id="42" idx="3"/>
                        </wps:cNvCnPr>
                        <wps:spPr bwMode="auto">
                          <a:xfrm>
                            <a:off x="5826760" y="610235"/>
                            <a:ext cx="3733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4"/>
                        <wps:cNvCnPr>
                          <a:cxnSpLocks noChangeShapeType="1"/>
                        </wps:cNvCnPr>
                        <wps:spPr bwMode="auto">
                          <a:xfrm>
                            <a:off x="6200140" y="610235"/>
                            <a:ext cx="635"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5"/>
                        <wps:cNvCnPr>
                          <a:cxnSpLocks noChangeShapeType="1"/>
                        </wps:cNvCnPr>
                        <wps:spPr bwMode="auto">
                          <a:xfrm flipH="1">
                            <a:off x="762000" y="1333500"/>
                            <a:ext cx="5438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6"/>
                        <wps:cNvCnPr>
                          <a:cxnSpLocks noChangeShapeType="1"/>
                        </wps:cNvCnPr>
                        <wps:spPr bwMode="auto">
                          <a:xfrm>
                            <a:off x="762000" y="1333500"/>
                            <a:ext cx="635" cy="518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
                        <wps:cNvCnPr>
                          <a:cxnSpLocks noChangeShapeType="1"/>
                          <a:endCxn id="14" idx="1"/>
                        </wps:cNvCnPr>
                        <wps:spPr bwMode="auto">
                          <a:xfrm>
                            <a:off x="762000" y="1851660"/>
                            <a:ext cx="2355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8"/>
                        <wps:cNvCnPr>
                          <a:cxnSpLocks noChangeShapeType="1"/>
                        </wps:cNvCnPr>
                        <wps:spPr bwMode="auto">
                          <a:xfrm>
                            <a:off x="2327264" y="1856105"/>
                            <a:ext cx="7061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30"/>
                        <wps:cNvCnPr>
                          <a:cxnSpLocks noChangeShapeType="1"/>
                        </wps:cNvCnPr>
                        <wps:spPr bwMode="auto">
                          <a:xfrm flipH="1">
                            <a:off x="3462020" y="2059876"/>
                            <a:ext cx="4117" cy="1403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31"/>
                        <wps:cNvCnPr>
                          <a:cxnSpLocks noChangeShapeType="1"/>
                        </wps:cNvCnPr>
                        <wps:spPr bwMode="auto">
                          <a:xfrm flipH="1">
                            <a:off x="476250" y="2200275"/>
                            <a:ext cx="29857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32"/>
                        <wps:cNvCnPr>
                          <a:cxnSpLocks noChangeShapeType="1"/>
                        </wps:cNvCnPr>
                        <wps:spPr bwMode="auto">
                          <a:xfrm>
                            <a:off x="476250" y="2200275"/>
                            <a:ext cx="0" cy="6284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7"/>
                        <wps:cNvCnPr>
                          <a:cxnSpLocks noChangeShapeType="1"/>
                          <a:stCxn id="13" idx="2"/>
                        </wps:cNvCnPr>
                        <wps:spPr bwMode="auto">
                          <a:xfrm>
                            <a:off x="6139015" y="3258169"/>
                            <a:ext cx="8420" cy="1524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8"/>
                        <wps:cNvCnPr>
                          <a:cxnSpLocks noChangeShapeType="1"/>
                        </wps:cNvCnPr>
                        <wps:spPr bwMode="auto">
                          <a:xfrm flipH="1">
                            <a:off x="193040" y="3409950"/>
                            <a:ext cx="5950276"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9"/>
                        <wps:cNvCnPr>
                          <a:cxnSpLocks noChangeShapeType="1"/>
                        </wps:cNvCnPr>
                        <wps:spPr bwMode="auto">
                          <a:xfrm>
                            <a:off x="193040" y="3410585"/>
                            <a:ext cx="0" cy="11937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40"/>
                        <wps:cNvCnPr>
                          <a:cxnSpLocks noChangeShapeType="1"/>
                        </wps:cNvCnPr>
                        <wps:spPr bwMode="auto">
                          <a:xfrm>
                            <a:off x="193040" y="4602431"/>
                            <a:ext cx="252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42"/>
                        <wps:cNvCnPr>
                          <a:cxnSpLocks noChangeShapeType="1"/>
                        </wps:cNvCnPr>
                        <wps:spPr bwMode="auto">
                          <a:xfrm flipV="1">
                            <a:off x="1604010" y="3645535"/>
                            <a:ext cx="4141470"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43"/>
                        <wps:cNvCnPr>
                          <a:cxnSpLocks noChangeShapeType="1"/>
                        </wps:cNvCnPr>
                        <wps:spPr bwMode="auto">
                          <a:xfrm>
                            <a:off x="2816274" y="4604334"/>
                            <a:ext cx="357506" cy="99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44"/>
                        <wps:cNvCnPr>
                          <a:cxnSpLocks noChangeShapeType="1"/>
                        </wps:cNvCnPr>
                        <wps:spPr bwMode="auto">
                          <a:xfrm flipV="1">
                            <a:off x="3611552" y="4614271"/>
                            <a:ext cx="333955" cy="72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5"/>
                        <wps:cNvCnPr>
                          <a:cxnSpLocks noChangeShapeType="1"/>
                        </wps:cNvCnPr>
                        <wps:spPr bwMode="auto">
                          <a:xfrm flipV="1">
                            <a:off x="5633198" y="4658767"/>
                            <a:ext cx="636033" cy="4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6"/>
                        <wps:cNvCnPr>
                          <a:cxnSpLocks noChangeShapeType="1"/>
                        </wps:cNvCnPr>
                        <wps:spPr bwMode="auto">
                          <a:xfrm flipH="1" flipV="1">
                            <a:off x="6257704" y="3762854"/>
                            <a:ext cx="15204" cy="8959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47"/>
                        <wps:cNvSpPr txBox="1">
                          <a:spLocks noChangeArrowheads="1"/>
                        </wps:cNvSpPr>
                        <wps:spPr bwMode="auto">
                          <a:xfrm>
                            <a:off x="2700655" y="47625"/>
                            <a:ext cx="1614805" cy="1133475"/>
                          </a:xfrm>
                          <a:prstGeom prst="rect">
                            <a:avLst/>
                          </a:prstGeom>
                          <a:solidFill>
                            <a:srgbClr val="FFFFFF"/>
                          </a:solidFill>
                          <a:ln w="9525">
                            <a:solidFill>
                              <a:srgbClr val="000000"/>
                            </a:solidFill>
                            <a:miter lim="800000"/>
                            <a:headEnd/>
                            <a:tailEnd/>
                          </a:ln>
                        </wps:spPr>
                        <wps:txbx>
                          <w:txbxContent>
                            <w:p w14:paraId="49F177B9" w14:textId="4E379277" w:rsidR="00E839FD" w:rsidRPr="00737C2C" w:rsidRDefault="00E839FD" w:rsidP="00A14E2E">
                              <w:pPr>
                                <w:rPr>
                                  <w:b/>
                                </w:rPr>
                              </w:pPr>
                              <w:r>
                                <w:rPr>
                                  <w:b/>
                                  <w:sz w:val="16"/>
                                </w:rPr>
                                <w:t>Preliminary s</w:t>
                              </w:r>
                              <w:r w:rsidRPr="00737C2C">
                                <w:rPr>
                                  <w:b/>
                                  <w:sz w:val="16"/>
                                </w:rPr>
                                <w:t>hielding assessment is initiated by project staff with input from the</w:t>
                              </w:r>
                              <w:r>
                                <w:rPr>
                                  <w:b/>
                                  <w:sz w:val="16"/>
                                </w:rPr>
                                <w:t xml:space="preserve"> Radiation Physics Science Department, assigned</w:t>
                              </w:r>
                              <w:r w:rsidRPr="00737C2C">
                                <w:rPr>
                                  <w:b/>
                                  <w:sz w:val="16"/>
                                </w:rPr>
                                <w:t xml:space="preserve"> RSO and </w:t>
                              </w:r>
                              <w:r>
                                <w:rPr>
                                  <w:b/>
                                  <w:sz w:val="16"/>
                                </w:rPr>
                                <w:t xml:space="preserve">the </w:t>
                              </w:r>
                              <w:r w:rsidRPr="00737C2C">
                                <w:rPr>
                                  <w:b/>
                                  <w:sz w:val="16"/>
                                </w:rPr>
                                <w:t xml:space="preserve">Shielding Assessment Review </w:t>
                              </w:r>
                              <w:r>
                                <w:rPr>
                                  <w:b/>
                                  <w:sz w:val="16"/>
                                </w:rPr>
                                <w:t xml:space="preserve">Panel </w:t>
                              </w:r>
                              <w:r w:rsidRPr="00737C2C">
                                <w:rPr>
                                  <w:b/>
                                  <w:sz w:val="16"/>
                                </w:rPr>
                                <w:t>(</w:t>
                              </w:r>
                              <w:r>
                                <w:rPr>
                                  <w:b/>
                                  <w:sz w:val="16"/>
                                </w:rPr>
                                <w:t>SARP</w:t>
                              </w:r>
                              <w:r w:rsidRPr="00737C2C">
                                <w:rPr>
                                  <w:b/>
                                  <w:sz w:val="16"/>
                                </w:rPr>
                                <w:t>) as needed. This may be an iterative process.</w:t>
                              </w:r>
                            </w:p>
                          </w:txbxContent>
                        </wps:txbx>
                        <wps:bodyPr rot="0" vert="horz" wrap="square" lIns="91440" tIns="45720" rIns="91440" bIns="45720" anchor="t" anchorCtr="0" upright="1">
                          <a:noAutofit/>
                        </wps:bodyPr>
                      </wps:wsp>
                      <wps:wsp>
                        <wps:cNvPr id="42" name="Text Box 48"/>
                        <wps:cNvSpPr txBox="1">
                          <a:spLocks noChangeArrowheads="1"/>
                        </wps:cNvSpPr>
                        <wps:spPr bwMode="auto">
                          <a:xfrm>
                            <a:off x="4584065" y="229870"/>
                            <a:ext cx="1242695" cy="760730"/>
                          </a:xfrm>
                          <a:prstGeom prst="rect">
                            <a:avLst/>
                          </a:prstGeom>
                          <a:solidFill>
                            <a:srgbClr val="FFFFFF"/>
                          </a:solidFill>
                          <a:ln w="9525">
                            <a:solidFill>
                              <a:srgbClr val="000000"/>
                            </a:solidFill>
                            <a:miter lim="800000"/>
                            <a:headEnd/>
                            <a:tailEnd/>
                          </a:ln>
                        </wps:spPr>
                        <wps:txbx>
                          <w:txbxContent>
                            <w:p w14:paraId="1954C7F3" w14:textId="77777777" w:rsidR="00E839FD" w:rsidRPr="00737C2C" w:rsidRDefault="00E839FD" w:rsidP="00A14E2E">
                              <w:pPr>
                                <w:rPr>
                                  <w:b/>
                                </w:rPr>
                              </w:pPr>
                              <w:r w:rsidRPr="00737C2C">
                                <w:rPr>
                                  <w:b/>
                                  <w:sz w:val="16"/>
                                </w:rPr>
                                <w:t>FESS proceeds with Final Construction Drawings and documents for bidding.</w:t>
                              </w:r>
                            </w:p>
                            <w:p w14:paraId="64877D22" w14:textId="77777777" w:rsidR="00E839FD" w:rsidRDefault="00E839FD" w:rsidP="00A14E2E"/>
                          </w:txbxContent>
                        </wps:txbx>
                        <wps:bodyPr rot="0" vert="horz" wrap="square" lIns="91440" tIns="45720" rIns="91440" bIns="45720" anchor="t" anchorCtr="0" upright="1">
                          <a:noAutofit/>
                        </wps:bodyPr>
                      </wps:wsp>
                      <wps:wsp>
                        <wps:cNvPr id="43" name="AutoShape 49"/>
                        <wps:cNvCnPr>
                          <a:cxnSpLocks noChangeShapeType="1"/>
                          <a:stCxn id="41" idx="3"/>
                          <a:endCxn id="42" idx="1"/>
                        </wps:cNvCnPr>
                        <wps:spPr bwMode="auto">
                          <a:xfrm flipV="1">
                            <a:off x="4315460" y="610235"/>
                            <a:ext cx="26860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14"/>
                        <wps:cNvSpPr txBox="1">
                          <a:spLocks noChangeArrowheads="1"/>
                        </wps:cNvSpPr>
                        <wps:spPr bwMode="auto">
                          <a:xfrm>
                            <a:off x="1822450" y="3545205"/>
                            <a:ext cx="341630" cy="228600"/>
                          </a:xfrm>
                          <a:prstGeom prst="rect">
                            <a:avLst/>
                          </a:prstGeom>
                          <a:solidFill>
                            <a:srgbClr val="FFFFFF"/>
                          </a:solidFill>
                          <a:ln w="9525">
                            <a:solidFill>
                              <a:srgbClr val="000000"/>
                            </a:solidFill>
                            <a:miter lim="800000"/>
                            <a:headEnd/>
                            <a:tailEnd/>
                          </a:ln>
                        </wps:spPr>
                        <wps:txbx>
                          <w:txbxContent>
                            <w:p w14:paraId="544BCBAB" w14:textId="77777777" w:rsidR="00E839FD" w:rsidRPr="00737C2C" w:rsidRDefault="00E839FD" w:rsidP="00A14E2E">
                              <w:pPr>
                                <w:rPr>
                                  <w:b/>
                                  <w:sz w:val="16"/>
                                  <w:szCs w:val="16"/>
                                </w:rPr>
                              </w:pPr>
                              <w:r w:rsidRPr="00737C2C">
                                <w:rPr>
                                  <w:b/>
                                  <w:sz w:val="16"/>
                                  <w:szCs w:val="16"/>
                                </w:rPr>
                                <w:t>No</w:t>
                              </w:r>
                            </w:p>
                          </w:txbxContent>
                        </wps:txbx>
                        <wps:bodyPr rot="0" vert="horz" wrap="square" lIns="91440" tIns="45720" rIns="91440" bIns="45720" anchor="t" anchorCtr="0" upright="1">
                          <a:noAutofit/>
                        </wps:bodyPr>
                      </wps:wsp>
                      <wps:wsp>
                        <wps:cNvPr id="48" name="AutoShape 28"/>
                        <wps:cNvCnPr>
                          <a:cxnSpLocks noChangeShapeType="1"/>
                          <a:endCxn id="12" idx="1"/>
                        </wps:cNvCnPr>
                        <wps:spPr bwMode="auto">
                          <a:xfrm>
                            <a:off x="2040070" y="2879725"/>
                            <a:ext cx="297365" cy="3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28"/>
                        <wps:cNvCnPr>
                          <a:cxnSpLocks noChangeShapeType="1"/>
                        </wps:cNvCnPr>
                        <wps:spPr bwMode="auto">
                          <a:xfrm>
                            <a:off x="3846830" y="2887980"/>
                            <a:ext cx="297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28"/>
                        <wps:cNvCnPr>
                          <a:cxnSpLocks noChangeShapeType="1"/>
                        </wps:cNvCnPr>
                        <wps:spPr bwMode="auto">
                          <a:xfrm>
                            <a:off x="5373672" y="2873216"/>
                            <a:ext cx="22166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28"/>
                        <wps:cNvCnPr>
                          <a:cxnSpLocks noChangeShapeType="1"/>
                          <a:endCxn id="11" idx="1"/>
                        </wps:cNvCnPr>
                        <wps:spPr bwMode="auto">
                          <a:xfrm>
                            <a:off x="464820" y="2810571"/>
                            <a:ext cx="230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28"/>
                        <wps:cNvCnPr>
                          <a:cxnSpLocks noChangeShapeType="1"/>
                        </wps:cNvCnPr>
                        <wps:spPr bwMode="auto">
                          <a:xfrm>
                            <a:off x="3882390" y="1825596"/>
                            <a:ext cx="706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37AA4B1" id="Canvas 6" o:spid="_x0000_s1027" editas="canvas" style="width:553.5pt;height:475.2pt;mso-position-horizontal-relative:char;mso-position-vertical-relative:line" coordsize="70294,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0294;height:60350;visibility:visible;mso-wrap-style:square">
                  <v:fill o:detectmouseclick="t"/>
                  <v:path o:connecttype="none"/>
                </v:shape>
                <v:shapetype id="_x0000_t4" coordsize="21600,21600" o:spt="4" path="m10800,l,10800,10800,21600,21600,10800xe">
                  <v:stroke joinstyle="miter"/>
                  <v:path gradientshapeok="t" o:connecttype="rect" textboxrect="5400,5400,16200,16200"/>
                </v:shapetype>
                <v:shape id="AutoShape 51" o:spid="_x0000_s1029" type="#_x0000_t4" style="position:absolute;left:3917;top:36455;width:24048;height:18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">
                  <v:textbox>
                    <w:txbxContent>
                      <w:p w14:paraId="77FAF3D7" w14:textId="52CCDFB2" w:rsidR="00E839FD" w:rsidRDefault="00E839FD" w:rsidP="00A14E2E">
                        <w:r w:rsidRPr="00C16779">
                          <w:rPr>
                            <w:b/>
                            <w:sz w:val="16"/>
                          </w:rPr>
                          <w:t>Is a revised Safety Assessment Document or Accelerator Safety Envelope needed under FESHM 2010?</w:t>
                        </w:r>
                        <w:r w:rsidRPr="00C16779">
                          <w:rPr>
                            <w:sz w:val="16"/>
                          </w:rPr>
                          <w:t xml:space="preserve"> </w:t>
                        </w:r>
                        <w:r w:rsidRPr="00C16779">
                          <w:rPr>
                            <w:b/>
                            <w:sz w:val="14"/>
                          </w:rPr>
                          <w:t>(Complete SAD process is not shown here.)</w:t>
                        </w:r>
                      </w:p>
                    </w:txbxContent>
                  </v:textbox>
                </v:shape>
                <v:shapetype id="_x0000_t32" coordsize="21600,21600" o:spt="32" o:oned="t" path="m,l21600,21600e" filled="f">
                  <v:path arrowok="t" fillok="f" o:connecttype="none"/>
                  <o:lock v:ext="edit" shapetype="t"/>
                </v:shapetype>
                <v:shape id="AutoShape 8" o:spid="_x0000_s1030" type="#_x0000_t32" style="position:absolute;left:11118;top:6000;width:191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Text Box 9" o:spid="_x0000_s1031" type="#_x0000_t202" style="position:absolute;left:17557;top:2952;width:7284;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4744BD4" w14:textId="115F4606" w:rsidR="00E839FD" w:rsidRPr="00737C2C" w:rsidRDefault="00E839FD" w:rsidP="00A14E2E">
                        <w:pPr>
                          <w:rPr>
                            <w:b/>
                          </w:rPr>
                        </w:pPr>
                        <w:r w:rsidRPr="00737C2C">
                          <w:rPr>
                            <w:b/>
                            <w:sz w:val="16"/>
                          </w:rPr>
                          <w:t>Conceptual radiation shielding drawings</w:t>
                        </w:r>
                        <w:r>
                          <w:rPr>
                            <w:b/>
                            <w:sz w:val="16"/>
                          </w:rPr>
                          <w:t>.</w:t>
                        </w:r>
                        <w:r w:rsidRPr="00737C2C">
                          <w:rPr>
                            <w:b/>
                            <w:sz w:val="16"/>
                          </w:rPr>
                          <w:t xml:space="preserve"> created in FESS.</w:t>
                        </w:r>
                      </w:p>
                    </w:txbxContent>
                  </v:textbox>
                </v:shape>
                <v:shape id="AutoShape 10" o:spid="_x0000_s1032" type="#_x0000_t32" style="position:absolute;left:24841;top:6000;width:216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11" o:spid="_x0000_s1033" type="#_x0000_t32" style="position:absolute;left:47720;top:6858;width:2032;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Text Box 12" o:spid="_x0000_s1034" type="#_x0000_t202" style="position:absolute;left:31935;top:44939;width:409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5EFFAD31" w14:textId="77777777" w:rsidR="00E839FD" w:rsidRPr="00737C2C" w:rsidRDefault="00E839FD" w:rsidP="00A14E2E">
                        <w:pPr>
                          <w:rPr>
                            <w:b/>
                            <w:sz w:val="16"/>
                            <w:szCs w:val="16"/>
                          </w:rPr>
                        </w:pPr>
                        <w:r w:rsidRPr="00737C2C">
                          <w:rPr>
                            <w:b/>
                            <w:sz w:val="16"/>
                            <w:szCs w:val="16"/>
                          </w:rPr>
                          <w:t>Yes</w:t>
                        </w:r>
                      </w:p>
                    </w:txbxContent>
                  </v:textbox>
                </v:shape>
                <v:shape id="Text Box 13" o:spid="_x0000_s1035" type="#_x0000_t202" style="position:absolute;left:39567;top:38246;width:16764;height:16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6185F5B7" w14:textId="2344FA07" w:rsidR="00E839FD" w:rsidRDefault="00E839FD" w:rsidP="00A14E2E">
                        <w:r w:rsidRPr="00737C2C">
                          <w:rPr>
                            <w:b/>
                            <w:sz w:val="16"/>
                          </w:rPr>
                          <w:t xml:space="preserve">DOE FSO approves the Accelerator Safety Envelope (ASE) covering the project and concurs with the SAD module. </w:t>
                        </w:r>
                        <w:r>
                          <w:rPr>
                            <w:b/>
                            <w:sz w:val="16"/>
                          </w:rPr>
                          <w:t xml:space="preserve">(See FESHM 2010). </w:t>
                        </w:r>
                        <w:r w:rsidRPr="00737C2C">
                          <w:rPr>
                            <w:b/>
                            <w:sz w:val="16"/>
                          </w:rPr>
                          <w:t>The shielding assessment is a reference in the SAD and must already be approved. Beam operations cannot commence until FSO has approved</w:t>
                        </w:r>
                        <w:r>
                          <w:rPr>
                            <w:sz w:val="16"/>
                          </w:rPr>
                          <w:t xml:space="preserve"> </w:t>
                        </w:r>
                        <w:r w:rsidRPr="00737C2C">
                          <w:rPr>
                            <w:b/>
                            <w:sz w:val="16"/>
                          </w:rPr>
                          <w:t>the ASE and any required Accelerator Readiness Review</w:t>
                        </w:r>
                        <w:r>
                          <w:rPr>
                            <w:sz w:val="16"/>
                          </w:rPr>
                          <w:t xml:space="preserve"> </w:t>
                        </w:r>
                        <w:r w:rsidRPr="00737C2C">
                          <w:rPr>
                            <w:b/>
                            <w:sz w:val="16"/>
                          </w:rPr>
                          <w:t>(ARR) has been completed.</w:t>
                        </w:r>
                      </w:p>
                    </w:txbxContent>
                  </v:textbox>
                </v:shape>
                <v:shape id="Text Box 15" o:spid="_x0000_s1036" type="#_x0000_t202" style="position:absolute;left:57581;top:35128;width:9518;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8AB30FC" w14:textId="77777777" w:rsidR="00E839FD" w:rsidRPr="00737C2C" w:rsidRDefault="00E839FD" w:rsidP="00A14E2E">
                        <w:pPr>
                          <w:rPr>
                            <w:b/>
                          </w:rPr>
                        </w:pPr>
                        <w:r w:rsidRPr="00737C2C">
                          <w:rPr>
                            <w:b/>
                            <w:sz w:val="16"/>
                          </w:rPr>
                          <w:t>Operate Beam</w:t>
                        </w:r>
                      </w:p>
                    </w:txbxContent>
                  </v:textbox>
                </v:shape>
                <v:shape id="Text Box 16" o:spid="_x0000_s1037" type="#_x0000_t202" style="position:absolute;left:6953;top:23140;width:13335;height:9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7033775" w14:textId="4B0F064F" w:rsidR="00E839FD" w:rsidRPr="00737C2C" w:rsidRDefault="00E839FD" w:rsidP="00A14E2E">
                        <w:pPr>
                          <w:rPr>
                            <w:b/>
                            <w:sz w:val="16"/>
                          </w:rPr>
                        </w:pPr>
                        <w:r w:rsidRPr="00737C2C">
                          <w:rPr>
                            <w:b/>
                            <w:sz w:val="16"/>
                          </w:rPr>
                          <w:t xml:space="preserve">On the recommendation of </w:t>
                        </w:r>
                        <w:r>
                          <w:rPr>
                            <w:b/>
                            <w:sz w:val="16"/>
                          </w:rPr>
                          <w:t>Radiation Physics Science Department</w:t>
                        </w:r>
                        <w:r w:rsidRPr="00737C2C">
                          <w:rPr>
                            <w:b/>
                            <w:sz w:val="16"/>
                          </w:rPr>
                          <w:t>,</w:t>
                        </w:r>
                        <w:r>
                          <w:rPr>
                            <w:b/>
                            <w:sz w:val="16"/>
                          </w:rPr>
                          <w:t xml:space="preserve"> and </w:t>
                        </w:r>
                        <w:r w:rsidRPr="00737C2C">
                          <w:rPr>
                            <w:b/>
                            <w:sz w:val="16"/>
                          </w:rPr>
                          <w:t xml:space="preserve">the </w:t>
                        </w:r>
                        <w:r>
                          <w:rPr>
                            <w:b/>
                            <w:sz w:val="16"/>
                          </w:rPr>
                          <w:t xml:space="preserve">assigned </w:t>
                        </w:r>
                        <w:r w:rsidRPr="00737C2C">
                          <w:rPr>
                            <w:b/>
                            <w:sz w:val="16"/>
                          </w:rPr>
                          <w:t>RSO</w:t>
                        </w:r>
                        <w:r>
                          <w:rPr>
                            <w:b/>
                            <w:sz w:val="16"/>
                          </w:rPr>
                          <w:t xml:space="preserve">, </w:t>
                        </w:r>
                        <w:r w:rsidRPr="00737C2C">
                          <w:rPr>
                            <w:b/>
                            <w:sz w:val="16"/>
                          </w:rPr>
                          <w:t xml:space="preserve">D/S Head approves shielding assessment, formally sends to </w:t>
                        </w:r>
                        <w:r>
                          <w:rPr>
                            <w:b/>
                            <w:sz w:val="16"/>
                          </w:rPr>
                          <w:t>SARP</w:t>
                        </w:r>
                        <w:r w:rsidRPr="00737C2C">
                          <w:rPr>
                            <w:b/>
                            <w:sz w:val="16"/>
                          </w:rPr>
                          <w:t>.</w:t>
                        </w:r>
                      </w:p>
                    </w:txbxContent>
                  </v:textbox>
                </v:shape>
                <v:shape id="Text Box 17" o:spid="_x0000_s1038" type="#_x0000_t202" style="position:absolute;left:23374;top:24815;width:14967;height:7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45D4D6F" w14:textId="723609DF" w:rsidR="00E839FD" w:rsidRPr="00737C2C" w:rsidRDefault="00E839FD" w:rsidP="00A14E2E">
                        <w:pPr>
                          <w:rPr>
                            <w:b/>
                          </w:rPr>
                        </w:pPr>
                        <w:r>
                          <w:rPr>
                            <w:b/>
                            <w:sz w:val="16"/>
                          </w:rPr>
                          <w:t>SARP</w:t>
                        </w:r>
                        <w:r w:rsidRPr="00737C2C">
                          <w:rPr>
                            <w:b/>
                            <w:sz w:val="16"/>
                          </w:rPr>
                          <w:t xml:space="preserve"> conducts formal shielding assessment with iterations as necessary.  </w:t>
                        </w:r>
                        <w:r>
                          <w:rPr>
                            <w:b/>
                            <w:sz w:val="16"/>
                          </w:rPr>
                          <w:t>SARP</w:t>
                        </w:r>
                        <w:r w:rsidRPr="00737C2C">
                          <w:rPr>
                            <w:b/>
                            <w:sz w:val="16"/>
                          </w:rPr>
                          <w:t xml:space="preserve"> makes recommendation to SRSO.</w:t>
                        </w:r>
                      </w:p>
                    </w:txbxContent>
                  </v:textbox>
                </v:shape>
                <v:shape id="Text Box 18" o:spid="_x0000_s1039" type="#_x0000_t202" style="position:absolute;left:56032;top:24229;width:10715;height:8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671AC020" w14:textId="6532CE8B" w:rsidR="00E839FD" w:rsidRDefault="00E839FD" w:rsidP="00A14E2E">
                        <w:pPr>
                          <w:rPr>
                            <w:b/>
                            <w:sz w:val="16"/>
                          </w:rPr>
                        </w:pPr>
                        <w:r w:rsidRPr="00737C2C">
                          <w:rPr>
                            <w:b/>
                            <w:sz w:val="16"/>
                          </w:rPr>
                          <w:t xml:space="preserve">The </w:t>
                        </w:r>
                        <w:r>
                          <w:rPr>
                            <w:b/>
                            <w:sz w:val="16"/>
                          </w:rPr>
                          <w:t>shielding assessment approval ends here.</w:t>
                        </w:r>
                      </w:p>
                      <w:p w14:paraId="49682148" w14:textId="31A411AB" w:rsidR="00E839FD" w:rsidRPr="00737C2C" w:rsidRDefault="00E839FD" w:rsidP="00A14E2E">
                        <w:pPr>
                          <w:rPr>
                            <w:b/>
                          </w:rPr>
                        </w:pPr>
                        <w:r>
                          <w:rPr>
                            <w:b/>
                            <w:sz w:val="16"/>
                          </w:rPr>
                          <w:t>Now continue to review SAD/ASE implications.</w:t>
                        </w:r>
                      </w:p>
                    </w:txbxContent>
                  </v:textbox>
                </v:shape>
                <v:shape id="Text Box 19" o:spid="_x0000_s1040" type="#_x0000_t202" style="position:absolute;left:41440;top:25279;width:12376;height:7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77501FA" w14:textId="26DA803F" w:rsidR="00E839FD" w:rsidRPr="00737C2C" w:rsidRDefault="00E839FD" w:rsidP="00A14E2E">
                        <w:pPr>
                          <w:rPr>
                            <w:b/>
                          </w:rPr>
                        </w:pPr>
                        <w:r w:rsidRPr="00737C2C">
                          <w:rPr>
                            <w:b/>
                            <w:sz w:val="16"/>
                          </w:rPr>
                          <w:t xml:space="preserve">The SRSO approves the shielding assessment &amp; notifies D/S Head </w:t>
                        </w:r>
                        <w:r>
                          <w:rPr>
                            <w:b/>
                            <w:sz w:val="16"/>
                          </w:rPr>
                          <w:t xml:space="preserve">&amp; SARP Chair </w:t>
                        </w:r>
                        <w:r w:rsidRPr="00737C2C">
                          <w:rPr>
                            <w:b/>
                            <w:sz w:val="16"/>
                          </w:rPr>
                          <w:t>in writing.</w:t>
                        </w:r>
                      </w:p>
                      <w:p w14:paraId="2ED98EB7" w14:textId="77777777" w:rsidR="00E839FD" w:rsidRPr="00D82D2D" w:rsidRDefault="00E839FD" w:rsidP="00A14E2E"/>
                    </w:txbxContent>
                  </v:textbox>
                </v:shape>
                <v:shape id="Text Box 20" o:spid="_x0000_s1041" type="#_x0000_t202" style="position:absolute;left:9876;top:13890;width:13327;height:7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A71D6B9" w14:textId="498CB45E" w:rsidR="00E839FD" w:rsidRPr="00737C2C" w:rsidRDefault="00E839FD" w:rsidP="00A14E2E">
                        <w:pPr>
                          <w:rPr>
                            <w:b/>
                          </w:rPr>
                        </w:pPr>
                        <w:r w:rsidRPr="00737C2C">
                          <w:rPr>
                            <w:b/>
                            <w:sz w:val="16"/>
                          </w:rPr>
                          <w:t xml:space="preserve">D/S Head, </w:t>
                        </w:r>
                        <w:r>
                          <w:rPr>
                            <w:b/>
                            <w:sz w:val="16"/>
                          </w:rPr>
                          <w:t xml:space="preserve">Radiation Physics Science Department </w:t>
                        </w:r>
                        <w:r w:rsidRPr="00737C2C">
                          <w:rPr>
                            <w:b/>
                            <w:sz w:val="16"/>
                          </w:rPr>
                          <w:t xml:space="preserve">and </w:t>
                        </w:r>
                        <w:r>
                          <w:rPr>
                            <w:b/>
                            <w:sz w:val="16"/>
                          </w:rPr>
                          <w:t>assigned RSO</w:t>
                        </w:r>
                        <w:r w:rsidRPr="00737C2C">
                          <w:rPr>
                            <w:b/>
                            <w:sz w:val="16"/>
                          </w:rPr>
                          <w:t xml:space="preserve"> approve design prior to bidding.</w:t>
                        </w:r>
                      </w:p>
                    </w:txbxContent>
                  </v:textbox>
                </v:shape>
                <v:shape id="Text Box 21" o:spid="_x0000_s1042" type="#_x0000_t202" style="position:absolute;left:30333;top:16579;width:8490;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50EA147" w14:textId="77777777" w:rsidR="00E839FD" w:rsidRPr="00737C2C" w:rsidRDefault="00E839FD" w:rsidP="00A14E2E">
                        <w:pPr>
                          <w:rPr>
                            <w:b/>
                          </w:rPr>
                        </w:pPr>
                        <w:r w:rsidRPr="00737C2C">
                          <w:rPr>
                            <w:b/>
                            <w:sz w:val="16"/>
                          </w:rPr>
                          <w:t>Construction proceeds.</w:t>
                        </w:r>
                      </w:p>
                    </w:txbxContent>
                  </v:textbox>
                </v:shape>
                <v:shape id="Text Box 22" o:spid="_x0000_s1043" type="#_x0000_t202" style="position:absolute;left:45700;top:14909;width:16307;height:7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70814DF5" w14:textId="77777777" w:rsidR="00E839FD" w:rsidRPr="00737C2C" w:rsidRDefault="00E839FD" w:rsidP="00A14E2E">
                        <w:pPr>
                          <w:rPr>
                            <w:b/>
                          </w:rPr>
                        </w:pPr>
                        <w:r w:rsidRPr="00737C2C">
                          <w:rPr>
                            <w:b/>
                            <w:sz w:val="16"/>
                          </w:rPr>
                          <w:t>Radiation shielding drawings are developed as construction proceeds and completed by FESS Engineering.</w:t>
                        </w:r>
                      </w:p>
                      <w:p w14:paraId="2B989A07" w14:textId="77777777" w:rsidR="00E839FD" w:rsidRDefault="00E839FD" w:rsidP="00A14E2E"/>
                    </w:txbxContent>
                  </v:textbox>
                </v:shape>
                <v:shape id="AutoShape 23" o:spid="_x0000_s1044" type="#_x0000_t32" style="position:absolute;left:58267;top:6102;width:37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24" o:spid="_x0000_s1045" type="#_x0000_t32" style="position:absolute;left:62001;top:6102;width:6;height:7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5" o:spid="_x0000_s1046" type="#_x0000_t32" style="position:absolute;left:7620;top:13335;width:5438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26" o:spid="_x0000_s1047" type="#_x0000_t32" style="position:absolute;left:7620;top:13335;width:6;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7" o:spid="_x0000_s1048" type="#_x0000_t32" style="position:absolute;left:7620;top:18516;width:235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8" o:spid="_x0000_s1049" type="#_x0000_t32" style="position:absolute;left:23272;top:18561;width:7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30" o:spid="_x0000_s1050" type="#_x0000_t32" style="position:absolute;left:34620;top:20598;width:41;height:14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31" o:spid="_x0000_s1051" type="#_x0000_t32" style="position:absolute;left:4762;top:22002;width:29858;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32" o:spid="_x0000_s1052" type="#_x0000_t32" style="position:absolute;left:4762;top:22002;width:0;height:6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37" o:spid="_x0000_s1053" type="#_x0000_t32" style="position:absolute;left:61390;top:32581;width:84;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38" o:spid="_x0000_s1054" type="#_x0000_t32" style="position:absolute;left:1930;top:34099;width:5950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shape id="AutoShape 39" o:spid="_x0000_s1055" type="#_x0000_t32" style="position:absolute;left:1930;top:34105;width:0;height:119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40" o:spid="_x0000_s1056" type="#_x0000_t32" style="position:absolute;left:1930;top:46024;width:25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42" o:spid="_x0000_s1057" type="#_x0000_t32" style="position:absolute;left:16040;top:36455;width:41414;height:1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UwwAAANsAAAAPAAAAZHJzL2Rvd25yZXYueG1sRI/BasMw&#10;EETvhfyD2EBvtZyU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HGpx1MMAAADbAAAADwAA&#10;AAAAAAAAAAAAAAAHAgAAZHJzL2Rvd25yZXYueG1sUEsFBgAAAAADAAMAtwAAAPcCAAAAAA==&#10;">
                  <v:stroke endarrow="block"/>
                </v:shape>
                <v:shape id="AutoShape 43" o:spid="_x0000_s1058" type="#_x0000_t32" style="position:absolute;left:28162;top:46043;width:3575;height: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44" o:spid="_x0000_s1059" type="#_x0000_t32" style="position:absolute;left:36115;top:46142;width:3340;height: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 id="AutoShape 45" o:spid="_x0000_s1060" type="#_x0000_t32" style="position:absolute;left:56331;top:46587;width:6361;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rxAAAANsAAAAPAAAAZHJzL2Rvd25yZXYueG1sRI9BawIx&#10;FITvhf6H8AQvRbNrQ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CGCz6vEAAAA2wAAAA8A&#10;AAAAAAAAAAAAAAAABwIAAGRycy9kb3ducmV2LnhtbFBLBQYAAAAAAwADALcAAAD4AgAAAAA=&#10;"/>
                <v:shape id="AutoShape 46" o:spid="_x0000_s1061" type="#_x0000_t32" style="position:absolute;left:62577;top:37628;width:152;height:89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">
                  <v:stroke endarrow="block"/>
                </v:shape>
                <v:shape id="Text Box 47" o:spid="_x0000_s1062" type="#_x0000_t202" style="position:absolute;left:27006;top:476;width:16148;height:1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9F177B9" w14:textId="4E379277" w:rsidR="00E839FD" w:rsidRPr="00737C2C" w:rsidRDefault="00E839FD" w:rsidP="00A14E2E">
                        <w:pPr>
                          <w:rPr>
                            <w:b/>
                          </w:rPr>
                        </w:pPr>
                        <w:r>
                          <w:rPr>
                            <w:b/>
                            <w:sz w:val="16"/>
                          </w:rPr>
                          <w:t>Preliminary s</w:t>
                        </w:r>
                        <w:r w:rsidRPr="00737C2C">
                          <w:rPr>
                            <w:b/>
                            <w:sz w:val="16"/>
                          </w:rPr>
                          <w:t>hielding assessment is initiated by project staff with input from the</w:t>
                        </w:r>
                        <w:r>
                          <w:rPr>
                            <w:b/>
                            <w:sz w:val="16"/>
                          </w:rPr>
                          <w:t xml:space="preserve"> Radiation Physics Science Department, assigned</w:t>
                        </w:r>
                        <w:r w:rsidRPr="00737C2C">
                          <w:rPr>
                            <w:b/>
                            <w:sz w:val="16"/>
                          </w:rPr>
                          <w:t xml:space="preserve"> RSO and </w:t>
                        </w:r>
                        <w:r>
                          <w:rPr>
                            <w:b/>
                            <w:sz w:val="16"/>
                          </w:rPr>
                          <w:t xml:space="preserve">the </w:t>
                        </w:r>
                        <w:r w:rsidRPr="00737C2C">
                          <w:rPr>
                            <w:b/>
                            <w:sz w:val="16"/>
                          </w:rPr>
                          <w:t xml:space="preserve">Shielding Assessment Review </w:t>
                        </w:r>
                        <w:r>
                          <w:rPr>
                            <w:b/>
                            <w:sz w:val="16"/>
                          </w:rPr>
                          <w:t xml:space="preserve">Panel </w:t>
                        </w:r>
                        <w:r w:rsidRPr="00737C2C">
                          <w:rPr>
                            <w:b/>
                            <w:sz w:val="16"/>
                          </w:rPr>
                          <w:t>(</w:t>
                        </w:r>
                        <w:r>
                          <w:rPr>
                            <w:b/>
                            <w:sz w:val="16"/>
                          </w:rPr>
                          <w:t>SARP</w:t>
                        </w:r>
                        <w:r w:rsidRPr="00737C2C">
                          <w:rPr>
                            <w:b/>
                            <w:sz w:val="16"/>
                          </w:rPr>
                          <w:t>) as needed. This may be an iterative process.</w:t>
                        </w:r>
                      </w:p>
                    </w:txbxContent>
                  </v:textbox>
                </v:shape>
                <v:shape id="Text Box 48" o:spid="_x0000_s1063" type="#_x0000_t202" style="position:absolute;left:45840;top:2298;width:12427;height:7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1954C7F3" w14:textId="77777777" w:rsidR="00E839FD" w:rsidRPr="00737C2C" w:rsidRDefault="00E839FD" w:rsidP="00A14E2E">
                        <w:pPr>
                          <w:rPr>
                            <w:b/>
                          </w:rPr>
                        </w:pPr>
                        <w:r w:rsidRPr="00737C2C">
                          <w:rPr>
                            <w:b/>
                            <w:sz w:val="16"/>
                          </w:rPr>
                          <w:t>FESS proceeds with Final Construction Drawings and documents for bidding.</w:t>
                        </w:r>
                      </w:p>
                      <w:p w14:paraId="64877D22" w14:textId="77777777" w:rsidR="00E839FD" w:rsidRDefault="00E839FD" w:rsidP="00A14E2E"/>
                    </w:txbxContent>
                  </v:textbox>
                </v:shape>
                <v:shape id="AutoShape 49" o:spid="_x0000_s1064" type="#_x0000_t32" style="position:absolute;left:43154;top:6102;width:2686;height: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shape id="Text Box 14" o:spid="_x0000_s1065" type="#_x0000_t202" style="position:absolute;left:18224;top:35452;width:34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544BCBAB" w14:textId="77777777" w:rsidR="00E839FD" w:rsidRPr="00737C2C" w:rsidRDefault="00E839FD" w:rsidP="00A14E2E">
                        <w:pPr>
                          <w:rPr>
                            <w:b/>
                            <w:sz w:val="16"/>
                            <w:szCs w:val="16"/>
                          </w:rPr>
                        </w:pPr>
                        <w:r w:rsidRPr="00737C2C">
                          <w:rPr>
                            <w:b/>
                            <w:sz w:val="16"/>
                            <w:szCs w:val="16"/>
                          </w:rPr>
                          <w:t>No</w:t>
                        </w:r>
                      </w:p>
                    </w:txbxContent>
                  </v:textbox>
                </v:shape>
                <v:shape id="AutoShape 28" o:spid="_x0000_s1066" type="#_x0000_t32" style="position:absolute;left:20400;top:28797;width:2974;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shape id="AutoShape 28" o:spid="_x0000_s1067" type="#_x0000_t32" style="position:absolute;left:38468;top:28879;width: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28" o:spid="_x0000_s1068" type="#_x0000_t32" style="position:absolute;left:53736;top:28732;width:2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28" o:spid="_x0000_s1069" type="#_x0000_t32" style="position:absolute;left:4648;top:28105;width:23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28" o:spid="_x0000_s1070" type="#_x0000_t32" style="position:absolute;left:38823;top:18255;width:70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w10:anchorlock/>
              </v:group>
            </w:pict>
          </mc:Fallback>
        </mc:AlternateContent>
      </w:r>
    </w:p>
    <w:p w14:paraId="221D935F" w14:textId="77777777" w:rsidR="00310B02" w:rsidRDefault="00310B02" w:rsidP="00A14E2E">
      <w:pPr>
        <w:ind w:left="-1260"/>
        <w:jc w:val="both"/>
        <w:rPr>
          <w:b/>
          <w:i/>
        </w:rPr>
      </w:pPr>
    </w:p>
    <w:p w14:paraId="63AB593C" w14:textId="77777777" w:rsidR="00310B02" w:rsidRDefault="00310B02" w:rsidP="000B4489">
      <w:pPr>
        <w:pStyle w:val="Heading2"/>
      </w:pPr>
      <w:r w:rsidRPr="00310B02">
        <w:t xml:space="preserve"> </w:t>
      </w:r>
      <w:bookmarkStart w:id="16" w:name="_Toc31185437"/>
      <w:r w:rsidRPr="0015123C">
        <w:t>Fig. 8-2 Fermilab Radiation Shielding Design Review Process</w:t>
      </w:r>
      <w:bookmarkEnd w:id="16"/>
    </w:p>
    <w:p w14:paraId="3F8B35B4" w14:textId="64AC2C57" w:rsidR="00F14835" w:rsidRDefault="00F14835">
      <w:pPr>
        <w:rPr>
          <w:b/>
          <w:i/>
        </w:rPr>
      </w:pPr>
      <w:r>
        <w:rPr>
          <w:b/>
          <w:i/>
        </w:rPr>
        <w:br w:type="page"/>
      </w:r>
    </w:p>
    <w:p w14:paraId="3C2DF5C6" w14:textId="77777777" w:rsidR="00310B02" w:rsidRDefault="00310B02" w:rsidP="00310B02">
      <w:pPr>
        <w:ind w:left="-630"/>
        <w:jc w:val="both"/>
        <w:rPr>
          <w:b/>
          <w:i/>
        </w:rPr>
      </w:pPr>
    </w:p>
    <w:p w14:paraId="5A980B3D" w14:textId="0F5AFA53" w:rsidR="00BC46BA" w:rsidRPr="00BC46BA" w:rsidRDefault="00B6525A" w:rsidP="00E4118D">
      <w:pPr>
        <w:pStyle w:val="ListParagraph"/>
        <w:numPr>
          <w:ilvl w:val="0"/>
          <w:numId w:val="17"/>
        </w:numPr>
        <w:ind w:hanging="720"/>
        <w:jc w:val="both"/>
      </w:pPr>
      <w:r>
        <w:t>Both Division/Section and Radiological Control Organization</w:t>
      </w:r>
      <w:r w:rsidR="00BC46BA" w:rsidRPr="00BC46BA">
        <w:t xml:space="preserve"> personnel shall be intimately involved in all stages of the process, from the conceptual stage through </w:t>
      </w:r>
      <w:r w:rsidR="001D0225">
        <w:t xml:space="preserve">operations. </w:t>
      </w:r>
      <w:r w:rsidR="00BC46BA" w:rsidRPr="00BC46BA">
        <w:t>All final designs, including construction packages ready for bid must</w:t>
      </w:r>
      <w:r w:rsidR="00CB44AA">
        <w:t xml:space="preserve"> be reviewed and approved by</w:t>
      </w:r>
      <w:r w:rsidR="00BC46BA" w:rsidRPr="00BC46BA">
        <w:t xml:space="preserve"> </w:t>
      </w:r>
      <w:r w:rsidR="00A14E2E">
        <w:t>D</w:t>
      </w:r>
      <w:r w:rsidR="00BC46BA" w:rsidRPr="00BC46BA">
        <w:t>ivision/</w:t>
      </w:r>
      <w:r w:rsidR="00A14E2E">
        <w:t>S</w:t>
      </w:r>
      <w:r w:rsidR="00BC46BA" w:rsidRPr="00BC46BA">
        <w:t>ection management</w:t>
      </w:r>
      <w:r w:rsidR="004163FC">
        <w:t>, the R</w:t>
      </w:r>
      <w:r w:rsidR="007749C9">
        <w:t>adiation Physics Science (RPS)</w:t>
      </w:r>
      <w:r w:rsidR="004163FC">
        <w:t xml:space="preserve"> </w:t>
      </w:r>
      <w:r w:rsidR="009E59D0">
        <w:t>d</w:t>
      </w:r>
      <w:r w:rsidR="004163FC">
        <w:t>epartment</w:t>
      </w:r>
      <w:r w:rsidR="000A3530">
        <w:t xml:space="preserve"> and by</w:t>
      </w:r>
      <w:r w:rsidR="00BC46BA" w:rsidRPr="00BC46BA">
        <w:t xml:space="preserve"> the </w:t>
      </w:r>
      <w:r w:rsidR="006D28BE">
        <w:t>assigned RSO</w:t>
      </w:r>
      <w:r w:rsidR="00BF6A08">
        <w:t>(</w:t>
      </w:r>
      <w:r w:rsidR="006D28BE">
        <w:t>s</w:t>
      </w:r>
      <w:r w:rsidR="00BF6A08">
        <w:t>)</w:t>
      </w:r>
      <w:r w:rsidR="00720085">
        <w:t>.</w:t>
      </w:r>
    </w:p>
    <w:p w14:paraId="15F3FCA1" w14:textId="77777777" w:rsidR="000548B8" w:rsidRDefault="000548B8" w:rsidP="00E4118D">
      <w:pPr>
        <w:pStyle w:val="ListParagraph"/>
        <w:ind w:left="0" w:hanging="720"/>
        <w:rPr>
          <w:b/>
        </w:rPr>
      </w:pPr>
    </w:p>
    <w:p w14:paraId="4C2F5B51" w14:textId="2CEB878D" w:rsidR="00BC46BA" w:rsidRDefault="00BC46BA" w:rsidP="00E4118D">
      <w:pPr>
        <w:pStyle w:val="ListParagraph"/>
        <w:numPr>
          <w:ilvl w:val="0"/>
          <w:numId w:val="17"/>
        </w:numPr>
        <w:ind w:hanging="720"/>
        <w:jc w:val="both"/>
      </w:pPr>
      <w:r>
        <w:t xml:space="preserve">A preliminary shielding assessment should be conducted </w:t>
      </w:r>
      <w:r w:rsidR="00DA2C1B">
        <w:t xml:space="preserve">and documented </w:t>
      </w:r>
      <w:r>
        <w:t xml:space="preserve">at the design specification stage of conceptual development </w:t>
      </w:r>
      <w:r w:rsidR="00A14E2E">
        <w:t>and include</w:t>
      </w:r>
      <w:r>
        <w:t xml:space="preserve"> project staff, </w:t>
      </w:r>
      <w:r w:rsidR="004163FC">
        <w:t xml:space="preserve">the RPS </w:t>
      </w:r>
      <w:r w:rsidR="009E59D0">
        <w:t>d</w:t>
      </w:r>
      <w:r w:rsidR="004163FC">
        <w:t xml:space="preserve">epartment, </w:t>
      </w:r>
      <w:r>
        <w:t>the</w:t>
      </w:r>
      <w:r w:rsidR="00CB44AA">
        <w:t xml:space="preserve"> </w:t>
      </w:r>
      <w:r w:rsidR="00461442">
        <w:t>assigned</w:t>
      </w:r>
      <w:r>
        <w:t xml:space="preserve"> </w:t>
      </w:r>
      <w:r w:rsidR="00CB44AA">
        <w:t>RSO</w:t>
      </w:r>
      <w:r w:rsidR="00BB0ECE">
        <w:t>(</w:t>
      </w:r>
      <w:r w:rsidR="00CB44AA">
        <w:t>s</w:t>
      </w:r>
      <w:r w:rsidR="00BB0ECE">
        <w:t>)</w:t>
      </w:r>
      <w:r>
        <w:t xml:space="preserve">, and those responsible for designing the facility.  Where civil construction is needed, representatives of </w:t>
      </w:r>
      <w:r w:rsidR="00CB44AA">
        <w:t>FESS</w:t>
      </w:r>
      <w:r>
        <w:t xml:space="preserve"> shall be included. This specification stage should identify the desired personnel occupancy state for the final design.</w:t>
      </w:r>
      <w:r w:rsidR="00310B02">
        <w:t xml:space="preserve"> </w:t>
      </w:r>
    </w:p>
    <w:p w14:paraId="4FCF206B" w14:textId="77777777" w:rsidR="00BC46BA" w:rsidRDefault="00BC46BA" w:rsidP="00E4118D">
      <w:pPr>
        <w:ind w:hanging="720"/>
        <w:jc w:val="both"/>
      </w:pPr>
    </w:p>
    <w:p w14:paraId="581B9B96" w14:textId="4BB930A4" w:rsidR="00DA2C1B" w:rsidRDefault="002179FD" w:rsidP="00E4118D">
      <w:pPr>
        <w:pStyle w:val="ListParagraph"/>
        <w:numPr>
          <w:ilvl w:val="0"/>
          <w:numId w:val="17"/>
        </w:numPr>
        <w:ind w:hanging="720"/>
        <w:jc w:val="both"/>
      </w:pPr>
      <w:r>
        <w:t>New or modified shielding</w:t>
      </w:r>
      <w:r w:rsidR="00DA2C1B">
        <w:t xml:space="preserve"> configurations, including required moveable or portable shielding</w:t>
      </w:r>
      <w:r w:rsidR="00BB0ECE">
        <w:t>,</w:t>
      </w:r>
      <w:r w:rsidR="00DA2C1B">
        <w:t xml:space="preserve"> shall be reviewed by </w:t>
      </w:r>
      <w:r w:rsidR="00CB44AA">
        <w:t>FESS</w:t>
      </w:r>
      <w:r w:rsidR="00DA2C1B">
        <w:t xml:space="preserve"> for structural engineering impact.  </w:t>
      </w:r>
    </w:p>
    <w:p w14:paraId="362CA6DB" w14:textId="77777777" w:rsidR="00DA2C1B" w:rsidRDefault="00DA2C1B" w:rsidP="00E4118D">
      <w:pPr>
        <w:ind w:hanging="720"/>
        <w:jc w:val="both"/>
      </w:pPr>
    </w:p>
    <w:p w14:paraId="6A09DF78" w14:textId="6DA7BC05" w:rsidR="002179FD" w:rsidRDefault="002179FD" w:rsidP="003E19BC">
      <w:pPr>
        <w:pStyle w:val="ListParagraph"/>
        <w:numPr>
          <w:ilvl w:val="0"/>
          <w:numId w:val="17"/>
        </w:numPr>
        <w:ind w:hanging="720"/>
        <w:jc w:val="both"/>
      </w:pPr>
      <w:r>
        <w:t xml:space="preserve">The shielding assessment, at least at a preliminary level, shall be approved </w:t>
      </w:r>
      <w:r w:rsidR="00A14E2E">
        <w:t>by the</w:t>
      </w:r>
      <w:r w:rsidR="006D28BE">
        <w:t xml:space="preserve"> </w:t>
      </w:r>
      <w:r w:rsidR="004163FC">
        <w:t xml:space="preserve">RPS </w:t>
      </w:r>
      <w:r w:rsidR="004E4CA5">
        <w:t>d</w:t>
      </w:r>
      <w:r w:rsidR="004163FC">
        <w:t xml:space="preserve">epartment and </w:t>
      </w:r>
      <w:r w:rsidR="006D28BE">
        <w:t>assigned RSO</w:t>
      </w:r>
      <w:r w:rsidR="00A14E2E">
        <w:t xml:space="preserve"> </w:t>
      </w:r>
      <w:r>
        <w:t>prior to the project being released for bid. Such a preliminary approval shall be clearly labeled as such and the criteria for final approval clearly documented. For complex installations, the process should be iterative</w:t>
      </w:r>
      <w:r w:rsidR="009F765C">
        <w:t>,</w:t>
      </w:r>
      <w:r>
        <w:t xml:space="preserve"> with the </w:t>
      </w:r>
      <w:r w:rsidR="00DE1EAE">
        <w:t>SARP</w:t>
      </w:r>
      <w:r w:rsidR="005415CD">
        <w:t xml:space="preserve"> </w:t>
      </w:r>
      <w:r>
        <w:t>consulted at the earliest practicable stage</w:t>
      </w:r>
      <w:r w:rsidR="00EB375F">
        <w:t xml:space="preserve"> and is a responsibility of the Project Manage</w:t>
      </w:r>
      <w:r w:rsidR="001D0225">
        <w:t xml:space="preserve">r in accordance with </w:t>
      </w:r>
      <w:hyperlink r:id="rId15" w:history="1">
        <w:r w:rsidR="001D0225">
          <w:rPr>
            <w:rStyle w:val="Hyperlink"/>
          </w:rPr>
          <w:t>FESHM Chapter 1010</w:t>
        </w:r>
      </w:hyperlink>
      <w:r w:rsidR="001D0225">
        <w:t xml:space="preserve">  </w:t>
      </w:r>
      <w:r w:rsidR="00EB375F">
        <w:t>Section 2.8</w:t>
      </w:r>
      <w:r w:rsidR="00B442E9">
        <w:t>.</w:t>
      </w:r>
    </w:p>
    <w:p w14:paraId="17CEFC7A" w14:textId="77777777" w:rsidR="002179FD" w:rsidRDefault="002179FD" w:rsidP="00E4118D">
      <w:pPr>
        <w:ind w:hanging="720"/>
        <w:jc w:val="both"/>
      </w:pPr>
    </w:p>
    <w:p w14:paraId="7AB88DC9" w14:textId="571A14AE" w:rsidR="00BC46BA" w:rsidRDefault="00BC46BA" w:rsidP="00E4118D">
      <w:pPr>
        <w:pStyle w:val="ListParagraph"/>
        <w:numPr>
          <w:ilvl w:val="0"/>
          <w:numId w:val="17"/>
        </w:numPr>
        <w:ind w:hanging="720"/>
        <w:jc w:val="both"/>
      </w:pPr>
      <w:r>
        <w:t>The final assessment shall be reviewed internally within the originating Division/Section</w:t>
      </w:r>
      <w:r w:rsidR="00521B5F">
        <w:t>(s)</w:t>
      </w:r>
      <w:r>
        <w:t xml:space="preserve"> and approved in writing by the responsible Division/Section </w:t>
      </w:r>
      <w:r w:rsidR="00C21493">
        <w:t>Head</w:t>
      </w:r>
      <w:r>
        <w:t>(s)</w:t>
      </w:r>
      <w:r w:rsidR="00EB375F">
        <w:t xml:space="preserve"> and the</w:t>
      </w:r>
      <w:r w:rsidR="004E4CA5">
        <w:t xml:space="preserve"> RPS department</w:t>
      </w:r>
      <w:r>
        <w:t>.</w:t>
      </w:r>
    </w:p>
    <w:p w14:paraId="15246470" w14:textId="77777777" w:rsidR="00BC46BA" w:rsidRDefault="00BC46BA" w:rsidP="00E4118D">
      <w:pPr>
        <w:ind w:hanging="720"/>
        <w:jc w:val="both"/>
      </w:pPr>
    </w:p>
    <w:p w14:paraId="302DDF73" w14:textId="1E984DAD" w:rsidR="00BC46BA" w:rsidRDefault="00BC46BA" w:rsidP="00E4118D">
      <w:pPr>
        <w:pStyle w:val="ListParagraph"/>
        <w:numPr>
          <w:ilvl w:val="0"/>
          <w:numId w:val="17"/>
        </w:numPr>
        <w:ind w:hanging="720"/>
        <w:jc w:val="both"/>
      </w:pPr>
      <w:r>
        <w:t xml:space="preserve">After approval of the final shielding assessment by the </w:t>
      </w:r>
      <w:r w:rsidR="002179FD">
        <w:t>originating</w:t>
      </w:r>
      <w:r>
        <w:t xml:space="preserve"> Division/Section</w:t>
      </w:r>
      <w:r w:rsidR="002179FD">
        <w:t>(</w:t>
      </w:r>
      <w:r>
        <w:t>s</w:t>
      </w:r>
      <w:r w:rsidR="002179FD">
        <w:t>)</w:t>
      </w:r>
      <w:r>
        <w:t>, the assessment shall be</w:t>
      </w:r>
      <w:r w:rsidR="002179FD">
        <w:t xml:space="preserve"> formally transmitted</w:t>
      </w:r>
      <w:r>
        <w:t xml:space="preserve"> to the </w:t>
      </w:r>
      <w:r w:rsidR="00DE1EAE">
        <w:t xml:space="preserve">SARP </w:t>
      </w:r>
      <w:r>
        <w:t xml:space="preserve">for review in a </w:t>
      </w:r>
      <w:r w:rsidR="00310B02">
        <w:t>time</w:t>
      </w:r>
      <w:r>
        <w:t>ly manner prior to the planned conduct of the operations covered in the assessment.</w:t>
      </w:r>
      <w:r w:rsidR="00DA2C1B">
        <w:t xml:space="preserve"> </w:t>
      </w:r>
    </w:p>
    <w:p w14:paraId="6AE2128B" w14:textId="77777777" w:rsidR="00DA2C1B" w:rsidRDefault="00DA2C1B" w:rsidP="00E4118D">
      <w:pPr>
        <w:ind w:hanging="720"/>
        <w:jc w:val="both"/>
      </w:pPr>
    </w:p>
    <w:p w14:paraId="7DEE618B" w14:textId="428ED7BC" w:rsidR="00BC46BA" w:rsidRDefault="00DE1EAE" w:rsidP="00E4118D">
      <w:pPr>
        <w:pStyle w:val="ListParagraph"/>
        <w:numPr>
          <w:ilvl w:val="0"/>
          <w:numId w:val="17"/>
        </w:numPr>
        <w:ind w:hanging="720"/>
        <w:jc w:val="both"/>
      </w:pPr>
      <w:r>
        <w:t xml:space="preserve">SARP </w:t>
      </w:r>
      <w:r w:rsidR="00310B02">
        <w:t>shall review the shielding assessment</w:t>
      </w:r>
      <w:r w:rsidR="002179FD">
        <w:t xml:space="preserve"> in accordance </w:t>
      </w:r>
      <w:r w:rsidR="009A121F" w:rsidRPr="00062C92">
        <w:t>with</w:t>
      </w:r>
      <w:r w:rsidR="009A121F">
        <w:t xml:space="preserve"> its charter embodied in the charter of the Radiation Safety Subcommittee</w:t>
      </w:r>
      <w:r w:rsidR="00761A45">
        <w:t>. There may be i</w:t>
      </w:r>
      <w:r w:rsidR="00BC46BA">
        <w:t xml:space="preserve">terations in this process with the affected </w:t>
      </w:r>
      <w:r w:rsidR="00A14E2E">
        <w:t>D</w:t>
      </w:r>
      <w:r w:rsidR="00BC46BA">
        <w:t>ivision/</w:t>
      </w:r>
      <w:r w:rsidR="00A14E2E">
        <w:t>S</w:t>
      </w:r>
      <w:r w:rsidR="00BC46BA">
        <w:t>ection</w:t>
      </w:r>
      <w:r w:rsidR="00C21493">
        <w:t>(s)</w:t>
      </w:r>
      <w:r w:rsidR="00BC46BA">
        <w:t xml:space="preserve"> as designs develop.</w:t>
      </w:r>
    </w:p>
    <w:p w14:paraId="3D2105DC" w14:textId="77777777" w:rsidR="002179FD" w:rsidRDefault="002179FD" w:rsidP="00E4118D">
      <w:pPr>
        <w:ind w:hanging="720"/>
        <w:jc w:val="both"/>
      </w:pPr>
    </w:p>
    <w:p w14:paraId="36EAA635" w14:textId="4A30A3E9" w:rsidR="00BC46BA" w:rsidRDefault="00BC46BA" w:rsidP="00E4118D">
      <w:pPr>
        <w:pStyle w:val="ListParagraph"/>
        <w:numPr>
          <w:ilvl w:val="0"/>
          <w:numId w:val="17"/>
        </w:numPr>
        <w:ind w:hanging="720"/>
        <w:jc w:val="both"/>
      </w:pPr>
      <w:r>
        <w:t>Upon successful completion of its review</w:t>
      </w:r>
      <w:r w:rsidR="00713201">
        <w:t>,</w:t>
      </w:r>
      <w:r>
        <w:t xml:space="preserve"> </w:t>
      </w:r>
      <w:r w:rsidR="009F765C">
        <w:t xml:space="preserve">the </w:t>
      </w:r>
      <w:r w:rsidR="00D4135A">
        <w:t xml:space="preserve">SARP </w:t>
      </w:r>
      <w:r>
        <w:t xml:space="preserve">shall transmit its recommendation for approval to the </w:t>
      </w:r>
      <w:r w:rsidR="00D40913">
        <w:t>Senior Radiation Safety Officer (SRSO)</w:t>
      </w:r>
      <w:r>
        <w:t>.</w:t>
      </w:r>
    </w:p>
    <w:p w14:paraId="62F71E90" w14:textId="77777777" w:rsidR="00BC46BA" w:rsidRDefault="00BC46BA" w:rsidP="00E4118D">
      <w:pPr>
        <w:ind w:hanging="720"/>
        <w:jc w:val="both"/>
      </w:pPr>
    </w:p>
    <w:p w14:paraId="3D5C55F3" w14:textId="77777777" w:rsidR="00BC46BA" w:rsidRDefault="00BC46BA" w:rsidP="00E4118D">
      <w:pPr>
        <w:pStyle w:val="ListParagraph"/>
        <w:numPr>
          <w:ilvl w:val="0"/>
          <w:numId w:val="17"/>
        </w:numPr>
        <w:ind w:hanging="720"/>
        <w:jc w:val="both"/>
      </w:pPr>
      <w:r>
        <w:t>The SRSO shall:</w:t>
      </w:r>
    </w:p>
    <w:p w14:paraId="1A5A2ABD" w14:textId="77777777" w:rsidR="00BC46BA" w:rsidRDefault="00BC46BA" w:rsidP="00E4118D">
      <w:pPr>
        <w:ind w:hanging="720"/>
        <w:jc w:val="both"/>
      </w:pPr>
    </w:p>
    <w:p w14:paraId="102657E0" w14:textId="32CDDECE" w:rsidR="00BC46BA" w:rsidRDefault="00BC46BA" w:rsidP="006A49F4">
      <w:pPr>
        <w:pStyle w:val="ListParagraph"/>
        <w:numPr>
          <w:ilvl w:val="0"/>
          <w:numId w:val="18"/>
        </w:numPr>
        <w:ind w:left="1440" w:hanging="720"/>
        <w:jc w:val="both"/>
      </w:pPr>
      <w:r>
        <w:t xml:space="preserve">Review the </w:t>
      </w:r>
      <w:r w:rsidR="002A7FFB">
        <w:t xml:space="preserve">report of </w:t>
      </w:r>
      <w:r w:rsidR="005415CD">
        <w:t xml:space="preserve">SARP </w:t>
      </w:r>
      <w:r w:rsidR="002A7FFB">
        <w:t xml:space="preserve">and the </w:t>
      </w:r>
      <w:r>
        <w:t xml:space="preserve">shielding assessment and approve </w:t>
      </w:r>
      <w:r w:rsidR="00A14E2E">
        <w:t xml:space="preserve">of </w:t>
      </w:r>
      <w:r w:rsidR="002A7FFB">
        <w:t xml:space="preserve">the shielding assessment </w:t>
      </w:r>
      <w:r>
        <w:t>if it i</w:t>
      </w:r>
      <w:r w:rsidR="00A14E2E">
        <w:t>s</w:t>
      </w:r>
      <w:r>
        <w:t xml:space="preserve"> appropriate.</w:t>
      </w:r>
    </w:p>
    <w:p w14:paraId="2A05DD3B" w14:textId="77777777" w:rsidR="00461442" w:rsidRDefault="00461442" w:rsidP="00461442">
      <w:pPr>
        <w:pStyle w:val="ListParagraph"/>
        <w:ind w:left="1440"/>
        <w:jc w:val="both"/>
      </w:pPr>
    </w:p>
    <w:p w14:paraId="3E04E465" w14:textId="2885146D" w:rsidR="00BC46BA" w:rsidRDefault="002179FD" w:rsidP="006A49F4">
      <w:pPr>
        <w:pStyle w:val="ListParagraph"/>
        <w:numPr>
          <w:ilvl w:val="0"/>
          <w:numId w:val="18"/>
        </w:numPr>
        <w:ind w:left="1440" w:hanging="720"/>
        <w:jc w:val="both"/>
      </w:pPr>
      <w:r>
        <w:t xml:space="preserve">Notify </w:t>
      </w:r>
      <w:r w:rsidR="00D4135A">
        <w:t xml:space="preserve">SARP </w:t>
      </w:r>
      <w:r w:rsidR="00BC46BA">
        <w:t xml:space="preserve">and </w:t>
      </w:r>
      <w:r>
        <w:t>the originating</w:t>
      </w:r>
      <w:r w:rsidR="00BC46BA">
        <w:t xml:space="preserve"> Division/Section Head</w:t>
      </w:r>
      <w:r>
        <w:t>(s)</w:t>
      </w:r>
      <w:r w:rsidR="00720085">
        <w:t xml:space="preserve"> and assigned RSO </w:t>
      </w:r>
      <w:r w:rsidR="00BC46BA">
        <w:t>in writing of this approval or of reason for disapproval.</w:t>
      </w:r>
    </w:p>
    <w:p w14:paraId="5CBAC6DD" w14:textId="77777777" w:rsidR="00D40913" w:rsidRDefault="00D40913" w:rsidP="00D40913">
      <w:pPr>
        <w:pStyle w:val="ListParagraph"/>
      </w:pPr>
    </w:p>
    <w:p w14:paraId="046BF3C4" w14:textId="3EB3B997" w:rsidR="00BC46BA" w:rsidRDefault="00D765F2" w:rsidP="006A49F4">
      <w:pPr>
        <w:pStyle w:val="ListParagraph"/>
        <w:numPr>
          <w:ilvl w:val="0"/>
          <w:numId w:val="18"/>
        </w:numPr>
        <w:ind w:left="1440" w:hanging="720"/>
        <w:jc w:val="both"/>
      </w:pPr>
      <w:r>
        <w:t>With the help of the RPS department, m</w:t>
      </w:r>
      <w:r w:rsidR="00BC46BA">
        <w:t>aintain records of such reviews including file copies of the “as-built” shielding documents including drawings and the shielding assessment documentation and review protocols.</w:t>
      </w:r>
    </w:p>
    <w:p w14:paraId="3C7353C3" w14:textId="77777777" w:rsidR="00BC46BA" w:rsidRDefault="00BC46BA" w:rsidP="00E4118D">
      <w:pPr>
        <w:pStyle w:val="ListParagraph"/>
        <w:ind w:left="0" w:hanging="720"/>
      </w:pPr>
    </w:p>
    <w:p w14:paraId="2F61241A" w14:textId="77777777" w:rsidR="00BC46BA" w:rsidRDefault="00BC46BA" w:rsidP="00E4118D">
      <w:pPr>
        <w:pStyle w:val="ListParagraph"/>
        <w:numPr>
          <w:ilvl w:val="0"/>
          <w:numId w:val="17"/>
        </w:numPr>
        <w:ind w:hanging="720"/>
        <w:jc w:val="both"/>
      </w:pPr>
      <w:r>
        <w:t>All approvals of these documents may be done in electronic format. The electronic approvals shall clearly indicate the version being approved by document number, date, etc.</w:t>
      </w:r>
    </w:p>
    <w:p w14:paraId="34B3119A" w14:textId="77777777" w:rsidR="00CF44DF" w:rsidRPr="00256718" w:rsidRDefault="00CF44DF" w:rsidP="00BC379B">
      <w:pPr>
        <w:pStyle w:val="ListParagraph"/>
        <w:ind w:left="-1170"/>
        <w:jc w:val="both"/>
        <w:rPr>
          <w:b/>
        </w:rPr>
      </w:pPr>
    </w:p>
    <w:p w14:paraId="54B71D7B" w14:textId="77777777" w:rsidR="009243D8" w:rsidRDefault="009243D8" w:rsidP="00211AE6">
      <w:pPr>
        <w:pStyle w:val="Heading1"/>
      </w:pPr>
      <w:bookmarkStart w:id="17" w:name="_Toc301440387"/>
      <w:bookmarkStart w:id="18" w:name="_Toc31185438"/>
      <w:r>
        <w:t>815 Content of Shielding Assessments</w:t>
      </w:r>
      <w:bookmarkEnd w:id="17"/>
      <w:bookmarkEnd w:id="18"/>
    </w:p>
    <w:p w14:paraId="0FF2DE0A" w14:textId="77777777" w:rsidR="009243D8" w:rsidRDefault="009243D8" w:rsidP="009243D8">
      <w:pPr>
        <w:jc w:val="both"/>
        <w:rPr>
          <w:b/>
        </w:rPr>
      </w:pPr>
    </w:p>
    <w:p w14:paraId="733CDDC0" w14:textId="7846EA7B" w:rsidR="009243D8" w:rsidRPr="006A49F4" w:rsidRDefault="009243D8" w:rsidP="00375182">
      <w:pPr>
        <w:pStyle w:val="ListParagraph"/>
        <w:numPr>
          <w:ilvl w:val="0"/>
          <w:numId w:val="20"/>
        </w:numPr>
        <w:ind w:hanging="720"/>
        <w:jc w:val="both"/>
      </w:pPr>
      <w:r w:rsidRPr="006A49F4">
        <w:t xml:space="preserve">New or </w:t>
      </w:r>
      <w:r w:rsidR="00471FB0">
        <w:t xml:space="preserve">significantly </w:t>
      </w:r>
      <w:r w:rsidRPr="006A49F4">
        <w:t>modified accelerator/beamline</w:t>
      </w:r>
      <w:r w:rsidR="00A55F09">
        <w:t>/radiological</w:t>
      </w:r>
      <w:r w:rsidRPr="006A49F4">
        <w:t xml:space="preserve"> facilities </w:t>
      </w:r>
      <w:r w:rsidR="00405646">
        <w:t xml:space="preserve">that do not constitute Radiation Generating Devices in accordance with FRCM Article 362 and addressed by provisions of that Article </w:t>
      </w:r>
      <w:r w:rsidRPr="006A49F4">
        <w:t>shall have a shielding assessment performed, as specified in Article 81</w:t>
      </w:r>
      <w:r w:rsidR="006A49F4" w:rsidRPr="006A49F4">
        <w:t xml:space="preserve">3. </w:t>
      </w:r>
      <w:r w:rsidR="003E078D" w:rsidRPr="006C00A1">
        <w:t xml:space="preserve">At the discretion of the Radiological Control Organization shielding assessments for facilities not covered by </w:t>
      </w:r>
      <w:hyperlink r:id="rId16" w:history="1">
        <w:r w:rsidR="00CF1ACC">
          <w:rPr>
            <w:rStyle w:val="Hyperlink"/>
          </w:rPr>
          <w:t>FESHM Chapter 2010</w:t>
        </w:r>
      </w:hyperlink>
      <w:r w:rsidR="00CF1ACC">
        <w:t xml:space="preserve"> </w:t>
      </w:r>
      <w:r w:rsidR="003E078D" w:rsidRPr="006C00A1">
        <w:t>or FRCM Article 362 can be required.</w:t>
      </w:r>
      <w:r w:rsidR="006A49F4" w:rsidRPr="006A49F4">
        <w:t xml:space="preserve"> </w:t>
      </w:r>
      <w:r w:rsidRPr="00937848">
        <w:t>Many reference documents have been generated over the years at Fermilab and elsewhere that describe accelerator shieldi</w:t>
      </w:r>
      <w:r w:rsidR="00D77398" w:rsidRPr="00937848">
        <w:t xml:space="preserve">ng design and </w:t>
      </w:r>
      <w:r w:rsidR="00944022" w:rsidRPr="00937848">
        <w:t>radio activation</w:t>
      </w:r>
      <w:r w:rsidR="00D77398" w:rsidRPr="00937848">
        <w:t xml:space="preserve">. </w:t>
      </w:r>
    </w:p>
    <w:p w14:paraId="011410D4" w14:textId="77777777" w:rsidR="009243D8" w:rsidRPr="006A49F4" w:rsidRDefault="009243D8" w:rsidP="006A49F4">
      <w:pPr>
        <w:ind w:left="-720" w:hanging="720"/>
        <w:jc w:val="both"/>
        <w:rPr>
          <w:b/>
        </w:rPr>
      </w:pPr>
    </w:p>
    <w:p w14:paraId="79D65513" w14:textId="77777777" w:rsidR="00211AE6" w:rsidRDefault="00BC46BA" w:rsidP="00211AE6">
      <w:pPr>
        <w:pStyle w:val="ListParagraph"/>
        <w:numPr>
          <w:ilvl w:val="0"/>
          <w:numId w:val="20"/>
        </w:numPr>
        <w:ind w:hanging="720"/>
        <w:jc w:val="both"/>
      </w:pPr>
      <w:r>
        <w:t>The shielding assessment shall be a written description that includes calculations and measurements of possible radiation exposures, radiation shielding, beam optics a</w:t>
      </w:r>
      <w:r w:rsidR="00D77398">
        <w:t xml:space="preserve">nd other relevant information. </w:t>
      </w:r>
      <w:r>
        <w:t>It shall address soil and groundwater contamination, airborne radionuclide releases and any associated required monitoring activities. It may incorporate the analysis of non-radiological effects connected with the assessment of ionizing radiation hazards. A prominent example is structural analysis of heat-loading driven by energy deposition of energetic par</w:t>
      </w:r>
      <w:r w:rsidR="00761A45">
        <w:t>ticles also connected with prom</w:t>
      </w:r>
      <w:r>
        <w:t>pt radiation dose rates and/or residual radioactivity production.</w:t>
      </w:r>
    </w:p>
    <w:p w14:paraId="2E8AC5B9" w14:textId="77777777" w:rsidR="00211AE6" w:rsidRDefault="00211AE6" w:rsidP="00211AE6">
      <w:pPr>
        <w:pStyle w:val="ListParagraph"/>
      </w:pPr>
    </w:p>
    <w:p w14:paraId="1E1938B9" w14:textId="25FD88A2" w:rsidR="009243D8" w:rsidRDefault="009243D8" w:rsidP="006A49F4">
      <w:pPr>
        <w:pStyle w:val="ListParagraph"/>
        <w:numPr>
          <w:ilvl w:val="0"/>
          <w:numId w:val="20"/>
        </w:numPr>
        <w:ind w:hanging="720"/>
        <w:jc w:val="both"/>
      </w:pPr>
      <w:r w:rsidRPr="006A49F4">
        <w:t xml:space="preserve">Results of shielding assessments conducted using methodologies established prior to the amendments to 10 CFR 835 issued in June 2007 remain valid in view of the analysis of </w:t>
      </w:r>
      <w:r w:rsidR="008F117A">
        <w:t xml:space="preserve">Ref. </w:t>
      </w:r>
      <w:r w:rsidR="00562BE0">
        <w:t xml:space="preserve">2 in </w:t>
      </w:r>
      <w:r w:rsidR="002D1A28">
        <w:t>Appendix 1 of</w:t>
      </w:r>
      <w:r w:rsidR="00562BE0">
        <w:t xml:space="preserve"> this chapter</w:t>
      </w:r>
      <w:r w:rsidRPr="006A49F4">
        <w:t>. Shielding assessments conducted after January 1, 2010 shall employ updated methodologies based upon ICRP Publication 103</w:t>
      </w:r>
      <w:r w:rsidR="006A49F4">
        <w:t xml:space="preserve"> (see Article 812)</w:t>
      </w:r>
      <w:r w:rsidRPr="006A49F4">
        <w:t>.</w:t>
      </w:r>
    </w:p>
    <w:p w14:paraId="4A84166E" w14:textId="77777777" w:rsidR="002D1A28" w:rsidRDefault="002D1A28" w:rsidP="0080357A">
      <w:pPr>
        <w:pStyle w:val="ListParagraph"/>
        <w:jc w:val="both"/>
      </w:pPr>
    </w:p>
    <w:p w14:paraId="6B647D44" w14:textId="6C62F64D" w:rsidR="002D1A28" w:rsidRPr="00211AE6" w:rsidRDefault="002D1A28" w:rsidP="002D1A28">
      <w:pPr>
        <w:pStyle w:val="ListParagraph"/>
        <w:numPr>
          <w:ilvl w:val="0"/>
          <w:numId w:val="20"/>
        </w:numPr>
        <w:ind w:hanging="720"/>
        <w:jc w:val="both"/>
      </w:pPr>
      <w:r>
        <w:t>Appendix 2 provides</w:t>
      </w:r>
      <w:r w:rsidRPr="00211AE6">
        <w:t xml:space="preserve"> an established protocol for conducting such shielding assessments</w:t>
      </w:r>
      <w:r>
        <w:t xml:space="preserve"> that should be used as a guidance document, w</w:t>
      </w:r>
      <w:r w:rsidR="002520AF">
        <w:t>h</w:t>
      </w:r>
      <w:r>
        <w:t xml:space="preserve">ere practicable, for conducting </w:t>
      </w:r>
      <w:r w:rsidRPr="00211AE6">
        <w:rPr>
          <w:rFonts w:ascii="Times New Roman" w:hAnsi="Times New Roman"/>
          <w:szCs w:val="24"/>
        </w:rPr>
        <w:t>shielding assessments.</w:t>
      </w:r>
    </w:p>
    <w:p w14:paraId="1695A568" w14:textId="77777777" w:rsidR="002D1A28" w:rsidRPr="006A49F4" w:rsidRDefault="002D1A28" w:rsidP="0080357A">
      <w:pPr>
        <w:jc w:val="both"/>
      </w:pPr>
    </w:p>
    <w:p w14:paraId="25B777D9" w14:textId="77777777" w:rsidR="00FD7D1A" w:rsidRDefault="006A49F4" w:rsidP="006A49F4">
      <w:pPr>
        <w:pStyle w:val="ListParagraph"/>
        <w:numPr>
          <w:ilvl w:val="0"/>
          <w:numId w:val="20"/>
        </w:numPr>
        <w:ind w:hanging="720"/>
        <w:jc w:val="both"/>
      </w:pPr>
      <w:r w:rsidRPr="006A49F4">
        <w:lastRenderedPageBreak/>
        <w:t>A</w:t>
      </w:r>
      <w:r w:rsidR="009243D8" w:rsidRPr="006A49F4">
        <w:t xml:space="preserve"> modification to shielding which requires a </w:t>
      </w:r>
      <w:r w:rsidR="00FD7D1A">
        <w:t xml:space="preserve">new or revised </w:t>
      </w:r>
      <w:r w:rsidR="009243D8" w:rsidRPr="006A49F4">
        <w:t>shielding assessment under Article 81</w:t>
      </w:r>
      <w:r w:rsidRPr="006A49F4">
        <w:t>3</w:t>
      </w:r>
      <w:r w:rsidR="009243D8" w:rsidRPr="006A49F4">
        <w:t xml:space="preserve"> is one that</w:t>
      </w:r>
      <w:r w:rsidR="00FD7D1A">
        <w:t>:</w:t>
      </w:r>
    </w:p>
    <w:p w14:paraId="4F5437A2" w14:textId="77777777" w:rsidR="00FD7D1A" w:rsidRDefault="00FD7D1A" w:rsidP="006557C2">
      <w:pPr>
        <w:pStyle w:val="ListParagraph"/>
      </w:pPr>
    </w:p>
    <w:p w14:paraId="403B7CE8" w14:textId="10EDCB96" w:rsidR="00FD7D1A" w:rsidRDefault="00FD7D1A" w:rsidP="006557C2">
      <w:pPr>
        <w:pStyle w:val="ListParagraph"/>
        <w:numPr>
          <w:ilvl w:val="1"/>
          <w:numId w:val="20"/>
        </w:numPr>
        <w:jc w:val="both"/>
      </w:pPr>
      <w:r>
        <w:t xml:space="preserve">results in a significant change to operating conditions, </w:t>
      </w:r>
    </w:p>
    <w:p w14:paraId="08BF8E1E" w14:textId="77777777" w:rsidR="00555C76" w:rsidRDefault="00555C76" w:rsidP="00555C76">
      <w:pPr>
        <w:pStyle w:val="ListParagraph"/>
        <w:ind w:left="1440"/>
        <w:jc w:val="both"/>
      </w:pPr>
    </w:p>
    <w:p w14:paraId="63925EF3" w14:textId="77777777" w:rsidR="00FD7D1A" w:rsidRDefault="00FD7D1A" w:rsidP="006557C2">
      <w:pPr>
        <w:pStyle w:val="ListParagraph"/>
        <w:numPr>
          <w:ilvl w:val="1"/>
          <w:numId w:val="20"/>
        </w:numPr>
        <w:jc w:val="both"/>
      </w:pPr>
      <w:r>
        <w:t xml:space="preserve"> affects the approved Accelerator Safety Envelope, or</w:t>
      </w:r>
    </w:p>
    <w:p w14:paraId="37BBDBB5" w14:textId="77777777" w:rsidR="00555C76" w:rsidRDefault="00555C76" w:rsidP="00555C76">
      <w:pPr>
        <w:jc w:val="both"/>
      </w:pPr>
    </w:p>
    <w:p w14:paraId="0D4A5123" w14:textId="6411104D" w:rsidR="00FD7D1A" w:rsidRDefault="00FD7D1A" w:rsidP="006557C2">
      <w:pPr>
        <w:pStyle w:val="ListParagraph"/>
        <w:numPr>
          <w:ilvl w:val="1"/>
          <w:numId w:val="20"/>
        </w:numPr>
        <w:jc w:val="both"/>
      </w:pPr>
      <w:r>
        <w:t xml:space="preserve">Permanently changes the level of personnel protection as </w:t>
      </w:r>
      <w:r w:rsidR="00643919">
        <w:t>defined</w:t>
      </w:r>
      <w:r>
        <w:t xml:space="preserve"> in Article 236. </w:t>
      </w:r>
    </w:p>
    <w:p w14:paraId="6FAEA823" w14:textId="77777777" w:rsidR="006E3A2B" w:rsidRDefault="006E3A2B" w:rsidP="006C00A1">
      <w:pPr>
        <w:pStyle w:val="ListParagraph"/>
      </w:pPr>
    </w:p>
    <w:p w14:paraId="7DAB35E8" w14:textId="047D9331" w:rsidR="006E3A2B" w:rsidRDefault="006E3A2B" w:rsidP="006557C2">
      <w:pPr>
        <w:pStyle w:val="ListParagraph"/>
        <w:numPr>
          <w:ilvl w:val="1"/>
          <w:numId w:val="20"/>
        </w:numPr>
        <w:jc w:val="both"/>
      </w:pPr>
      <w:r>
        <w:t>Affects the protection scheme of the existing shielding assessment.</w:t>
      </w:r>
    </w:p>
    <w:p w14:paraId="6ACCB66B" w14:textId="77777777" w:rsidR="00FD7D1A" w:rsidRDefault="00FD7D1A" w:rsidP="006557C2">
      <w:pPr>
        <w:pStyle w:val="ListParagraph"/>
        <w:ind w:left="1440"/>
        <w:jc w:val="both"/>
      </w:pPr>
    </w:p>
    <w:p w14:paraId="007F0533" w14:textId="10C6945E" w:rsidR="009243D8" w:rsidRPr="006A49F4" w:rsidRDefault="00FD7D1A" w:rsidP="006557C2">
      <w:pPr>
        <w:ind w:left="720"/>
        <w:jc w:val="both"/>
      </w:pPr>
      <w:r>
        <w:t xml:space="preserve">Changes to shielding that do not require a new or revised shielding assessment under these criteria </w:t>
      </w:r>
      <w:r w:rsidR="00F169B3">
        <w:t xml:space="preserve">shall </w:t>
      </w:r>
      <w:r>
        <w:t xml:space="preserve">be documented in a shielding assessment addendum, also called a “post assessment document”, and formally approved </w:t>
      </w:r>
      <w:r w:rsidR="00937848" w:rsidRPr="006C00A1">
        <w:t>using the US</w:t>
      </w:r>
      <w:r w:rsidR="001D0225">
        <w:t xml:space="preserve">ID process of </w:t>
      </w:r>
      <w:hyperlink r:id="rId17" w:history="1">
        <w:r w:rsidR="001D0225">
          <w:rPr>
            <w:rStyle w:val="Hyperlink"/>
          </w:rPr>
          <w:t>FESHM Chapter 2010</w:t>
        </w:r>
      </w:hyperlink>
      <w:r w:rsidR="001D0225">
        <w:t xml:space="preserve"> </w:t>
      </w:r>
      <w:r w:rsidR="004D53BE" w:rsidRPr="008378AF">
        <w:t>by the SRSO</w:t>
      </w:r>
      <w:r w:rsidR="001D0225">
        <w:t>.</w:t>
      </w:r>
    </w:p>
    <w:p w14:paraId="23F7264F" w14:textId="77777777" w:rsidR="006A49F4" w:rsidRPr="00555C76" w:rsidRDefault="006A49F4" w:rsidP="006A49F4">
      <w:pPr>
        <w:pStyle w:val="ListParagraph"/>
        <w:ind w:left="-720" w:hanging="720"/>
        <w:jc w:val="both"/>
      </w:pPr>
    </w:p>
    <w:p w14:paraId="5B8561B1" w14:textId="1E4EAB51" w:rsidR="006A49F4" w:rsidRDefault="006A49F4" w:rsidP="006A49F4">
      <w:pPr>
        <w:pStyle w:val="ListParagraph"/>
        <w:numPr>
          <w:ilvl w:val="0"/>
          <w:numId w:val="20"/>
        </w:numPr>
        <w:ind w:hanging="720"/>
        <w:jc w:val="both"/>
      </w:pPr>
      <w:r>
        <w:t>The shielding assessment must document the circumstances and controls that serve to limit the intensity of the maximu</w:t>
      </w:r>
      <w:r w:rsidR="00FD5D28">
        <w:t>m beam loss and/or its duration and the resulting dose.</w:t>
      </w:r>
      <w:r>
        <w:t xml:space="preserve"> This specifically includes a description of required portable or movable shielding</w:t>
      </w:r>
      <w:r w:rsidR="00E3730D">
        <w:t>,</w:t>
      </w:r>
      <w:r>
        <w:t xml:space="preserve"> beamline components</w:t>
      </w:r>
      <w:r w:rsidR="00E3730D">
        <w:t>, and interlocked detectors</w:t>
      </w:r>
      <w:r>
        <w:t>.</w:t>
      </w:r>
    </w:p>
    <w:p w14:paraId="2701A319" w14:textId="77777777" w:rsidR="006A49F4" w:rsidRDefault="006A49F4" w:rsidP="006A49F4">
      <w:pPr>
        <w:ind w:left="-720" w:hanging="720"/>
        <w:jc w:val="both"/>
      </w:pPr>
    </w:p>
    <w:p w14:paraId="04DAC583" w14:textId="77777777" w:rsidR="006A49F4" w:rsidRDefault="006A49F4" w:rsidP="006A49F4">
      <w:pPr>
        <w:pStyle w:val="ListParagraph"/>
        <w:numPr>
          <w:ilvl w:val="0"/>
          <w:numId w:val="20"/>
        </w:numPr>
        <w:ind w:hanging="720"/>
        <w:jc w:val="both"/>
      </w:pPr>
      <w:r>
        <w:t>The final assessment shall establish the occupancy status and radiological posting requirements of areas with respect to the posting criteria of Articles 234 and 236.</w:t>
      </w:r>
    </w:p>
    <w:p w14:paraId="57D7D462" w14:textId="77777777" w:rsidR="006A49F4" w:rsidRDefault="006A49F4" w:rsidP="006A49F4">
      <w:pPr>
        <w:ind w:left="-720" w:hanging="720"/>
      </w:pPr>
    </w:p>
    <w:p w14:paraId="0DFB8A5F" w14:textId="77777777" w:rsidR="006A49F4" w:rsidRDefault="006A49F4" w:rsidP="006A49F4">
      <w:pPr>
        <w:pStyle w:val="ListParagraph"/>
        <w:numPr>
          <w:ilvl w:val="0"/>
          <w:numId w:val="20"/>
        </w:numPr>
        <w:ind w:hanging="720"/>
        <w:jc w:val="both"/>
      </w:pPr>
      <w:r>
        <w:t>Completed shielding assessments and their approvals are generally based upon design and construction drawings, inclusive of field modifications, and other related documents as they are developed during the construction process.</w:t>
      </w:r>
    </w:p>
    <w:p w14:paraId="05F81F07" w14:textId="77777777" w:rsidR="00A4170E" w:rsidRDefault="00A4170E" w:rsidP="00DF1B90">
      <w:pPr>
        <w:jc w:val="both"/>
      </w:pPr>
      <w:r>
        <w:br w:type="page"/>
      </w:r>
    </w:p>
    <w:p w14:paraId="1ACB1215" w14:textId="525BF047" w:rsidR="00A4170E" w:rsidRPr="006567D8" w:rsidRDefault="005D67F6" w:rsidP="00211AE6">
      <w:pPr>
        <w:pStyle w:val="Heading1"/>
      </w:pPr>
      <w:bookmarkStart w:id="19" w:name="_Toc462553276"/>
      <w:bookmarkStart w:id="20" w:name="_Toc39300986"/>
      <w:bookmarkStart w:id="21" w:name="_Toc301440388"/>
      <w:bookmarkStart w:id="22" w:name="_Toc31185439"/>
      <w:r>
        <w:lastRenderedPageBreak/>
        <w:t>APPENDIX</w:t>
      </w:r>
      <w:r w:rsidR="00211AE6">
        <w:t xml:space="preserve"> </w:t>
      </w:r>
      <w:r w:rsidR="000C59AE">
        <w:t>1</w:t>
      </w:r>
      <w:r w:rsidR="00211AE6">
        <w:t>-</w:t>
      </w:r>
      <w:bookmarkEnd w:id="19"/>
      <w:bookmarkEnd w:id="20"/>
      <w:r w:rsidR="00C02B66">
        <w:t xml:space="preserve"> </w:t>
      </w:r>
      <w:r w:rsidR="006567D8" w:rsidRPr="006567D8">
        <w:t>B</w:t>
      </w:r>
      <w:r w:rsidR="006567D8">
        <w:t xml:space="preserve">rief Synopsis of </w:t>
      </w:r>
      <w:r w:rsidR="006567D8" w:rsidRPr="006567D8">
        <w:t>Methodologies</w:t>
      </w:r>
      <w:r w:rsidR="006567D8">
        <w:t xml:space="preserve"> for Assessing the Shielding of Particle Accelerators</w:t>
      </w:r>
      <w:bookmarkEnd w:id="21"/>
      <w:bookmarkEnd w:id="22"/>
    </w:p>
    <w:p w14:paraId="7B816E7E" w14:textId="77777777" w:rsidR="006567D8" w:rsidRDefault="006567D8">
      <w:pPr>
        <w:pStyle w:val="Heading4"/>
      </w:pPr>
      <w:bookmarkStart w:id="23" w:name="_Toc39300987"/>
    </w:p>
    <w:bookmarkEnd w:id="23"/>
    <w:p w14:paraId="2F78C0D3" w14:textId="07331E31" w:rsidR="0023286B" w:rsidRDefault="00A4170E" w:rsidP="0023286B">
      <w:pPr>
        <w:jc w:val="both"/>
      </w:pPr>
      <w:r>
        <w:t>At high energy particle accelerators</w:t>
      </w:r>
      <w:r w:rsidR="008A236B">
        <w:t>,</w:t>
      </w:r>
      <w:r>
        <w:t xml:space="preserve"> the design of adequate shielding becomes complex with increasing beam en</w:t>
      </w:r>
      <w:r w:rsidR="0023286B">
        <w:t xml:space="preserve">ergy due to cascade phenomena. </w:t>
      </w:r>
      <w:r>
        <w:t>A high-energy hadron interacting with a nucleus typically creates a rather large number of short</w:t>
      </w:r>
      <w:r>
        <w:noBreakHyphen/>
        <w:t>lived particles (</w:t>
      </w:r>
      <w:proofErr w:type="spellStart"/>
      <w:r>
        <w:t>pions</w:t>
      </w:r>
      <w:proofErr w:type="spellEnd"/>
      <w:r>
        <w:t>, kaons, etc.), as well as protons, neutrons and nuclear fragments</w:t>
      </w:r>
      <w:r w:rsidR="0023286B">
        <w:t xml:space="preserve">. </w:t>
      </w:r>
      <w:r>
        <w:t xml:space="preserve">Another important result of high-energy hadron </w:t>
      </w:r>
      <w:r w:rsidR="00944022">
        <w:t>interaction</w:t>
      </w:r>
      <w:r>
        <w:t xml:space="preserve"> is the production of </w:t>
      </w:r>
      <w:r w:rsidR="00034E74">
        <w:t>muons, which</w:t>
      </w:r>
      <w:r>
        <w:t xml:space="preserve"> can represent a significant sh</w:t>
      </w:r>
      <w:r w:rsidR="0023286B">
        <w:t>ielding problem.</w:t>
      </w:r>
      <w:r>
        <w:t xml:space="preserve"> The interactions of the high energy beams can also produce significant </w:t>
      </w:r>
      <w:r w:rsidR="00944022">
        <w:t>radio activation</w:t>
      </w:r>
      <w:r>
        <w:t xml:space="preserve"> of the beamline components</w:t>
      </w:r>
      <w:r w:rsidR="00521E7D">
        <w:t xml:space="preserve">, the prompt radiation shield, </w:t>
      </w:r>
      <w:r>
        <w:t>and the surrounding environment.</w:t>
      </w:r>
      <w:r w:rsidR="0023286B">
        <w:t xml:space="preserve"> Even hadrons of relatively low energies can produce significant radiation fields and the possibility </w:t>
      </w:r>
      <w:r w:rsidR="009C5E94">
        <w:t xml:space="preserve">of </w:t>
      </w:r>
      <w:r w:rsidR="00944022">
        <w:t>radio activation</w:t>
      </w:r>
      <w:r w:rsidR="0023286B">
        <w:t xml:space="preserve"> of materials including environmental media. </w:t>
      </w:r>
    </w:p>
    <w:p w14:paraId="468A2B9B" w14:textId="77777777" w:rsidR="0023286B" w:rsidRDefault="0023286B" w:rsidP="0023286B">
      <w:pPr>
        <w:jc w:val="both"/>
      </w:pPr>
    </w:p>
    <w:p w14:paraId="3DB7A1B1" w14:textId="6F3C7C5C" w:rsidR="00521E7D" w:rsidRDefault="0023286B" w:rsidP="0023286B">
      <w:pPr>
        <w:jc w:val="both"/>
      </w:pPr>
      <w:r>
        <w:t xml:space="preserve">Likewise, electrons of all energies can produce significant prompt radiation fields. At the lowest energies these radiation fields are dominated by photons. Above kinetic energies </w:t>
      </w:r>
      <w:r w:rsidR="009C5E94">
        <w:t xml:space="preserve">of a few MeV </w:t>
      </w:r>
      <w:r>
        <w:t xml:space="preserve">neutrons can be produced </w:t>
      </w:r>
      <w:r w:rsidR="009C5E94">
        <w:t xml:space="preserve">by electron interactions with matter </w:t>
      </w:r>
      <w:r w:rsidR="00596A49">
        <w:t>while</w:t>
      </w:r>
      <w:r>
        <w:t xml:space="preserve"> above </w:t>
      </w:r>
      <w:r w:rsidR="00521E7D">
        <w:t>211</w:t>
      </w:r>
      <w:r>
        <w:t xml:space="preserve"> MeV muon radiation fields are possible</w:t>
      </w:r>
      <w:r w:rsidR="00521E7D">
        <w:t xml:space="preserve">. In </w:t>
      </w:r>
      <w:r w:rsidR="00670881">
        <w:t xml:space="preserve">the environs of </w:t>
      </w:r>
      <w:r w:rsidR="00521E7D">
        <w:t xml:space="preserve">electron radiation fields, residual </w:t>
      </w:r>
      <w:r w:rsidR="00670881">
        <w:t>radioactivity can be produced.</w:t>
      </w:r>
      <w:r w:rsidR="00521E7D">
        <w:t xml:space="preserve"> </w:t>
      </w:r>
      <w:r w:rsidR="00944022">
        <w:t>Thus,</w:t>
      </w:r>
      <w:r w:rsidR="00521E7D">
        <w:t xml:space="preserve"> the shielding of radiation fields associate</w:t>
      </w:r>
      <w:r w:rsidR="00670881">
        <w:t>d</w:t>
      </w:r>
      <w:r w:rsidR="00521E7D">
        <w:t xml:space="preserve"> with electron beams and even muon beams can also be important at Fermilab, especially as the program of the Laboratory continues to be developed and future facilities designed, constructed, and operated.</w:t>
      </w:r>
    </w:p>
    <w:p w14:paraId="48C2C89C" w14:textId="77777777" w:rsidR="00521E7D" w:rsidRDefault="00521E7D" w:rsidP="0023286B">
      <w:pPr>
        <w:jc w:val="both"/>
      </w:pPr>
    </w:p>
    <w:p w14:paraId="7396E32F" w14:textId="6BE2595C" w:rsidR="00670881" w:rsidRPr="008F117A" w:rsidRDefault="00521E7D" w:rsidP="0023286B">
      <w:pPr>
        <w:jc w:val="both"/>
      </w:pPr>
      <w:r>
        <w:t xml:space="preserve">Shielding design at Fermilab shall be performed in a </w:t>
      </w:r>
      <w:r w:rsidR="00944022">
        <w:t>high-quality</w:t>
      </w:r>
      <w:r>
        <w:t xml:space="preserve"> manner. A great deal of expertise on this topic is available in the </w:t>
      </w:r>
      <w:r w:rsidR="00596223">
        <w:t>ES&amp;H</w:t>
      </w:r>
      <w:r w:rsidR="006D28BE">
        <w:t xml:space="preserve"> Section</w:t>
      </w:r>
      <w:r w:rsidR="00D77398">
        <w:t xml:space="preserve"> and </w:t>
      </w:r>
      <w:r w:rsidR="00FD5D28">
        <w:t>the</w:t>
      </w:r>
      <w:r w:rsidR="00293BDE">
        <w:t xml:space="preserve"> SARP </w:t>
      </w:r>
      <w:r w:rsidR="00207768">
        <w:t>as well as individuals located elsewhere within the Laboratory</w:t>
      </w:r>
      <w:r w:rsidR="00670881">
        <w:t>.</w:t>
      </w:r>
      <w:r>
        <w:t xml:space="preserve"> A large body of documentation is available </w:t>
      </w:r>
      <w:r w:rsidR="00207768">
        <w:t xml:space="preserve">on these issues in publications, Fermilab </w:t>
      </w:r>
      <w:r>
        <w:t>repor</w:t>
      </w:r>
      <w:r w:rsidR="00670881">
        <w:t>ts (TMs, FNs, Confs, and Pubs.) and in published literature in accelerator science and health physics.</w:t>
      </w:r>
      <w:r>
        <w:t xml:space="preserve"> </w:t>
      </w:r>
    </w:p>
    <w:p w14:paraId="7E966C18" w14:textId="77777777" w:rsidR="00670881" w:rsidRDefault="00670881" w:rsidP="0023286B">
      <w:pPr>
        <w:jc w:val="both"/>
      </w:pPr>
    </w:p>
    <w:p w14:paraId="6BBDD5D1" w14:textId="75FF675C" w:rsidR="00A4170E" w:rsidRDefault="00207768" w:rsidP="0023286B">
      <w:pPr>
        <w:jc w:val="both"/>
      </w:pPr>
      <w:r>
        <w:t>Many practical problems are amenable to phenomenological approaches of longstanding use at Fermilab and elsewhere. Some of these approaches are clearly of benefit in job planning activities, etc. However, for new designs i</w:t>
      </w:r>
      <w:r w:rsidR="00A4170E">
        <w:t xml:space="preserve">n </w:t>
      </w:r>
      <w:r>
        <w:t xml:space="preserve">most </w:t>
      </w:r>
      <w:r w:rsidR="00A4170E">
        <w:t xml:space="preserve">circumstances it is far better to perform calculations specific to the details of the shielding configuration encountered than it is to excessively employ generalized calculations and “rules of thumb”. Thus, when practicable, modern shielding codes such as MARS should be used in accordance with </w:t>
      </w:r>
      <w:hyperlink r:id="rId18" w:history="1">
        <w:r w:rsidR="00A4170E" w:rsidRPr="00280FB0">
          <w:rPr>
            <w:rStyle w:val="Hyperlink"/>
          </w:rPr>
          <w:t xml:space="preserve">FESHM Chapter </w:t>
        </w:r>
        <w:r w:rsidR="00D77398">
          <w:rPr>
            <w:rStyle w:val="Hyperlink"/>
          </w:rPr>
          <w:t>2090</w:t>
        </w:r>
      </w:hyperlink>
      <w:r w:rsidR="00A4170E">
        <w:t xml:space="preserve">, </w:t>
      </w:r>
      <w:r w:rsidR="008A236B">
        <w:t>“</w:t>
      </w:r>
      <w:r w:rsidR="00A4170E">
        <w:t>Usage of Computer Calculations Affecting Environment, Safety, and Health</w:t>
      </w:r>
      <w:r w:rsidR="008A236B">
        <w:t>”</w:t>
      </w:r>
      <w:r w:rsidR="00A4170E">
        <w:t xml:space="preserve">. Proper use of shielding computer models at the design stage can prevent design errors that are typically costly and difficult to correct. </w:t>
      </w:r>
    </w:p>
    <w:p w14:paraId="6CC0B1ED" w14:textId="77777777" w:rsidR="00DB54EC" w:rsidRDefault="00DB54EC" w:rsidP="0023286B">
      <w:pPr>
        <w:jc w:val="both"/>
      </w:pPr>
    </w:p>
    <w:p w14:paraId="3776CCCE" w14:textId="003C0C11" w:rsidR="00DB54EC" w:rsidRDefault="00DB54EC" w:rsidP="0023286B">
      <w:pPr>
        <w:jc w:val="both"/>
      </w:pPr>
      <w:r>
        <w:t>The properties of shielding materials, especially their elemental composition and density is of high importance in the design of radiation shielding and should be carefully considered in the conduct of shielding calculations.</w:t>
      </w:r>
      <w:r w:rsidR="0098142A">
        <w:t xml:space="preserve"> For example, some backfill materials that are </w:t>
      </w:r>
      <w:proofErr w:type="gramStart"/>
      <w:r w:rsidR="0098142A">
        <w:t>similar to</w:t>
      </w:r>
      <w:proofErr w:type="gramEnd"/>
      <w:r w:rsidR="0098142A">
        <w:t xml:space="preserve"> concrete or soil in elemental composition may be of lower density than the “standard” values.</w:t>
      </w:r>
    </w:p>
    <w:p w14:paraId="46BA03B0" w14:textId="2ABED241" w:rsidR="008F117A" w:rsidRDefault="008F117A" w:rsidP="0023286B">
      <w:pPr>
        <w:jc w:val="both"/>
      </w:pPr>
    </w:p>
    <w:p w14:paraId="4F6289EF" w14:textId="5213C419" w:rsidR="008F117A" w:rsidRDefault="008F117A" w:rsidP="0023286B">
      <w:pPr>
        <w:jc w:val="both"/>
      </w:pPr>
      <w:r>
        <w:lastRenderedPageBreak/>
        <w:t xml:space="preserve">There is </w:t>
      </w:r>
      <w:proofErr w:type="gramStart"/>
      <w:r>
        <w:t>a large number of</w:t>
      </w:r>
      <w:proofErr w:type="gramEnd"/>
      <w:r>
        <w:t xml:space="preserve"> technical references that address the topics of this chapter. Two key ones are cited </w:t>
      </w:r>
      <w:proofErr w:type="gramStart"/>
      <w:r>
        <w:t>below</w:t>
      </w:r>
      <w:proofErr w:type="gramEnd"/>
      <w:r>
        <w:t xml:space="preserve"> and these contain numerous references to other related publications: </w:t>
      </w:r>
    </w:p>
    <w:p w14:paraId="365FC047" w14:textId="77777777" w:rsidR="00562BE0" w:rsidRDefault="00562BE0" w:rsidP="0023286B">
      <w:pPr>
        <w:jc w:val="both"/>
      </w:pPr>
    </w:p>
    <w:p w14:paraId="1FE86057" w14:textId="3A2E3750" w:rsidR="00E839FD" w:rsidRDefault="00562BE0" w:rsidP="007B466A">
      <w:pPr>
        <w:ind w:left="720" w:hanging="720"/>
        <w:jc w:val="both"/>
      </w:pPr>
      <w:r>
        <w:t>1.</w:t>
      </w:r>
      <w:r>
        <w:tab/>
      </w:r>
      <w:r w:rsidR="00670881">
        <w:t>Fermilab TM-1834, by J. D</w:t>
      </w:r>
      <w:r w:rsidR="00E839FD">
        <w:t xml:space="preserve">onald </w:t>
      </w:r>
      <w:r w:rsidR="00670881">
        <w:t>Cossairt</w:t>
      </w:r>
      <w:r w:rsidR="00E839FD">
        <w:t xml:space="preserve"> and Matthew Quinn</w:t>
      </w:r>
      <w:r w:rsidR="00A4170E">
        <w:t>, posted on the following website:</w:t>
      </w:r>
    </w:p>
    <w:p w14:paraId="7F5E89EB" w14:textId="43D5495A" w:rsidR="00E839FD" w:rsidRDefault="00A4170E" w:rsidP="0039157A">
      <w:pPr>
        <w:ind w:left="720"/>
        <w:jc w:val="both"/>
      </w:pPr>
      <w:r>
        <w:t xml:space="preserve"> </w:t>
      </w:r>
      <w:hyperlink r:id="rId19" w:history="1">
        <w:r w:rsidR="00E839FD">
          <w:rPr>
            <w:rStyle w:val="Hyperlink"/>
          </w:rPr>
          <w:t>https://esh-docdb.fnal.gov/cgi-bin/sso/ShowDocument?docid=717</w:t>
        </w:r>
      </w:hyperlink>
      <w:r w:rsidR="00E839FD">
        <w:t>. (Note: This lead</w:t>
      </w:r>
      <w:r w:rsidR="00F14835">
        <w:t>s</w:t>
      </w:r>
      <w:r w:rsidR="00E839FD">
        <w:t xml:space="preserve"> to the preprint </w:t>
      </w:r>
      <w:r w:rsidR="00944022">
        <w:t>of Accelerator</w:t>
      </w:r>
      <w:r w:rsidR="00E839FD">
        <w:rPr>
          <w:i/>
        </w:rPr>
        <w:t xml:space="preserve"> Radiation Physics for Personnel and Environmental Protection</w:t>
      </w:r>
      <w:r w:rsidR="00E839FD">
        <w:t xml:space="preserve"> (CRC Press, Boca Raton, FL, 2019)</w:t>
      </w:r>
    </w:p>
    <w:p w14:paraId="3EC7E0F4" w14:textId="77777777" w:rsidR="00562BE0" w:rsidRDefault="00562BE0" w:rsidP="007B466A">
      <w:pPr>
        <w:ind w:left="720" w:hanging="720"/>
        <w:jc w:val="both"/>
      </w:pPr>
    </w:p>
    <w:p w14:paraId="21C35E12" w14:textId="57D793A2" w:rsidR="00B70BB3" w:rsidRDefault="00562BE0" w:rsidP="007B466A">
      <w:pPr>
        <w:ind w:left="720" w:hanging="720"/>
        <w:jc w:val="both"/>
      </w:pPr>
      <w:r>
        <w:t xml:space="preserve">2. </w:t>
      </w:r>
      <w:r>
        <w:tab/>
        <w:t xml:space="preserve">Cossairt and Vaziri, “Neutron Dose per Fluence and Weighting Factors for Use at High Energy Accelerators”, Health Physics </w:t>
      </w:r>
      <w:r>
        <w:rPr>
          <w:u w:val="single"/>
        </w:rPr>
        <w:t>96</w:t>
      </w:r>
      <w:r>
        <w:t xml:space="preserve"> (2009)617-628.</w:t>
      </w:r>
    </w:p>
    <w:p w14:paraId="650029BE" w14:textId="77777777" w:rsidR="006D1698" w:rsidRDefault="006D1698">
      <w:r>
        <w:br w:type="page"/>
      </w:r>
    </w:p>
    <w:p w14:paraId="7A772DD1" w14:textId="77777777" w:rsidR="006D1698" w:rsidRPr="005F3A6A" w:rsidRDefault="006D1698" w:rsidP="006520E2">
      <w:pPr>
        <w:pStyle w:val="Heading1"/>
      </w:pPr>
      <w:bookmarkStart w:id="24" w:name="_Toc475620872"/>
      <w:bookmarkStart w:id="25" w:name="_Toc31185440"/>
      <w:r w:rsidRPr="005F3A6A">
        <w:lastRenderedPageBreak/>
        <w:t xml:space="preserve">APPENDIX 2 - </w:t>
      </w:r>
      <w:bookmarkEnd w:id="24"/>
      <w:r w:rsidRPr="005F3A6A">
        <w:t xml:space="preserve">Shielding </w:t>
      </w:r>
      <w:r w:rsidRPr="006520E2">
        <w:t>Assessment</w:t>
      </w:r>
      <w:r w:rsidRPr="005F3A6A">
        <w:t xml:space="preserve"> Outline</w:t>
      </w:r>
      <w:bookmarkEnd w:id="25"/>
    </w:p>
    <w:p w14:paraId="0907501C" w14:textId="77777777" w:rsidR="006D1698" w:rsidRDefault="006D1698" w:rsidP="006D1698">
      <w:pPr>
        <w:tabs>
          <w:tab w:val="left" w:pos="5040"/>
          <w:tab w:val="left" w:pos="6560"/>
          <w:tab w:val="left" w:pos="8640"/>
        </w:tabs>
        <w:jc w:val="center"/>
        <w:rPr>
          <w:rFonts w:ascii="Times New Roman" w:hAnsi="Times New Roman"/>
          <w:b/>
          <w:sz w:val="20"/>
        </w:rPr>
      </w:pPr>
    </w:p>
    <w:p w14:paraId="7898FA84" w14:textId="77777777" w:rsidR="006D1698" w:rsidRPr="00901941" w:rsidRDefault="006D1698" w:rsidP="006D1698">
      <w:pPr>
        <w:tabs>
          <w:tab w:val="left" w:pos="5040"/>
          <w:tab w:val="left" w:pos="6560"/>
          <w:tab w:val="left" w:pos="8640"/>
        </w:tabs>
        <w:jc w:val="center"/>
        <w:rPr>
          <w:rFonts w:ascii="Times New Roman" w:hAnsi="Times New Roman"/>
          <w:b/>
          <w:sz w:val="20"/>
        </w:rPr>
      </w:pPr>
      <w:r w:rsidRPr="00901941">
        <w:rPr>
          <w:rFonts w:ascii="Times New Roman" w:hAnsi="Times New Roman"/>
          <w:b/>
          <w:sz w:val="20"/>
        </w:rPr>
        <w:t>Revision History</w:t>
      </w:r>
    </w:p>
    <w:p w14:paraId="1FCF8A93" w14:textId="77777777" w:rsidR="006D1698" w:rsidRPr="00901941" w:rsidRDefault="006D1698" w:rsidP="006D1698">
      <w:pPr>
        <w:tabs>
          <w:tab w:val="left" w:pos="5040"/>
          <w:tab w:val="left" w:pos="6560"/>
          <w:tab w:val="left" w:pos="8640"/>
        </w:tabs>
        <w:jc w:val="center"/>
        <w:rPr>
          <w:rFonts w:ascii="Times New Roman" w:hAnsi="Times New Roman"/>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4"/>
        <w:gridCol w:w="5211"/>
        <w:gridCol w:w="1128"/>
      </w:tblGrid>
      <w:tr w:rsidR="006D1698" w:rsidRPr="00901941" w14:paraId="597A548C" w14:textId="77777777" w:rsidTr="00366724">
        <w:tc>
          <w:tcPr>
            <w:tcW w:w="1854" w:type="dxa"/>
            <w:shd w:val="clear" w:color="auto" w:fill="auto"/>
          </w:tcPr>
          <w:p w14:paraId="7803DD2D" w14:textId="77777777" w:rsidR="006D1698" w:rsidRPr="00901941" w:rsidRDefault="006D1698" w:rsidP="00366724">
            <w:pPr>
              <w:tabs>
                <w:tab w:val="left" w:pos="5040"/>
                <w:tab w:val="left" w:pos="6560"/>
                <w:tab w:val="left" w:pos="8640"/>
              </w:tabs>
              <w:jc w:val="center"/>
              <w:rPr>
                <w:rFonts w:ascii="Times New Roman" w:hAnsi="Times New Roman"/>
                <w:b/>
                <w:sz w:val="20"/>
              </w:rPr>
            </w:pPr>
            <w:r w:rsidRPr="00901941">
              <w:rPr>
                <w:rFonts w:ascii="Times New Roman" w:hAnsi="Times New Roman"/>
                <w:b/>
                <w:sz w:val="20"/>
              </w:rPr>
              <w:t>Author</w:t>
            </w:r>
          </w:p>
        </w:tc>
        <w:tc>
          <w:tcPr>
            <w:tcW w:w="5211" w:type="dxa"/>
            <w:shd w:val="clear" w:color="auto" w:fill="auto"/>
          </w:tcPr>
          <w:p w14:paraId="4748F4E5" w14:textId="77777777" w:rsidR="006D1698" w:rsidRPr="00901941" w:rsidRDefault="006D1698" w:rsidP="00366724">
            <w:pPr>
              <w:tabs>
                <w:tab w:val="left" w:pos="5040"/>
                <w:tab w:val="left" w:pos="6560"/>
                <w:tab w:val="left" w:pos="8640"/>
              </w:tabs>
              <w:jc w:val="center"/>
              <w:rPr>
                <w:rFonts w:ascii="Times New Roman" w:hAnsi="Times New Roman"/>
                <w:b/>
                <w:sz w:val="20"/>
              </w:rPr>
            </w:pPr>
            <w:r w:rsidRPr="00901941">
              <w:rPr>
                <w:rFonts w:ascii="Times New Roman" w:hAnsi="Times New Roman"/>
                <w:b/>
                <w:sz w:val="20"/>
              </w:rPr>
              <w:t>Description of Change</w:t>
            </w:r>
          </w:p>
        </w:tc>
        <w:tc>
          <w:tcPr>
            <w:tcW w:w="1128" w:type="dxa"/>
            <w:shd w:val="clear" w:color="auto" w:fill="auto"/>
          </w:tcPr>
          <w:p w14:paraId="54E7BE3F" w14:textId="77777777" w:rsidR="006D1698" w:rsidRPr="00901941" w:rsidRDefault="006D1698" w:rsidP="00366724">
            <w:pPr>
              <w:tabs>
                <w:tab w:val="left" w:pos="5040"/>
                <w:tab w:val="left" w:pos="6560"/>
                <w:tab w:val="left" w:pos="8640"/>
              </w:tabs>
              <w:jc w:val="center"/>
              <w:rPr>
                <w:rFonts w:ascii="Times New Roman" w:hAnsi="Times New Roman"/>
                <w:b/>
                <w:sz w:val="20"/>
              </w:rPr>
            </w:pPr>
            <w:r w:rsidRPr="00901941">
              <w:rPr>
                <w:rFonts w:ascii="Times New Roman" w:hAnsi="Times New Roman"/>
                <w:b/>
                <w:sz w:val="20"/>
              </w:rPr>
              <w:t>Revision Date</w:t>
            </w:r>
          </w:p>
        </w:tc>
      </w:tr>
      <w:tr w:rsidR="006D1698" w:rsidRPr="00901941" w14:paraId="19F5F45F" w14:textId="77777777" w:rsidTr="00366724">
        <w:tc>
          <w:tcPr>
            <w:tcW w:w="1854" w:type="dxa"/>
            <w:shd w:val="clear" w:color="auto" w:fill="auto"/>
          </w:tcPr>
          <w:p w14:paraId="450A5AA6" w14:textId="77777777" w:rsidR="006D1698" w:rsidRPr="00901941" w:rsidRDefault="006D1698" w:rsidP="00366724">
            <w:pPr>
              <w:tabs>
                <w:tab w:val="left" w:pos="5040"/>
                <w:tab w:val="left" w:pos="6560"/>
                <w:tab w:val="left" w:pos="8640"/>
              </w:tabs>
              <w:jc w:val="center"/>
              <w:rPr>
                <w:rFonts w:ascii="Times New Roman" w:hAnsi="Times New Roman"/>
                <w:sz w:val="20"/>
              </w:rPr>
            </w:pPr>
            <w:r>
              <w:rPr>
                <w:rFonts w:ascii="Times New Roman" w:hAnsi="Times New Roman"/>
                <w:sz w:val="20"/>
              </w:rPr>
              <w:t>W. Schmitt</w:t>
            </w:r>
          </w:p>
        </w:tc>
        <w:tc>
          <w:tcPr>
            <w:tcW w:w="5211" w:type="dxa"/>
            <w:shd w:val="clear" w:color="auto" w:fill="auto"/>
          </w:tcPr>
          <w:p w14:paraId="39445956" w14:textId="77777777" w:rsidR="006D1698" w:rsidRPr="00901941" w:rsidRDefault="006D1698" w:rsidP="00366724">
            <w:pPr>
              <w:tabs>
                <w:tab w:val="left" w:pos="5040"/>
                <w:tab w:val="left" w:pos="6560"/>
                <w:tab w:val="left" w:pos="8640"/>
              </w:tabs>
              <w:rPr>
                <w:rFonts w:ascii="Times New Roman" w:hAnsi="Times New Roman"/>
                <w:sz w:val="20"/>
              </w:rPr>
            </w:pPr>
            <w:r w:rsidRPr="00901941">
              <w:rPr>
                <w:rFonts w:ascii="Times New Roman" w:hAnsi="Times New Roman"/>
                <w:sz w:val="20"/>
              </w:rPr>
              <w:t xml:space="preserve">Reformatted </w:t>
            </w:r>
            <w:r>
              <w:rPr>
                <w:rFonts w:ascii="Times New Roman" w:hAnsi="Times New Roman"/>
                <w:sz w:val="20"/>
              </w:rPr>
              <w:t>as an Appendix to FRCM Chapter with additional details provided concerning responsibilities, approvals, and quantitative estimation methods</w:t>
            </w:r>
          </w:p>
        </w:tc>
        <w:tc>
          <w:tcPr>
            <w:tcW w:w="1128" w:type="dxa"/>
            <w:shd w:val="clear" w:color="auto" w:fill="auto"/>
          </w:tcPr>
          <w:p w14:paraId="0E241994" w14:textId="77777777" w:rsidR="006D1698" w:rsidRPr="00901941" w:rsidRDefault="006D1698" w:rsidP="00366724">
            <w:pPr>
              <w:tabs>
                <w:tab w:val="left" w:pos="5040"/>
                <w:tab w:val="left" w:pos="6560"/>
                <w:tab w:val="left" w:pos="8640"/>
              </w:tabs>
              <w:jc w:val="center"/>
              <w:rPr>
                <w:rFonts w:ascii="Times New Roman" w:hAnsi="Times New Roman"/>
                <w:sz w:val="20"/>
              </w:rPr>
            </w:pPr>
            <w:r>
              <w:rPr>
                <w:rFonts w:ascii="Times New Roman" w:hAnsi="Times New Roman"/>
                <w:sz w:val="20"/>
              </w:rPr>
              <w:t>12</w:t>
            </w:r>
            <w:r w:rsidRPr="00901941">
              <w:rPr>
                <w:rFonts w:ascii="Times New Roman" w:hAnsi="Times New Roman"/>
                <w:sz w:val="20"/>
              </w:rPr>
              <w:t>/</w:t>
            </w:r>
            <w:r>
              <w:rPr>
                <w:rFonts w:ascii="Times New Roman" w:hAnsi="Times New Roman"/>
                <w:sz w:val="20"/>
              </w:rPr>
              <w:t>05</w:t>
            </w:r>
            <w:r w:rsidRPr="00901941">
              <w:rPr>
                <w:rFonts w:ascii="Times New Roman" w:hAnsi="Times New Roman"/>
                <w:sz w:val="20"/>
              </w:rPr>
              <w:t>/2017</w:t>
            </w:r>
          </w:p>
        </w:tc>
      </w:tr>
      <w:tr w:rsidR="006D1698" w:rsidRPr="00901941" w14:paraId="5940412A" w14:textId="77777777" w:rsidTr="00366724">
        <w:tc>
          <w:tcPr>
            <w:tcW w:w="1854" w:type="dxa"/>
            <w:shd w:val="clear" w:color="auto" w:fill="auto"/>
          </w:tcPr>
          <w:p w14:paraId="0BAC9D6F" w14:textId="77777777" w:rsidR="006D1698" w:rsidRPr="00901941" w:rsidRDefault="006D1698" w:rsidP="00366724">
            <w:pPr>
              <w:tabs>
                <w:tab w:val="left" w:pos="5040"/>
                <w:tab w:val="left" w:pos="6560"/>
                <w:tab w:val="left" w:pos="8640"/>
              </w:tabs>
              <w:jc w:val="center"/>
              <w:rPr>
                <w:rFonts w:ascii="Times New Roman" w:hAnsi="Times New Roman"/>
                <w:sz w:val="20"/>
              </w:rPr>
            </w:pPr>
            <w:r>
              <w:rPr>
                <w:rFonts w:ascii="Times New Roman" w:hAnsi="Times New Roman"/>
                <w:sz w:val="20"/>
              </w:rPr>
              <w:t>W. Schmitt</w:t>
            </w:r>
          </w:p>
        </w:tc>
        <w:tc>
          <w:tcPr>
            <w:tcW w:w="5211" w:type="dxa"/>
            <w:shd w:val="clear" w:color="auto" w:fill="auto"/>
          </w:tcPr>
          <w:p w14:paraId="78205249" w14:textId="77777777" w:rsidR="006D1698" w:rsidRPr="00512BA9" w:rsidRDefault="006D1698" w:rsidP="00366724">
            <w:pPr>
              <w:tabs>
                <w:tab w:val="left" w:pos="5040"/>
                <w:tab w:val="left" w:pos="6560"/>
                <w:tab w:val="left" w:pos="8640"/>
              </w:tabs>
              <w:rPr>
                <w:rFonts w:ascii="Times New Roman" w:hAnsi="Times New Roman"/>
                <w:sz w:val="20"/>
              </w:rPr>
            </w:pPr>
            <w:r w:rsidRPr="00BD6058">
              <w:rPr>
                <w:rStyle w:val="CommentReference"/>
                <w:rFonts w:ascii="Times New Roman" w:hAnsi="Times New Roman"/>
                <w:sz w:val="20"/>
              </w:rPr>
              <w:t>Accelerator Division Procedure ADSP-02-0110 – Outline for Performing Shielding Assessments</w:t>
            </w:r>
          </w:p>
        </w:tc>
        <w:tc>
          <w:tcPr>
            <w:tcW w:w="1128" w:type="dxa"/>
            <w:shd w:val="clear" w:color="auto" w:fill="auto"/>
          </w:tcPr>
          <w:p w14:paraId="0B01A5BF" w14:textId="77777777" w:rsidR="006D1698" w:rsidRPr="00901941" w:rsidRDefault="006D1698" w:rsidP="00366724">
            <w:pPr>
              <w:tabs>
                <w:tab w:val="left" w:pos="5040"/>
                <w:tab w:val="left" w:pos="6560"/>
                <w:tab w:val="left" w:pos="8640"/>
              </w:tabs>
              <w:jc w:val="center"/>
              <w:rPr>
                <w:rFonts w:ascii="Times New Roman" w:hAnsi="Times New Roman"/>
                <w:sz w:val="20"/>
              </w:rPr>
            </w:pPr>
            <w:r>
              <w:rPr>
                <w:rFonts w:ascii="Times New Roman" w:hAnsi="Times New Roman"/>
                <w:sz w:val="20"/>
              </w:rPr>
              <w:t>12/10/2015</w:t>
            </w:r>
          </w:p>
        </w:tc>
      </w:tr>
      <w:tr w:rsidR="006D1698" w:rsidRPr="00901941" w14:paraId="0C9B57D8" w14:textId="77777777" w:rsidTr="00366724">
        <w:tc>
          <w:tcPr>
            <w:tcW w:w="1854" w:type="dxa"/>
            <w:shd w:val="clear" w:color="auto" w:fill="auto"/>
          </w:tcPr>
          <w:p w14:paraId="1110CB9E" w14:textId="77777777" w:rsidR="006D1698" w:rsidRPr="00901941" w:rsidRDefault="006D1698" w:rsidP="00366724">
            <w:pPr>
              <w:tabs>
                <w:tab w:val="left" w:pos="5040"/>
                <w:tab w:val="left" w:pos="6560"/>
                <w:tab w:val="left" w:pos="8640"/>
              </w:tabs>
              <w:jc w:val="center"/>
              <w:rPr>
                <w:rFonts w:ascii="Times New Roman" w:hAnsi="Times New Roman"/>
                <w:sz w:val="20"/>
              </w:rPr>
            </w:pPr>
          </w:p>
        </w:tc>
        <w:tc>
          <w:tcPr>
            <w:tcW w:w="5211" w:type="dxa"/>
            <w:shd w:val="clear" w:color="auto" w:fill="auto"/>
          </w:tcPr>
          <w:p w14:paraId="4C601A54" w14:textId="77777777" w:rsidR="006D1698" w:rsidRPr="00901941" w:rsidRDefault="006D1698" w:rsidP="00366724">
            <w:pPr>
              <w:tabs>
                <w:tab w:val="left" w:pos="5040"/>
                <w:tab w:val="left" w:pos="6560"/>
                <w:tab w:val="left" w:pos="8640"/>
              </w:tabs>
              <w:jc w:val="center"/>
              <w:rPr>
                <w:rFonts w:ascii="Times New Roman" w:hAnsi="Times New Roman"/>
                <w:sz w:val="20"/>
              </w:rPr>
            </w:pPr>
          </w:p>
        </w:tc>
        <w:tc>
          <w:tcPr>
            <w:tcW w:w="1128" w:type="dxa"/>
            <w:shd w:val="clear" w:color="auto" w:fill="auto"/>
          </w:tcPr>
          <w:p w14:paraId="1DDEEF9F" w14:textId="77777777" w:rsidR="006D1698" w:rsidRPr="00901941" w:rsidRDefault="006D1698" w:rsidP="00366724">
            <w:pPr>
              <w:tabs>
                <w:tab w:val="left" w:pos="5040"/>
                <w:tab w:val="left" w:pos="6560"/>
                <w:tab w:val="left" w:pos="8640"/>
              </w:tabs>
              <w:jc w:val="center"/>
              <w:rPr>
                <w:rFonts w:ascii="Times New Roman" w:hAnsi="Times New Roman"/>
                <w:sz w:val="20"/>
              </w:rPr>
            </w:pPr>
          </w:p>
        </w:tc>
      </w:tr>
    </w:tbl>
    <w:p w14:paraId="64ECE8C8" w14:textId="77777777" w:rsidR="005A248D" w:rsidRDefault="005A248D" w:rsidP="0031750A">
      <w:bookmarkStart w:id="26" w:name="_Toc496602970"/>
    </w:p>
    <w:p w14:paraId="29233345" w14:textId="4AFC3F71" w:rsidR="006D1698" w:rsidRDefault="006D1698" w:rsidP="0031750A">
      <w:r w:rsidRPr="006520E2">
        <w:rPr>
          <w:b/>
        </w:rPr>
        <w:t>1</w:t>
      </w:r>
      <w:r w:rsidR="006520E2" w:rsidRPr="006520E2">
        <w:rPr>
          <w:b/>
        </w:rPr>
        <w:t>.</w:t>
      </w:r>
      <w:r w:rsidRPr="00BD6058">
        <w:tab/>
      </w:r>
      <w:r w:rsidRPr="0031750A">
        <w:rPr>
          <w:b/>
        </w:rPr>
        <w:t>Purpose</w:t>
      </w:r>
      <w:bookmarkEnd w:id="26"/>
      <w:r w:rsidRPr="0031750A">
        <w:rPr>
          <w:b/>
        </w:rPr>
        <w:t xml:space="preserve"> </w:t>
      </w:r>
    </w:p>
    <w:p w14:paraId="6CCD4262" w14:textId="77777777" w:rsidR="0031750A" w:rsidRPr="0031750A" w:rsidRDefault="0031750A" w:rsidP="0031750A"/>
    <w:p w14:paraId="4672A04E" w14:textId="77777777" w:rsidR="006D1698" w:rsidRPr="00BD6058" w:rsidRDefault="006D1698" w:rsidP="00212CE3">
      <w:pPr>
        <w:ind w:left="720"/>
        <w:jc w:val="both"/>
        <w:rPr>
          <w:rFonts w:cs="Times"/>
        </w:rPr>
      </w:pPr>
      <w:r w:rsidRPr="00BD6058">
        <w:rPr>
          <w:rFonts w:cs="Times"/>
        </w:rPr>
        <w:t>Activities at Fermilab related to the operation of certain equipment, machines, or facilities can create ionizing radiation hazards.  A shielding assessment is a document containing the results of a systematic analysis of ionizing radiation hazards and their controls to identify associated on-site and off-site impacts to workers, the public, and the environment for both normal operation and credible accidents.  Shielding assessments shall be conducted in accordance with provisions of this Manual.</w:t>
      </w:r>
    </w:p>
    <w:p w14:paraId="367C99B1" w14:textId="77777777" w:rsidR="006D1698" w:rsidRPr="00BD6058" w:rsidRDefault="006D1698" w:rsidP="00212CE3">
      <w:pPr>
        <w:ind w:left="720"/>
        <w:jc w:val="both"/>
        <w:rPr>
          <w:rFonts w:cs="Times"/>
        </w:rPr>
      </w:pPr>
    </w:p>
    <w:p w14:paraId="410654F1" w14:textId="77777777" w:rsidR="006520E2" w:rsidRDefault="006D1698" w:rsidP="00212CE3">
      <w:pPr>
        <w:ind w:left="720"/>
        <w:jc w:val="both"/>
        <w:rPr>
          <w:rFonts w:cs="Times"/>
        </w:rPr>
      </w:pPr>
      <w:r w:rsidRPr="00BD6058">
        <w:rPr>
          <w:rFonts w:cs="Times"/>
        </w:rPr>
        <w:t>Since the nature and magnitude of hazards specific to given situations can vary, a shielding assessment should follow a tailored approach to capture the relevant amount of detail.  This document provides an outline to aid in developing a consistent, complete, and compliant shielding assessment.</w:t>
      </w:r>
    </w:p>
    <w:p w14:paraId="2D38AE67" w14:textId="77777777" w:rsidR="006520E2" w:rsidRDefault="006520E2" w:rsidP="00212CE3">
      <w:pPr>
        <w:ind w:left="720"/>
        <w:jc w:val="both"/>
        <w:rPr>
          <w:rFonts w:cs="Times"/>
        </w:rPr>
      </w:pPr>
    </w:p>
    <w:p w14:paraId="0E22ED34" w14:textId="77777777" w:rsidR="006520E2" w:rsidRDefault="006D1698" w:rsidP="00212CE3">
      <w:pPr>
        <w:ind w:left="720"/>
        <w:jc w:val="both"/>
        <w:rPr>
          <w:rFonts w:cs="Times"/>
        </w:rPr>
      </w:pPr>
      <w:r w:rsidRPr="00BD6058">
        <w:t>The time needed to complete a shielding assessment varies based on the complexity and level of detail.  Since some components of an assessment can differ from that outlined below, defining the appropriate format is important in optimizing the time and level of effort required.</w:t>
      </w:r>
      <w:r w:rsidRPr="000B23A8">
        <w:t xml:space="preserve"> </w:t>
      </w:r>
    </w:p>
    <w:p w14:paraId="2F429A0E" w14:textId="77777777" w:rsidR="006520E2" w:rsidRDefault="006520E2" w:rsidP="00212CE3">
      <w:pPr>
        <w:ind w:left="720"/>
        <w:jc w:val="both"/>
        <w:rPr>
          <w:rFonts w:cs="Times"/>
        </w:rPr>
      </w:pPr>
    </w:p>
    <w:p w14:paraId="25398289" w14:textId="121CA6C1" w:rsidR="006520E2" w:rsidRDefault="006D1698" w:rsidP="00212CE3">
      <w:pPr>
        <w:ind w:left="720"/>
        <w:jc w:val="both"/>
        <w:rPr>
          <w:rFonts w:cs="Times"/>
        </w:rPr>
      </w:pPr>
      <w:r w:rsidRPr="00BD6058">
        <w:t xml:space="preserve">If the assessment affects the existing approved Accelerator Safety Envelope (ASE), then the Fermilab Safety Assessment Document (SAD) [1] must be modified and be reviewed by the </w:t>
      </w:r>
      <w:r w:rsidR="00596223">
        <w:t>ES&amp;H</w:t>
      </w:r>
      <w:r w:rsidRPr="00BD6058">
        <w:t xml:space="preserve"> Section and approved by the Laboratory Director.  In addition, DOE</w:t>
      </w:r>
      <w:r w:rsidR="002520AF">
        <w:t>-FSO</w:t>
      </w:r>
      <w:r w:rsidRPr="00BD6058">
        <w:t xml:space="preserve"> approval is required for the revised ASE before beam may be delivered to the affected area.</w:t>
      </w:r>
    </w:p>
    <w:p w14:paraId="49911B22" w14:textId="77777777" w:rsidR="006520E2" w:rsidRDefault="006520E2" w:rsidP="00212CE3">
      <w:pPr>
        <w:ind w:left="720"/>
        <w:jc w:val="both"/>
        <w:rPr>
          <w:rFonts w:cs="Times"/>
        </w:rPr>
      </w:pPr>
    </w:p>
    <w:p w14:paraId="267A4342" w14:textId="367BE1C5" w:rsidR="006D1698" w:rsidRPr="006520E2" w:rsidRDefault="006D1698" w:rsidP="00212CE3">
      <w:pPr>
        <w:ind w:left="720"/>
        <w:jc w:val="both"/>
        <w:rPr>
          <w:rFonts w:cs="Times"/>
        </w:rPr>
      </w:pPr>
      <w:r w:rsidRPr="0099153C">
        <w:t>The overall shielding assessment, review, and approval process is described in Fig 8-2 of the Chapter.</w:t>
      </w:r>
    </w:p>
    <w:p w14:paraId="3B730D40" w14:textId="224C248D" w:rsidR="006520E2" w:rsidRDefault="006520E2" w:rsidP="00212CE3">
      <w:pPr>
        <w:jc w:val="both"/>
        <w:rPr>
          <w:rFonts w:ascii="Times New Roman" w:hAnsi="Times New Roman"/>
          <w:sz w:val="20"/>
        </w:rPr>
      </w:pPr>
      <w:r>
        <w:rPr>
          <w:rFonts w:ascii="Times New Roman" w:hAnsi="Times New Roman"/>
        </w:rPr>
        <w:br w:type="page"/>
      </w:r>
    </w:p>
    <w:p w14:paraId="5E22E9BF" w14:textId="77777777" w:rsidR="006D1698" w:rsidRPr="00050793" w:rsidRDefault="006D1698" w:rsidP="00212CE3">
      <w:pPr>
        <w:pStyle w:val="Proced"/>
        <w:ind w:left="720"/>
        <w:jc w:val="both"/>
        <w:rPr>
          <w:rFonts w:ascii="Times New Roman" w:hAnsi="Times New Roman"/>
        </w:rPr>
      </w:pPr>
    </w:p>
    <w:p w14:paraId="47D014A9" w14:textId="39E6C255" w:rsidR="006D1698" w:rsidRPr="00BD6058" w:rsidRDefault="006D1698" w:rsidP="00212CE3">
      <w:pPr>
        <w:jc w:val="both"/>
      </w:pPr>
      <w:bookmarkStart w:id="27" w:name="_Toc496602971"/>
      <w:r w:rsidRPr="00AB3429">
        <w:rPr>
          <w:b/>
        </w:rPr>
        <w:t>2</w:t>
      </w:r>
      <w:r w:rsidR="00AB3429" w:rsidRPr="00AB3429">
        <w:rPr>
          <w:b/>
        </w:rPr>
        <w:t>.</w:t>
      </w:r>
      <w:r w:rsidRPr="00BD6058">
        <w:tab/>
      </w:r>
      <w:r w:rsidRPr="00AB3429">
        <w:rPr>
          <w:b/>
        </w:rPr>
        <w:t>Responsibilities</w:t>
      </w:r>
      <w:bookmarkEnd w:id="27"/>
    </w:p>
    <w:p w14:paraId="2B6A3FC7" w14:textId="77777777" w:rsidR="006520E2" w:rsidRDefault="006520E2" w:rsidP="00212CE3">
      <w:pPr>
        <w:jc w:val="both"/>
      </w:pPr>
    </w:p>
    <w:p w14:paraId="14B56B04" w14:textId="7182364E" w:rsidR="006D1698" w:rsidRPr="00BD6058" w:rsidRDefault="006D1698" w:rsidP="00212CE3">
      <w:pPr>
        <w:pStyle w:val="ListParagraph"/>
        <w:numPr>
          <w:ilvl w:val="0"/>
          <w:numId w:val="33"/>
        </w:numPr>
        <w:jc w:val="both"/>
      </w:pPr>
      <w:r w:rsidRPr="00BD6058">
        <w:t>Division/Section (D/S) Head</w:t>
      </w:r>
    </w:p>
    <w:p w14:paraId="42C78386" w14:textId="77777777" w:rsidR="006520E2" w:rsidRDefault="006520E2" w:rsidP="00212CE3">
      <w:pPr>
        <w:jc w:val="both"/>
      </w:pPr>
    </w:p>
    <w:p w14:paraId="0ED74735" w14:textId="275D2E95" w:rsidR="006D1698" w:rsidRDefault="006D1698" w:rsidP="00212CE3">
      <w:pPr>
        <w:ind w:left="720"/>
        <w:jc w:val="both"/>
      </w:pPr>
      <w:r w:rsidRPr="00BD6058">
        <w:t xml:space="preserve">The D/S Head is responsible for requesting that a Shielding Assessment be prepared by the Project Head or those responsible for designing, constructing, and operating a facility.  The D/S Head is also responsible for approving an assessment and forwarding it to the </w:t>
      </w:r>
      <w:r w:rsidR="00596223">
        <w:t>ES&amp;H</w:t>
      </w:r>
      <w:r w:rsidRPr="00BD6058">
        <w:t xml:space="preserve"> Section for further approval.  The D/S Head may request recommendations from the Shielding Assessment Review Panel of the Radiation Safety Subcommittee prior to approving an assessment.</w:t>
      </w:r>
    </w:p>
    <w:p w14:paraId="205FA01F" w14:textId="77777777" w:rsidR="006520E2" w:rsidRPr="00BD6058" w:rsidRDefault="006520E2" w:rsidP="00212CE3">
      <w:pPr>
        <w:jc w:val="both"/>
      </w:pPr>
    </w:p>
    <w:p w14:paraId="73D36C0E" w14:textId="69791318" w:rsidR="006D1698" w:rsidRDefault="006D1698" w:rsidP="00212CE3">
      <w:pPr>
        <w:pStyle w:val="ListParagraph"/>
        <w:numPr>
          <w:ilvl w:val="0"/>
          <w:numId w:val="32"/>
        </w:numPr>
        <w:jc w:val="both"/>
      </w:pPr>
      <w:r w:rsidRPr="00BD6058">
        <w:t>Project</w:t>
      </w:r>
      <w:r>
        <w:t>/Department</w:t>
      </w:r>
      <w:r w:rsidRPr="00BD6058">
        <w:t xml:space="preserve"> Head</w:t>
      </w:r>
    </w:p>
    <w:p w14:paraId="64DE743B" w14:textId="77777777" w:rsidR="006520E2" w:rsidRPr="00BD6058" w:rsidRDefault="006520E2" w:rsidP="00212CE3">
      <w:pPr>
        <w:jc w:val="both"/>
      </w:pPr>
    </w:p>
    <w:p w14:paraId="10E550F2" w14:textId="345C178D" w:rsidR="006D1698" w:rsidRDefault="006D1698" w:rsidP="00212CE3">
      <w:pPr>
        <w:ind w:left="720"/>
        <w:jc w:val="both"/>
      </w:pPr>
      <w:r w:rsidRPr="00BD6058">
        <w:t>The assigned Project</w:t>
      </w:r>
      <w:r>
        <w:t>/Department</w:t>
      </w:r>
      <w:r w:rsidRPr="00BD6058">
        <w:t xml:space="preserve"> Head is charged by the D/S Head to prepare a shielding assessment and is responsible for ensuring that the assessment is conducted with the concurrence of the </w:t>
      </w:r>
      <w:r w:rsidR="00596223">
        <w:t>ES&amp;H</w:t>
      </w:r>
      <w:r w:rsidRPr="00BD6058">
        <w:t xml:space="preserve"> Section Radiation Physics Science Department and Area Radiation Safety Officer before submitting the completed assessment for further review and approval.</w:t>
      </w:r>
    </w:p>
    <w:p w14:paraId="572E601D" w14:textId="77777777" w:rsidR="006520E2" w:rsidRPr="00BD6058" w:rsidRDefault="006520E2" w:rsidP="00212CE3">
      <w:pPr>
        <w:jc w:val="both"/>
      </w:pPr>
    </w:p>
    <w:p w14:paraId="485F1121" w14:textId="51C6AF6A" w:rsidR="006D1698" w:rsidRDefault="006D1698" w:rsidP="00212CE3">
      <w:pPr>
        <w:pStyle w:val="ListParagraph"/>
        <w:numPr>
          <w:ilvl w:val="0"/>
          <w:numId w:val="32"/>
        </w:numPr>
        <w:jc w:val="both"/>
      </w:pPr>
      <w:r w:rsidRPr="00BD6058">
        <w:t>Senior Radiation Safety Officer (SRSO)</w:t>
      </w:r>
    </w:p>
    <w:p w14:paraId="4E4448D4" w14:textId="77777777" w:rsidR="006520E2" w:rsidRPr="00BD6058" w:rsidRDefault="006520E2" w:rsidP="00212CE3">
      <w:pPr>
        <w:jc w:val="both"/>
      </w:pPr>
    </w:p>
    <w:p w14:paraId="02210831" w14:textId="6EA9235A" w:rsidR="006D1698" w:rsidRDefault="006D1698" w:rsidP="00212CE3">
      <w:pPr>
        <w:ind w:left="720"/>
        <w:jc w:val="both"/>
      </w:pPr>
      <w:r w:rsidRPr="00BD6058">
        <w:t>The SRSO is responsible for reviewing a shielding assessment and notifying the D/S Head and the Shielding Assessment Review Panel Chairperson in writing of approval or rejection.</w:t>
      </w:r>
    </w:p>
    <w:p w14:paraId="69BE29A2" w14:textId="77777777" w:rsidR="006520E2" w:rsidRPr="00BD6058" w:rsidRDefault="006520E2" w:rsidP="00212CE3">
      <w:pPr>
        <w:jc w:val="both"/>
      </w:pPr>
    </w:p>
    <w:p w14:paraId="4843F42D" w14:textId="14E926AE" w:rsidR="006D1698" w:rsidRDefault="002520AF" w:rsidP="00212CE3">
      <w:pPr>
        <w:pStyle w:val="ListParagraph"/>
        <w:numPr>
          <w:ilvl w:val="0"/>
          <w:numId w:val="32"/>
        </w:numPr>
        <w:jc w:val="both"/>
      </w:pPr>
      <w:r>
        <w:t>ES&amp;H</w:t>
      </w:r>
      <w:r w:rsidR="006D1698" w:rsidRPr="00BD6058">
        <w:t xml:space="preserve"> Section Radiation Physics Science Department (RPS)</w:t>
      </w:r>
    </w:p>
    <w:p w14:paraId="184E8610" w14:textId="77777777" w:rsidR="006520E2" w:rsidRPr="00BD6058" w:rsidRDefault="006520E2" w:rsidP="00212CE3">
      <w:pPr>
        <w:jc w:val="both"/>
      </w:pPr>
    </w:p>
    <w:p w14:paraId="71FB3AEA" w14:textId="7C376337" w:rsidR="006D1698" w:rsidRDefault="006D1698" w:rsidP="00212CE3">
      <w:pPr>
        <w:ind w:left="720"/>
        <w:jc w:val="both"/>
      </w:pPr>
      <w:r w:rsidRPr="00BD6058">
        <w:t xml:space="preserve">The RPS, in conjunction with the assigned Area Radiation Safety Officer, is responsible for providing the D/S Head with a recommendation as to whether the Shielding Assessment Review Panel should be convened, and for ensuring that the shielding assessment contains all required components, satisfies requirements stated in the FRCM, and has an appropriate format. Each assessment is </w:t>
      </w:r>
      <w:proofErr w:type="gramStart"/>
      <w:r w:rsidRPr="00BD6058">
        <w:t>unique</w:t>
      </w:r>
      <w:proofErr w:type="gramEnd"/>
      <w:r w:rsidRPr="00BD6058">
        <w:t xml:space="preserve"> and the format may need to be modified to provide the appropriate level of detail for review. When this occurs, the RPS will provide specific format guidance. Also, the RPS will ensure that the necessary Radiation Safety Drawings are produced or modified at the appropriate time and obtain any required approvals.</w:t>
      </w:r>
    </w:p>
    <w:p w14:paraId="73E6279E" w14:textId="77777777" w:rsidR="006520E2" w:rsidRPr="00BD6058" w:rsidRDefault="006520E2" w:rsidP="00212CE3">
      <w:pPr>
        <w:ind w:left="720"/>
        <w:jc w:val="both"/>
      </w:pPr>
    </w:p>
    <w:p w14:paraId="4E10084F" w14:textId="77777777" w:rsidR="006D1698" w:rsidRPr="00BD6058" w:rsidRDefault="006D1698" w:rsidP="00212CE3">
      <w:pPr>
        <w:pStyle w:val="ListParagraph"/>
        <w:numPr>
          <w:ilvl w:val="0"/>
          <w:numId w:val="32"/>
        </w:numPr>
        <w:jc w:val="both"/>
      </w:pPr>
      <w:r w:rsidRPr="00BD6058">
        <w:t>Shielding Assessment Review Panel (SARP) Chairperson</w:t>
      </w:r>
    </w:p>
    <w:p w14:paraId="7FABA870" w14:textId="77777777" w:rsidR="006520E2" w:rsidRDefault="006520E2" w:rsidP="00212CE3">
      <w:pPr>
        <w:jc w:val="both"/>
      </w:pPr>
    </w:p>
    <w:p w14:paraId="581BAEB7" w14:textId="639FAC8E" w:rsidR="006D1698" w:rsidRPr="00BD6058" w:rsidRDefault="006D1698" w:rsidP="00212CE3">
      <w:pPr>
        <w:ind w:left="720"/>
        <w:jc w:val="both"/>
      </w:pPr>
      <w:r w:rsidRPr="00BD6058">
        <w:t>The SARP Chairperson is responsible for:</w:t>
      </w:r>
    </w:p>
    <w:p w14:paraId="390A9186" w14:textId="77777777" w:rsidR="006D1698" w:rsidRPr="00BD6058" w:rsidRDefault="006D1698" w:rsidP="00212CE3">
      <w:pPr>
        <w:pStyle w:val="procedbody"/>
        <w:numPr>
          <w:ilvl w:val="0"/>
          <w:numId w:val="31"/>
        </w:numPr>
        <w:tabs>
          <w:tab w:val="clear" w:pos="6480"/>
        </w:tabs>
        <w:jc w:val="both"/>
        <w:rPr>
          <w:rFonts w:ascii="Times" w:hAnsi="Times" w:cs="Times"/>
          <w:sz w:val="24"/>
          <w:szCs w:val="24"/>
        </w:rPr>
      </w:pPr>
      <w:r w:rsidRPr="00BD6058">
        <w:rPr>
          <w:rFonts w:ascii="Times" w:hAnsi="Times" w:cs="Times"/>
          <w:sz w:val="24"/>
          <w:szCs w:val="24"/>
        </w:rPr>
        <w:t>coordinating a shielding assessment review by the panel for methodology, completeness, and compliance with FRCM,</w:t>
      </w:r>
    </w:p>
    <w:p w14:paraId="657DA2DC" w14:textId="77777777" w:rsidR="006D1698" w:rsidRPr="00BD6058" w:rsidRDefault="006D1698" w:rsidP="00212CE3">
      <w:pPr>
        <w:pStyle w:val="procedbody"/>
        <w:numPr>
          <w:ilvl w:val="0"/>
          <w:numId w:val="31"/>
        </w:numPr>
        <w:tabs>
          <w:tab w:val="clear" w:pos="6480"/>
        </w:tabs>
        <w:jc w:val="both"/>
        <w:rPr>
          <w:rFonts w:ascii="Times" w:hAnsi="Times" w:cs="Times"/>
          <w:sz w:val="24"/>
          <w:szCs w:val="24"/>
        </w:rPr>
      </w:pPr>
      <w:r w:rsidRPr="00BD6058">
        <w:rPr>
          <w:rFonts w:ascii="Times" w:hAnsi="Times" w:cs="Times"/>
          <w:sz w:val="24"/>
          <w:szCs w:val="24"/>
        </w:rPr>
        <w:lastRenderedPageBreak/>
        <w:t>recommending acceptance or rejection of the assessment to the SRSO based on consensus of the panel, and</w:t>
      </w:r>
    </w:p>
    <w:p w14:paraId="1FDDC251" w14:textId="77777777" w:rsidR="006D1698" w:rsidRPr="00BD6058" w:rsidRDefault="006D1698" w:rsidP="00212CE3">
      <w:pPr>
        <w:pStyle w:val="procedbody"/>
        <w:numPr>
          <w:ilvl w:val="0"/>
          <w:numId w:val="31"/>
        </w:numPr>
        <w:tabs>
          <w:tab w:val="clear" w:pos="6480"/>
        </w:tabs>
        <w:jc w:val="both"/>
        <w:rPr>
          <w:rFonts w:ascii="Times" w:hAnsi="Times" w:cs="Times"/>
          <w:sz w:val="24"/>
          <w:szCs w:val="24"/>
        </w:rPr>
      </w:pPr>
      <w:r w:rsidRPr="00BD6058">
        <w:rPr>
          <w:rFonts w:ascii="Times" w:hAnsi="Times" w:cs="Times"/>
          <w:sz w:val="24"/>
          <w:szCs w:val="24"/>
        </w:rPr>
        <w:t>advising the D/S Head and the SRSO of effects the assessment may have on overall operations or other assessments.</w:t>
      </w:r>
    </w:p>
    <w:p w14:paraId="19746296" w14:textId="77777777" w:rsidR="006D1698" w:rsidRPr="00BD6058" w:rsidRDefault="006D1698" w:rsidP="00212CE3">
      <w:pPr>
        <w:pStyle w:val="procedbody"/>
        <w:numPr>
          <w:ilvl w:val="0"/>
          <w:numId w:val="27"/>
        </w:numPr>
        <w:tabs>
          <w:tab w:val="left" w:pos="1800"/>
          <w:tab w:val="center" w:pos="5660"/>
        </w:tabs>
        <w:ind w:hanging="720"/>
        <w:jc w:val="both"/>
        <w:rPr>
          <w:rFonts w:ascii="Times" w:hAnsi="Times" w:cs="Times"/>
          <w:sz w:val="24"/>
          <w:szCs w:val="24"/>
        </w:rPr>
      </w:pPr>
      <w:r w:rsidRPr="00BD6058">
        <w:rPr>
          <w:rFonts w:ascii="Times" w:hAnsi="Times" w:cs="Times"/>
          <w:sz w:val="24"/>
          <w:szCs w:val="24"/>
        </w:rPr>
        <w:t>Shielding Assessment Review Panel</w:t>
      </w:r>
    </w:p>
    <w:p w14:paraId="20F6E112" w14:textId="77777777" w:rsidR="006D1698" w:rsidRDefault="006D1698" w:rsidP="00212CE3">
      <w:pPr>
        <w:pStyle w:val="Proced"/>
        <w:tabs>
          <w:tab w:val="clear" w:pos="1260"/>
        </w:tabs>
        <w:ind w:left="1800" w:firstLine="0"/>
        <w:jc w:val="both"/>
        <w:rPr>
          <w:rFonts w:ascii="Times" w:hAnsi="Times" w:cs="Times"/>
          <w:sz w:val="24"/>
          <w:szCs w:val="24"/>
        </w:rPr>
      </w:pPr>
      <w:r w:rsidRPr="00BD6058">
        <w:rPr>
          <w:rFonts w:ascii="Times" w:hAnsi="Times" w:cs="Times"/>
          <w:sz w:val="24"/>
          <w:szCs w:val="24"/>
        </w:rPr>
        <w:t>The SARP is responsible for reviewing shielding assessments for appropriate methodology, completeness, and compliance with the FRCM.</w:t>
      </w:r>
    </w:p>
    <w:p w14:paraId="3A253B71" w14:textId="77777777" w:rsidR="006D1698" w:rsidRPr="00BD6058" w:rsidRDefault="006D1698" w:rsidP="00212CE3">
      <w:pPr>
        <w:pStyle w:val="Proced"/>
        <w:tabs>
          <w:tab w:val="clear" w:pos="1260"/>
        </w:tabs>
        <w:ind w:left="1800" w:firstLine="0"/>
        <w:jc w:val="both"/>
        <w:rPr>
          <w:rFonts w:ascii="Times" w:hAnsi="Times" w:cs="Times"/>
          <w:sz w:val="24"/>
          <w:szCs w:val="24"/>
        </w:rPr>
      </w:pPr>
    </w:p>
    <w:p w14:paraId="416637F7" w14:textId="083436D4" w:rsidR="006D1698" w:rsidRPr="002520AF" w:rsidRDefault="006D1698" w:rsidP="002520AF">
      <w:pPr>
        <w:pStyle w:val="ListParagraph"/>
        <w:numPr>
          <w:ilvl w:val="0"/>
          <w:numId w:val="25"/>
        </w:numPr>
        <w:ind w:hanging="720"/>
        <w:jc w:val="both"/>
        <w:rPr>
          <w:b/>
        </w:rPr>
      </w:pPr>
      <w:bookmarkStart w:id="28" w:name="_Toc496602972"/>
      <w:r w:rsidRPr="002520AF">
        <w:rPr>
          <w:b/>
        </w:rPr>
        <w:t>Outline</w:t>
      </w:r>
      <w:bookmarkEnd w:id="28"/>
    </w:p>
    <w:p w14:paraId="77109E4B" w14:textId="77777777" w:rsidR="00833635" w:rsidRPr="00BD6058" w:rsidRDefault="00833635" w:rsidP="00212CE3">
      <w:pPr>
        <w:pStyle w:val="ListParagraph"/>
        <w:jc w:val="both"/>
      </w:pPr>
    </w:p>
    <w:p w14:paraId="097DD760" w14:textId="6664EEBE" w:rsidR="006D1698" w:rsidRDefault="006D1698" w:rsidP="00212CE3">
      <w:pPr>
        <w:jc w:val="both"/>
      </w:pPr>
      <w:r w:rsidRPr="00BD6058">
        <w:t>The following outlines a shielding assessment format that has been used successfully at Fermilab and elsewhere.  Other formats may be more amenable to a specific facility, so long as they provide an appropriate level of content and detail.  Unless otherwise noted, quantitative estimation methods should follow those described in TM-1834 [2].</w:t>
      </w:r>
    </w:p>
    <w:p w14:paraId="4927D467" w14:textId="77777777" w:rsidR="00833635" w:rsidRPr="00BD6058" w:rsidRDefault="00833635" w:rsidP="00212CE3">
      <w:pPr>
        <w:jc w:val="both"/>
      </w:pPr>
    </w:p>
    <w:p w14:paraId="3BBC2CC8" w14:textId="57AD2530" w:rsidR="006D1698" w:rsidRDefault="006D1698" w:rsidP="00212CE3">
      <w:pPr>
        <w:jc w:val="both"/>
      </w:pPr>
      <w:r w:rsidRPr="000618F2">
        <w:rPr>
          <w:i/>
          <w:u w:val="single"/>
        </w:rPr>
        <w:t>Introduction</w:t>
      </w:r>
      <w:r w:rsidRPr="00BD6058">
        <w:t xml:space="preserve"> – provides overview, context, and background information</w:t>
      </w:r>
      <w:r>
        <w:t>.</w:t>
      </w:r>
    </w:p>
    <w:p w14:paraId="287899F3" w14:textId="77777777" w:rsidR="00833635" w:rsidRPr="00BD6058" w:rsidRDefault="00833635" w:rsidP="00212CE3">
      <w:pPr>
        <w:jc w:val="both"/>
      </w:pPr>
    </w:p>
    <w:p w14:paraId="617BA7E8" w14:textId="77777777" w:rsidR="00833635" w:rsidRDefault="006D1698" w:rsidP="00212CE3">
      <w:pPr>
        <w:jc w:val="both"/>
      </w:pPr>
      <w:r w:rsidRPr="000618F2">
        <w:rPr>
          <w:i/>
          <w:u w:val="single"/>
        </w:rPr>
        <w:t>Boundaries</w:t>
      </w:r>
      <w:r w:rsidRPr="00BD6058">
        <w:t xml:space="preserve"> – addresses scope, including specific regions or coordinates being assessed, </w:t>
      </w:r>
    </w:p>
    <w:p w14:paraId="3D0EC342" w14:textId="07C5ABED" w:rsidR="006D1698" w:rsidRDefault="006D1698" w:rsidP="00212CE3">
      <w:pPr>
        <w:jc w:val="both"/>
      </w:pPr>
      <w:r w:rsidRPr="00BD6058">
        <w:t>and modifications to existing facilities or changes in conditions from previous assessments</w:t>
      </w:r>
      <w:r>
        <w:t>.  This may also include a description of desired postings in affected areas.</w:t>
      </w:r>
    </w:p>
    <w:p w14:paraId="45616110" w14:textId="77777777" w:rsidR="00833635" w:rsidRPr="00BD6058" w:rsidRDefault="00833635" w:rsidP="00212CE3">
      <w:pPr>
        <w:jc w:val="both"/>
      </w:pPr>
    </w:p>
    <w:p w14:paraId="7A658334" w14:textId="24A13DFA" w:rsidR="006D1698" w:rsidRDefault="006D1698" w:rsidP="00212CE3">
      <w:pPr>
        <w:jc w:val="both"/>
      </w:pPr>
      <w:r w:rsidRPr="000618F2">
        <w:rPr>
          <w:i/>
          <w:u w:val="single"/>
        </w:rPr>
        <w:t>Parameters</w:t>
      </w:r>
      <w:r w:rsidRPr="00BD6058">
        <w:t xml:space="preserve"> – includes details concerning beam types, energies, maximum instantaneous and annual intensities, and destinations for and locations of both normal and accident conditions.  This may include information concerning different modes of operation, and locations and designs of beam targets and/or absorbers.</w:t>
      </w:r>
    </w:p>
    <w:p w14:paraId="58D36BA6" w14:textId="77777777" w:rsidR="00833635" w:rsidRPr="00BD6058" w:rsidRDefault="00833635" w:rsidP="00212CE3">
      <w:pPr>
        <w:jc w:val="both"/>
      </w:pPr>
    </w:p>
    <w:p w14:paraId="236765FE" w14:textId="43BBD7F1" w:rsidR="006D1698" w:rsidRPr="00BD6058" w:rsidRDefault="006D1698" w:rsidP="00212CE3">
      <w:pPr>
        <w:jc w:val="both"/>
      </w:pPr>
      <w:r w:rsidRPr="000618F2">
        <w:rPr>
          <w:i/>
          <w:u w:val="single"/>
        </w:rPr>
        <w:t>Shielding Requirements</w:t>
      </w:r>
      <w:r w:rsidRPr="00BD6058">
        <w:t xml:space="preserve"> – quantifies the passive shielding, active detectors, and barriers needed to safely operate within the parameters set forth in FRCM Chapter 2.  This should include normal running condition losses, as well as accident condition losses.  If the Incremental Shielding Assessment Methodology (ISM) [3] is used, then a set of spreadsheets must be included to scale from an established baseline [4].  If another assessment methodology is chosen, results sh</w:t>
      </w:r>
      <w:r>
        <w:t>all</w:t>
      </w:r>
      <w:r w:rsidRPr="00BD6058">
        <w:t xml:space="preserve"> be included in the assessment (see below).  </w:t>
      </w:r>
      <w:r>
        <w:t xml:space="preserve">A set of calculation tools can be found </w:t>
      </w:r>
      <w:r w:rsidRPr="00046B1D">
        <w:t xml:space="preserve">at </w:t>
      </w:r>
      <w:r w:rsidRPr="00BD6058">
        <w:t xml:space="preserve">the </w:t>
      </w:r>
      <w:hyperlink r:id="rId20" w:history="1">
        <w:r w:rsidR="00596223">
          <w:rPr>
            <w:rStyle w:val="Hyperlink"/>
            <w:rFonts w:cs="Times"/>
            <w:szCs w:val="24"/>
          </w:rPr>
          <w:t>ES&amp;H</w:t>
        </w:r>
        <w:r w:rsidR="001C4391">
          <w:rPr>
            <w:rStyle w:val="Hyperlink"/>
            <w:rFonts w:cs="Times"/>
            <w:szCs w:val="24"/>
          </w:rPr>
          <w:t xml:space="preserve"> Section Radiation Physics </w:t>
        </w:r>
        <w:proofErr w:type="spellStart"/>
        <w:r w:rsidR="001C4391">
          <w:rPr>
            <w:rStyle w:val="Hyperlink"/>
            <w:rFonts w:cs="Times"/>
            <w:szCs w:val="24"/>
          </w:rPr>
          <w:t>FermiPoint</w:t>
        </w:r>
        <w:proofErr w:type="spellEnd"/>
        <w:r w:rsidR="001C4391">
          <w:rPr>
            <w:rStyle w:val="Hyperlink"/>
            <w:rFonts w:cs="Times"/>
            <w:szCs w:val="24"/>
          </w:rPr>
          <w:t xml:space="preserve"> site</w:t>
        </w:r>
      </w:hyperlink>
      <w:r>
        <w:t>.</w:t>
      </w:r>
    </w:p>
    <w:p w14:paraId="50C07DBD" w14:textId="1DBBE73A" w:rsidR="006D1698" w:rsidRDefault="006D1698" w:rsidP="00212CE3">
      <w:pPr>
        <w:ind w:left="720"/>
        <w:jc w:val="both"/>
      </w:pPr>
      <w:r w:rsidRPr="00BD6058">
        <w:t xml:space="preserve">Passive shielding is preferred. </w:t>
      </w:r>
      <w:r>
        <w:t xml:space="preserve">If Total Loss Monitor (TLM) systems are intended, then they should be supported by simulation results and validated with </w:t>
      </w:r>
      <w:r w:rsidRPr="00BD6058">
        <w:rPr>
          <w:i/>
        </w:rPr>
        <w:t>in situ</w:t>
      </w:r>
      <w:r>
        <w:t xml:space="preserve"> beam-on measurements.</w:t>
      </w:r>
    </w:p>
    <w:p w14:paraId="4CA26786" w14:textId="77777777" w:rsidR="00833635" w:rsidRPr="00BD6058" w:rsidRDefault="00833635" w:rsidP="00212CE3">
      <w:pPr>
        <w:ind w:left="720"/>
        <w:jc w:val="both"/>
      </w:pPr>
    </w:p>
    <w:p w14:paraId="5F639A80" w14:textId="0E0E1A38" w:rsidR="006D1698" w:rsidRDefault="006D1698" w:rsidP="00212CE3">
      <w:pPr>
        <w:ind w:left="720"/>
        <w:jc w:val="both"/>
      </w:pPr>
      <w:r w:rsidRPr="00BD6058">
        <w:t>The shielding assessment sh</w:t>
      </w:r>
      <w:r>
        <w:t>all</w:t>
      </w:r>
      <w:r w:rsidRPr="00BD6058">
        <w:t xml:space="preserve"> demonstrate that </w:t>
      </w:r>
      <w:r>
        <w:t xml:space="preserve">any </w:t>
      </w:r>
      <w:r w:rsidRPr="00BD6058">
        <w:t>active detectors are sufficiently sensitive, have adequate response time, and</w:t>
      </w:r>
      <w:r>
        <w:t xml:space="preserve"> have</w:t>
      </w:r>
      <w:r w:rsidRPr="00BD6058">
        <w:t xml:space="preserve"> </w:t>
      </w:r>
      <w:proofErr w:type="gramStart"/>
      <w:r w:rsidRPr="00BD6058">
        <w:t>sufficient</w:t>
      </w:r>
      <w:proofErr w:type="gramEnd"/>
      <w:r w:rsidRPr="00BD6058">
        <w:t xml:space="preserve"> coverage to provide protection for all areas with insufficient passive shielding.  Note that </w:t>
      </w:r>
      <w:r w:rsidRPr="00BD6058">
        <w:lastRenderedPageBreak/>
        <w:t xml:space="preserve">machine protection systems cannot be used as safety </w:t>
      </w:r>
      <w:r w:rsidR="00944022" w:rsidRPr="00BD6058">
        <w:t>devices and</w:t>
      </w:r>
      <w:r w:rsidRPr="00BD6058">
        <w:t xml:space="preserve"> are therefore insufficient to use as active detectors for purposes of a shielding assessment.</w:t>
      </w:r>
    </w:p>
    <w:p w14:paraId="2D058117" w14:textId="77777777" w:rsidR="00833635" w:rsidRPr="00BD6058" w:rsidRDefault="00833635" w:rsidP="00212CE3">
      <w:pPr>
        <w:jc w:val="both"/>
      </w:pPr>
    </w:p>
    <w:p w14:paraId="0B2B1BB0" w14:textId="7202ABC8" w:rsidR="006D1698" w:rsidRDefault="006D1698" w:rsidP="00212CE3">
      <w:pPr>
        <w:jc w:val="both"/>
      </w:pPr>
      <w:r w:rsidRPr="000618F2">
        <w:rPr>
          <w:i/>
          <w:u w:val="single"/>
        </w:rPr>
        <w:t>Penetrations/labyrinths</w:t>
      </w:r>
      <w:r w:rsidRPr="00BD6058">
        <w:t xml:space="preserve"> – addresses the dose rates due to penetrations in bulk shielding and any mitigations required</w:t>
      </w:r>
      <w:r>
        <w:t>.</w:t>
      </w:r>
    </w:p>
    <w:p w14:paraId="6B851130" w14:textId="77777777" w:rsidR="00833635" w:rsidRPr="00BD6058" w:rsidRDefault="00833635" w:rsidP="00212CE3">
      <w:pPr>
        <w:jc w:val="both"/>
      </w:pPr>
    </w:p>
    <w:p w14:paraId="0FD1D3BB" w14:textId="7A7C5970" w:rsidR="006D1698" w:rsidRDefault="006D1698" w:rsidP="00212CE3">
      <w:pPr>
        <w:jc w:val="both"/>
      </w:pPr>
      <w:r w:rsidRPr="000618F2">
        <w:rPr>
          <w:i/>
          <w:u w:val="single"/>
        </w:rPr>
        <w:t>Monte Carlo (e.g., MARS) simulations</w:t>
      </w:r>
      <w:r w:rsidRPr="00BD6058">
        <w:t xml:space="preserve"> – often defines the shielding requirements at target stations, decay regions, fixed aperture collimators, and/or pinhole collimators, as well as at primary, secondary, and tertiary beam absorbers.  Presently, only the MARS [</w:t>
      </w:r>
      <w:r w:rsidRPr="00F35586">
        <w:t>5</w:t>
      </w:r>
      <w:r w:rsidRPr="00BD6058">
        <w:t xml:space="preserve">] code is approved to be used for shielding assessment calculations (see </w:t>
      </w:r>
      <w:hyperlink r:id="rId21" w:history="1">
        <w:r w:rsidRPr="00BD6058">
          <w:rPr>
            <w:rStyle w:val="Hyperlink"/>
            <w:rFonts w:cs="Times"/>
            <w:szCs w:val="24"/>
          </w:rPr>
          <w:t>ESHQ-doc-855</w:t>
        </w:r>
      </w:hyperlink>
      <w:r w:rsidRPr="00BD6058">
        <w:t>).</w:t>
      </w:r>
    </w:p>
    <w:p w14:paraId="0F80094A" w14:textId="77777777" w:rsidR="00833635" w:rsidRPr="00BD6058" w:rsidRDefault="00833635" w:rsidP="00212CE3">
      <w:pPr>
        <w:jc w:val="both"/>
      </w:pPr>
    </w:p>
    <w:p w14:paraId="7FB46786" w14:textId="016C0248" w:rsidR="006D1698" w:rsidRDefault="006D1698" w:rsidP="00212CE3">
      <w:pPr>
        <w:jc w:val="both"/>
      </w:pPr>
      <w:r w:rsidRPr="000618F2">
        <w:rPr>
          <w:i/>
          <w:u w:val="single"/>
        </w:rPr>
        <w:t>Target/absorber integrity analysis</w:t>
      </w:r>
      <w:r w:rsidRPr="00BD6058">
        <w:t xml:space="preserve"> – analyzes thermal effects </w:t>
      </w:r>
      <w:r>
        <w:t xml:space="preserve">from energy deposition </w:t>
      </w:r>
      <w:r w:rsidRPr="00BD6058">
        <w:t xml:space="preserve">to components, such as targets and absorbers, </w:t>
      </w:r>
      <w:r>
        <w:t>to avoid melting, sublimation, cracking, etc.</w:t>
      </w:r>
    </w:p>
    <w:p w14:paraId="27A0378F" w14:textId="77777777" w:rsidR="00833635" w:rsidRPr="00BD6058" w:rsidRDefault="00833635" w:rsidP="00212CE3">
      <w:pPr>
        <w:jc w:val="both"/>
      </w:pPr>
    </w:p>
    <w:p w14:paraId="46F48188" w14:textId="6B538725" w:rsidR="006D1698" w:rsidRDefault="006D1698" w:rsidP="00212CE3">
      <w:pPr>
        <w:jc w:val="both"/>
      </w:pPr>
      <w:r w:rsidRPr="000618F2">
        <w:rPr>
          <w:i/>
          <w:u w:val="single"/>
        </w:rPr>
        <w:t>Ground and surface water activation calculations</w:t>
      </w:r>
      <w:r w:rsidRPr="00BD6058">
        <w:t xml:space="preserve"> – estimates radionuclide (i.e., </w:t>
      </w:r>
      <w:r w:rsidRPr="00BD6058">
        <w:rPr>
          <w:vertAlign w:val="superscript"/>
        </w:rPr>
        <w:t>3</w:t>
      </w:r>
      <w:r w:rsidRPr="00BD6058">
        <w:t xml:space="preserve">H, </w:t>
      </w:r>
      <w:r w:rsidRPr="00BD6058">
        <w:rPr>
          <w:vertAlign w:val="superscript"/>
        </w:rPr>
        <w:t>22</w:t>
      </w:r>
      <w:r w:rsidRPr="00BD6058">
        <w:t>Na) concentrations and their migration in hydrated soils surrounding beam enclosures.  For specific release points, suggest monitoring locations, if any.</w:t>
      </w:r>
    </w:p>
    <w:p w14:paraId="7E7483C2" w14:textId="77777777" w:rsidR="00833635" w:rsidRPr="00BD6058" w:rsidRDefault="00833635" w:rsidP="00212CE3">
      <w:pPr>
        <w:jc w:val="both"/>
      </w:pPr>
    </w:p>
    <w:p w14:paraId="2D1A1001" w14:textId="77C29EB4" w:rsidR="006D1698" w:rsidRDefault="006D1698" w:rsidP="00212CE3">
      <w:pPr>
        <w:jc w:val="both"/>
      </w:pPr>
      <w:r w:rsidRPr="000618F2">
        <w:rPr>
          <w:i/>
          <w:u w:val="single"/>
        </w:rPr>
        <w:t>Air activation</w:t>
      </w:r>
      <w:r w:rsidRPr="00121F49">
        <w:t xml:space="preserve"> – describes the effect of potential radionuclides produced in the beamline enclosure air when personnel access is permitted as well as any releases to the environment (see </w:t>
      </w:r>
      <w:hyperlink r:id="rId22" w:history="1">
        <w:r w:rsidR="00E27E29" w:rsidRPr="00E27E29">
          <w:rPr>
            <w:rStyle w:val="Hyperlink"/>
            <w:rFonts w:cs="Times"/>
            <w:szCs w:val="24"/>
          </w:rPr>
          <w:t>RP Note No. 128</w:t>
        </w:r>
      </w:hyperlink>
      <w:r w:rsidRPr="00121F49">
        <w:t>).  For specific release points, suggest</w:t>
      </w:r>
      <w:r w:rsidR="00212CE3">
        <w:t xml:space="preserve"> monitoring locations, if any. </w:t>
      </w:r>
      <w:r w:rsidRPr="00121F49">
        <w:t>In addition, other potential hazards (e.g., ozone) induced by the irradiation of air should be described [</w:t>
      </w:r>
      <w:r>
        <w:t>6</w:t>
      </w:r>
      <w:r w:rsidRPr="00121F49">
        <w:t>].</w:t>
      </w:r>
    </w:p>
    <w:p w14:paraId="15DF866C" w14:textId="77777777" w:rsidR="00833635" w:rsidRPr="00121F49" w:rsidRDefault="00833635" w:rsidP="00212CE3">
      <w:pPr>
        <w:jc w:val="both"/>
      </w:pPr>
    </w:p>
    <w:p w14:paraId="5BE4C8C8" w14:textId="77777777" w:rsidR="006D1698" w:rsidRPr="000618F2" w:rsidRDefault="006D1698" w:rsidP="00212CE3">
      <w:pPr>
        <w:jc w:val="both"/>
        <w:rPr>
          <w:u w:val="single"/>
        </w:rPr>
      </w:pPr>
      <w:r w:rsidRPr="000618F2">
        <w:rPr>
          <w:i/>
          <w:u w:val="single"/>
        </w:rPr>
        <w:t>Other Beam Induced Hazards</w:t>
      </w:r>
    </w:p>
    <w:p w14:paraId="72F7995D" w14:textId="2C733323" w:rsidR="006D1698" w:rsidRDefault="006D1698" w:rsidP="00212CE3">
      <w:pPr>
        <w:ind w:left="720"/>
        <w:jc w:val="both"/>
      </w:pPr>
      <w:r w:rsidRPr="00BD6058">
        <w:rPr>
          <w:i/>
        </w:rPr>
        <w:t>Residual dose rates</w:t>
      </w:r>
      <w:r w:rsidRPr="00BD6058">
        <w:t xml:space="preserve"> </w:t>
      </w:r>
      <w:r w:rsidRPr="00121F49">
        <w:t>–</w:t>
      </w:r>
      <w:r w:rsidRPr="00BD6058">
        <w:t xml:space="preserve"> estimates residual dose rates due to </w:t>
      </w:r>
      <w:r w:rsidR="00944022" w:rsidRPr="00BD6058">
        <w:t>radio activation</w:t>
      </w:r>
      <w:r w:rsidRPr="00BD6058">
        <w:t xml:space="preserve"> from known loss locations</w:t>
      </w:r>
      <w:r>
        <w:t>.</w:t>
      </w:r>
    </w:p>
    <w:p w14:paraId="7EE1840B" w14:textId="77777777" w:rsidR="000618F2" w:rsidRDefault="000618F2" w:rsidP="00212CE3">
      <w:pPr>
        <w:ind w:left="720"/>
        <w:jc w:val="both"/>
      </w:pPr>
    </w:p>
    <w:p w14:paraId="1FC37687" w14:textId="0F8C7DD4" w:rsidR="006D1698" w:rsidRDefault="006D1698" w:rsidP="00212CE3">
      <w:pPr>
        <w:ind w:left="720"/>
        <w:jc w:val="both"/>
      </w:pPr>
      <w:r>
        <w:rPr>
          <w:i/>
        </w:rPr>
        <w:t xml:space="preserve">Cooling water </w:t>
      </w:r>
      <w:r w:rsidRPr="00BD6058">
        <w:t xml:space="preserve">– </w:t>
      </w:r>
      <w:r w:rsidRPr="00F35586">
        <w:t>estimates</w:t>
      </w:r>
      <w:r w:rsidRPr="00BD6058">
        <w:t xml:space="preserve"> build-up and transport of radioactivity in cooling water systems (e.g., LCW, RAW)</w:t>
      </w:r>
      <w:r>
        <w:t>.</w:t>
      </w:r>
    </w:p>
    <w:p w14:paraId="1BC3D881" w14:textId="77777777" w:rsidR="000618F2" w:rsidRDefault="000618F2" w:rsidP="00212CE3">
      <w:pPr>
        <w:ind w:left="720"/>
        <w:jc w:val="both"/>
      </w:pPr>
    </w:p>
    <w:p w14:paraId="28A6E8B2" w14:textId="78035E51" w:rsidR="006D1698" w:rsidRDefault="006D1698" w:rsidP="00212CE3">
      <w:pPr>
        <w:ind w:left="720"/>
        <w:jc w:val="both"/>
      </w:pPr>
      <w:r w:rsidRPr="00BD6058">
        <w:rPr>
          <w:i/>
        </w:rPr>
        <w:t>Hydrogen gas</w:t>
      </w:r>
      <w:r>
        <w:t xml:space="preserve"> – estimates hydrogen gas evolution from radiolysis in cooling water systems [6].</w:t>
      </w:r>
    </w:p>
    <w:p w14:paraId="34464176" w14:textId="77777777" w:rsidR="000618F2" w:rsidRPr="00BD6058" w:rsidRDefault="000618F2" w:rsidP="00212CE3">
      <w:pPr>
        <w:ind w:left="720"/>
        <w:jc w:val="both"/>
      </w:pPr>
    </w:p>
    <w:p w14:paraId="2639AB5D" w14:textId="5ABB5BD7" w:rsidR="006D1698" w:rsidRDefault="006D1698" w:rsidP="00212CE3">
      <w:pPr>
        <w:jc w:val="both"/>
      </w:pPr>
      <w:r w:rsidRPr="000618F2">
        <w:rPr>
          <w:i/>
          <w:u w:val="single"/>
        </w:rPr>
        <w:t>Air scattered radiation</w:t>
      </w:r>
      <w:r w:rsidRPr="00121F49">
        <w:t xml:space="preserve"> – also known as ‘</w:t>
      </w:r>
      <w:proofErr w:type="spellStart"/>
      <w:r w:rsidRPr="00121F49">
        <w:t>skyshine</w:t>
      </w:r>
      <w:proofErr w:type="spellEnd"/>
      <w:r w:rsidRPr="00121F49">
        <w:t>,’ addresses prompt radiation scattered in air near thinly-shielded areas</w:t>
      </w:r>
      <w:r>
        <w:t>.</w:t>
      </w:r>
    </w:p>
    <w:p w14:paraId="60BF29B6" w14:textId="77777777" w:rsidR="000618F2" w:rsidRPr="004970F8" w:rsidRDefault="000618F2" w:rsidP="00212CE3">
      <w:pPr>
        <w:jc w:val="both"/>
      </w:pPr>
    </w:p>
    <w:p w14:paraId="0D6FD931" w14:textId="6755FE75" w:rsidR="006D1698" w:rsidRDefault="006D1698" w:rsidP="00212CE3">
      <w:pPr>
        <w:jc w:val="both"/>
      </w:pPr>
      <w:r w:rsidRPr="000618F2">
        <w:rPr>
          <w:i/>
          <w:u w:val="single"/>
        </w:rPr>
        <w:t>Muon production</w:t>
      </w:r>
      <w:r w:rsidRPr="000618F2">
        <w:rPr>
          <w:u w:val="single"/>
        </w:rPr>
        <w:t xml:space="preserve"> </w:t>
      </w:r>
      <w:r w:rsidRPr="00121F49">
        <w:t>– estimates potential prompt dose rates due to muons both on-site and off-site</w:t>
      </w:r>
      <w:r>
        <w:t>.</w:t>
      </w:r>
    </w:p>
    <w:p w14:paraId="690FC856" w14:textId="77777777" w:rsidR="000618F2" w:rsidRPr="00BD6058" w:rsidRDefault="000618F2" w:rsidP="00212CE3">
      <w:pPr>
        <w:jc w:val="both"/>
      </w:pPr>
    </w:p>
    <w:p w14:paraId="16EBEE71" w14:textId="738D291E" w:rsidR="006D1698" w:rsidRDefault="006D1698" w:rsidP="00212CE3">
      <w:pPr>
        <w:jc w:val="both"/>
      </w:pPr>
      <w:r w:rsidRPr="000618F2">
        <w:rPr>
          <w:i/>
          <w:u w:val="single"/>
        </w:rPr>
        <w:t>Intended active shielding controls and monitoring</w:t>
      </w:r>
      <w:r w:rsidRPr="00BD6058">
        <w:t xml:space="preserve"> – suggests locations for radiation monitoring devices (e.g., interlocked detectors) to control dose rates to personnel</w:t>
      </w:r>
      <w:r>
        <w:t>.</w:t>
      </w:r>
    </w:p>
    <w:p w14:paraId="096F53EB" w14:textId="77777777" w:rsidR="000618F2" w:rsidRPr="00BD6058" w:rsidRDefault="000618F2" w:rsidP="00212CE3">
      <w:pPr>
        <w:jc w:val="both"/>
      </w:pPr>
    </w:p>
    <w:p w14:paraId="74271D05" w14:textId="3527DB2A" w:rsidR="006D1698" w:rsidRDefault="006D1698" w:rsidP="00212CE3">
      <w:pPr>
        <w:jc w:val="both"/>
      </w:pPr>
      <w:r w:rsidRPr="000618F2">
        <w:rPr>
          <w:i/>
          <w:u w:val="single"/>
        </w:rPr>
        <w:t>Conclusions</w:t>
      </w:r>
      <w:r w:rsidRPr="00BD6058">
        <w:t xml:space="preserve"> </w:t>
      </w:r>
      <w:r w:rsidRPr="00121F49">
        <w:t>–</w:t>
      </w:r>
      <w:r w:rsidRPr="00BD6058">
        <w:t xml:space="preserve"> clear summary of shielding assessment conclusions and, if required, action items before beam is delivered to an area</w:t>
      </w:r>
      <w:r>
        <w:t>.</w:t>
      </w:r>
    </w:p>
    <w:p w14:paraId="550FA4F6" w14:textId="77777777" w:rsidR="000618F2" w:rsidRPr="00BD6058" w:rsidRDefault="000618F2" w:rsidP="00212CE3">
      <w:pPr>
        <w:jc w:val="both"/>
      </w:pPr>
    </w:p>
    <w:p w14:paraId="1B913CF5" w14:textId="35708531" w:rsidR="006D1698" w:rsidRPr="00BD6058" w:rsidRDefault="006D1698" w:rsidP="00212CE3">
      <w:pPr>
        <w:jc w:val="both"/>
      </w:pPr>
      <w:r w:rsidRPr="000618F2">
        <w:rPr>
          <w:i/>
          <w:u w:val="single"/>
        </w:rPr>
        <w:t>References</w:t>
      </w:r>
      <w:r w:rsidRPr="000618F2">
        <w:rPr>
          <w:u w:val="single"/>
        </w:rPr>
        <w:t xml:space="preserve"> </w:t>
      </w:r>
      <w:r w:rsidRPr="00121F49">
        <w:t>–</w:t>
      </w:r>
      <w:r w:rsidRPr="00BD6058">
        <w:t xml:space="preserve"> comprehensive list of references, including drawings, sketches, and documents used to support assessment conclusions</w:t>
      </w:r>
      <w:r w:rsidR="00E27E29">
        <w:t>.</w:t>
      </w:r>
    </w:p>
    <w:p w14:paraId="2DDC4B76" w14:textId="77777777" w:rsidR="006D1698" w:rsidRDefault="006D1698" w:rsidP="00212CE3">
      <w:pPr>
        <w:jc w:val="both"/>
      </w:pPr>
    </w:p>
    <w:p w14:paraId="15BCF3D6" w14:textId="510F02BA" w:rsidR="006D1698" w:rsidRPr="00BD6058" w:rsidRDefault="006D1698" w:rsidP="00212CE3">
      <w:pPr>
        <w:jc w:val="both"/>
        <w:rPr>
          <w:b/>
        </w:rPr>
      </w:pPr>
      <w:bookmarkStart w:id="29" w:name="_Toc496602973"/>
      <w:r w:rsidRPr="00BD6058">
        <w:rPr>
          <w:b/>
          <w:bCs/>
          <w:kern w:val="32"/>
        </w:rPr>
        <w:t>4</w:t>
      </w:r>
      <w:r w:rsidR="00AB3429">
        <w:rPr>
          <w:b/>
          <w:bCs/>
          <w:kern w:val="32"/>
        </w:rPr>
        <w:t>.</w:t>
      </w:r>
      <w:r w:rsidRPr="00BD6058">
        <w:rPr>
          <w:b/>
          <w:bCs/>
          <w:kern w:val="32"/>
        </w:rPr>
        <w:tab/>
        <w:t>References</w:t>
      </w:r>
      <w:bookmarkEnd w:id="29"/>
    </w:p>
    <w:p w14:paraId="0CE31CDB" w14:textId="77777777" w:rsidR="006D1698" w:rsidRPr="00BD6058" w:rsidRDefault="006D1698" w:rsidP="00212CE3">
      <w:pPr>
        <w:jc w:val="both"/>
        <w:rPr>
          <w:rFonts w:cs="Times"/>
        </w:rPr>
      </w:pPr>
    </w:p>
    <w:p w14:paraId="313D52D1" w14:textId="6AFE228F" w:rsidR="00E839FD" w:rsidRPr="0039157A" w:rsidRDefault="006D1698" w:rsidP="00212CE3">
      <w:pPr>
        <w:pStyle w:val="ListParagraph"/>
        <w:numPr>
          <w:ilvl w:val="0"/>
          <w:numId w:val="28"/>
        </w:numPr>
        <w:ind w:left="1080"/>
        <w:jc w:val="both"/>
        <w:rPr>
          <w:rStyle w:val="Hyperlink"/>
          <w:rFonts w:cs="Times"/>
          <w:color w:val="auto"/>
          <w:u w:val="none"/>
        </w:rPr>
      </w:pPr>
      <w:r w:rsidRPr="00BD6058">
        <w:rPr>
          <w:rFonts w:cs="Times"/>
          <w:i/>
          <w:szCs w:val="24"/>
        </w:rPr>
        <w:t>Fermilab Safety Assessment Document</w:t>
      </w:r>
      <w:r w:rsidRPr="00BD6058">
        <w:rPr>
          <w:rFonts w:cs="Times"/>
          <w:szCs w:val="24"/>
        </w:rPr>
        <w:t xml:space="preserve">, ESHQ-doc-1066, </w:t>
      </w:r>
      <w:hyperlink r:id="rId23" w:history="1">
        <w:r w:rsidRPr="00BD6058">
          <w:rPr>
            <w:rStyle w:val="Hyperlink"/>
            <w:rFonts w:cs="Times"/>
            <w:szCs w:val="24"/>
          </w:rPr>
          <w:t>https://esh-docdb.fnal.gov:440/cgi-bin/ShowDocument?docid=1066</w:t>
        </w:r>
      </w:hyperlink>
      <w:r w:rsidR="00E839FD">
        <w:rPr>
          <w:rStyle w:val="Hyperlink"/>
          <w:rFonts w:cs="Times"/>
          <w:szCs w:val="24"/>
        </w:rPr>
        <w:t>.</w:t>
      </w:r>
    </w:p>
    <w:p w14:paraId="3280C72E" w14:textId="77777777" w:rsidR="0039157A" w:rsidRPr="00BD6058" w:rsidRDefault="0039157A" w:rsidP="0039157A">
      <w:pPr>
        <w:pStyle w:val="ListParagraph"/>
        <w:ind w:left="1080"/>
        <w:jc w:val="both"/>
        <w:rPr>
          <w:rFonts w:cs="Times"/>
        </w:rPr>
      </w:pPr>
    </w:p>
    <w:p w14:paraId="4CEA48D2" w14:textId="0F543140" w:rsidR="00E839FD" w:rsidRDefault="00E839FD" w:rsidP="00E839FD">
      <w:pPr>
        <w:pStyle w:val="ListParagraph"/>
        <w:numPr>
          <w:ilvl w:val="0"/>
          <w:numId w:val="28"/>
        </w:numPr>
        <w:ind w:left="1080"/>
        <w:jc w:val="both"/>
      </w:pPr>
      <w:r>
        <w:t>Fermilab TM-1834, by J. D. Cossairt and M. Quinn, posted on the following website:</w:t>
      </w:r>
    </w:p>
    <w:p w14:paraId="532C651A" w14:textId="6C325DA3" w:rsidR="00E839FD" w:rsidRDefault="00E839FD" w:rsidP="0039157A">
      <w:pPr>
        <w:pStyle w:val="ListParagraph"/>
        <w:ind w:left="1080"/>
        <w:jc w:val="both"/>
      </w:pPr>
      <w:r>
        <w:t xml:space="preserve"> </w:t>
      </w:r>
      <w:hyperlink r:id="rId24" w:history="1">
        <w:r>
          <w:rPr>
            <w:rStyle w:val="Hyperlink"/>
          </w:rPr>
          <w:t>https://esh-docdb.fnal.gov/cgi-bin/sso/ShowDocument?docid=717</w:t>
        </w:r>
      </w:hyperlink>
      <w:r>
        <w:t>. (Note: This lead</w:t>
      </w:r>
      <w:r w:rsidR="00F14835">
        <w:t>s</w:t>
      </w:r>
      <w:r>
        <w:t xml:space="preserve"> to the preprint of  </w:t>
      </w:r>
      <w:r>
        <w:rPr>
          <w:i/>
        </w:rPr>
        <w:t>Accelerator Radiation Physics for Personnel and Environmental Protection</w:t>
      </w:r>
      <w:r>
        <w:t xml:space="preserve"> (CRC Press, Boca Raton, FL, 2019)</w:t>
      </w:r>
    </w:p>
    <w:p w14:paraId="22197448" w14:textId="77777777" w:rsidR="006D1698" w:rsidRPr="00BD6058" w:rsidRDefault="006D1698" w:rsidP="00212CE3">
      <w:pPr>
        <w:ind w:left="1080"/>
        <w:jc w:val="both"/>
        <w:rPr>
          <w:rFonts w:cs="Times"/>
        </w:rPr>
      </w:pPr>
    </w:p>
    <w:p w14:paraId="458EB3D7" w14:textId="77777777" w:rsidR="006D1698" w:rsidRPr="00BD6058" w:rsidRDefault="006D1698" w:rsidP="00212CE3">
      <w:pPr>
        <w:pStyle w:val="ListParagraph"/>
        <w:numPr>
          <w:ilvl w:val="0"/>
          <w:numId w:val="28"/>
        </w:numPr>
        <w:ind w:left="1080"/>
        <w:jc w:val="both"/>
        <w:rPr>
          <w:rFonts w:cs="Times"/>
        </w:rPr>
      </w:pPr>
      <w:r w:rsidRPr="00BD6058">
        <w:rPr>
          <w:rFonts w:cs="Times"/>
          <w:i/>
          <w:szCs w:val="24"/>
        </w:rPr>
        <w:t>Incremental Shielding Assessment Methodology</w:t>
      </w:r>
      <w:r w:rsidRPr="00BD6058">
        <w:rPr>
          <w:rFonts w:cs="Times"/>
          <w:szCs w:val="24"/>
        </w:rPr>
        <w:t xml:space="preserve">, W. Higgins and P. Kasper, </w:t>
      </w:r>
      <w:bookmarkStart w:id="30" w:name="_GoBack"/>
      <w:r w:rsidRPr="00BD6058">
        <w:rPr>
          <w:rFonts w:cs="Times"/>
          <w:szCs w:val="24"/>
        </w:rPr>
        <w:t xml:space="preserve">November 10, 1997, </w:t>
      </w:r>
      <w:bookmarkEnd w:id="30"/>
      <w:r w:rsidR="00703CA8">
        <w:fldChar w:fldCharType="begin"/>
      </w:r>
      <w:r w:rsidR="00703CA8">
        <w:instrText xml:space="preserve"> HYPERLINK "https://esh-docdb.fnal.gov:440/cgi-bin/ShowDocument?docid=3843" </w:instrText>
      </w:r>
      <w:r w:rsidR="00703CA8">
        <w:fldChar w:fldCharType="separate"/>
      </w:r>
      <w:r w:rsidRPr="00BD6058">
        <w:rPr>
          <w:rStyle w:val="Hyperlink"/>
          <w:rFonts w:cs="Times"/>
          <w:szCs w:val="24"/>
        </w:rPr>
        <w:t>https://esh-docdb.fnal.gov:440/cgi-bin/ShowDocument?docid=3843</w:t>
      </w:r>
      <w:r w:rsidR="00703CA8">
        <w:rPr>
          <w:rStyle w:val="Hyperlink"/>
          <w:rFonts w:cs="Times"/>
          <w:szCs w:val="24"/>
        </w:rPr>
        <w:fldChar w:fldCharType="end"/>
      </w:r>
    </w:p>
    <w:p w14:paraId="0E96161A" w14:textId="77777777" w:rsidR="006D1698" w:rsidRPr="00BD6058" w:rsidRDefault="006D1698" w:rsidP="00212CE3">
      <w:pPr>
        <w:jc w:val="both"/>
        <w:rPr>
          <w:rFonts w:cs="Times"/>
        </w:rPr>
      </w:pPr>
    </w:p>
    <w:p w14:paraId="2EDA9280" w14:textId="77777777" w:rsidR="006D1698" w:rsidRPr="00BD6058" w:rsidRDefault="006D1698" w:rsidP="00212CE3">
      <w:pPr>
        <w:pStyle w:val="ListParagraph"/>
        <w:numPr>
          <w:ilvl w:val="0"/>
          <w:numId w:val="28"/>
        </w:numPr>
        <w:ind w:left="1080"/>
        <w:jc w:val="both"/>
        <w:rPr>
          <w:rFonts w:cs="Times"/>
          <w:i/>
        </w:rPr>
      </w:pPr>
      <w:r w:rsidRPr="00BD6058">
        <w:rPr>
          <w:rFonts w:cs="Times"/>
          <w:i/>
          <w:szCs w:val="24"/>
        </w:rPr>
        <w:t>Update to the Generic Shielding Criteria</w:t>
      </w:r>
      <w:r w:rsidRPr="00BD6058">
        <w:rPr>
          <w:rFonts w:cs="Times"/>
          <w:szCs w:val="24"/>
        </w:rPr>
        <w:t xml:space="preserve">, D. Reitzner, FERMILAB-TM-2550-ESH, </w:t>
      </w:r>
      <w:hyperlink r:id="rId25" w:history="1">
        <w:r w:rsidRPr="00BD6058">
          <w:rPr>
            <w:rStyle w:val="Hyperlink"/>
            <w:rFonts w:cs="Times"/>
            <w:szCs w:val="24"/>
          </w:rPr>
          <w:t>https://esh-docdb.fnal.gov:440/cgi-bin/ShowDocument?docid=2263</w:t>
        </w:r>
      </w:hyperlink>
    </w:p>
    <w:p w14:paraId="1233150A" w14:textId="77777777" w:rsidR="006D1698" w:rsidRPr="00BD6058" w:rsidRDefault="006D1698" w:rsidP="00212CE3">
      <w:pPr>
        <w:ind w:left="1080"/>
        <w:jc w:val="both"/>
        <w:rPr>
          <w:rFonts w:cs="Times"/>
        </w:rPr>
      </w:pPr>
    </w:p>
    <w:p w14:paraId="4CBAE09F" w14:textId="77777777" w:rsidR="006D1698" w:rsidRPr="00BD6058" w:rsidRDefault="006D1698" w:rsidP="00212CE3">
      <w:pPr>
        <w:pStyle w:val="ListParagraph"/>
        <w:numPr>
          <w:ilvl w:val="0"/>
          <w:numId w:val="28"/>
        </w:numPr>
        <w:ind w:left="1080"/>
        <w:jc w:val="both"/>
        <w:rPr>
          <w:rFonts w:cs="Times"/>
          <w:szCs w:val="24"/>
        </w:rPr>
      </w:pPr>
      <w:r w:rsidRPr="00BD6058">
        <w:rPr>
          <w:rFonts w:cs="Times"/>
          <w:i/>
          <w:szCs w:val="24"/>
        </w:rPr>
        <w:t xml:space="preserve">MARS Code, </w:t>
      </w:r>
      <w:hyperlink r:id="rId26" w:history="1">
        <w:r w:rsidRPr="00BD6058">
          <w:rPr>
            <w:rStyle w:val="Hyperlink"/>
            <w:rFonts w:cs="Times"/>
            <w:szCs w:val="24"/>
          </w:rPr>
          <w:t>https://mars.fnal.gov</w:t>
        </w:r>
      </w:hyperlink>
      <w:r w:rsidRPr="00BD6058" w:rsidDel="006E0D54">
        <w:rPr>
          <w:rFonts w:cs="Times"/>
          <w:szCs w:val="24"/>
        </w:rPr>
        <w:t xml:space="preserve"> </w:t>
      </w:r>
    </w:p>
    <w:p w14:paraId="3848123F" w14:textId="77777777" w:rsidR="006D1698" w:rsidRPr="00BD6058" w:rsidRDefault="006D1698" w:rsidP="00212CE3">
      <w:pPr>
        <w:ind w:left="1080"/>
        <w:jc w:val="both"/>
        <w:rPr>
          <w:rFonts w:cs="Times"/>
        </w:rPr>
      </w:pPr>
    </w:p>
    <w:p w14:paraId="3FF0D699" w14:textId="77777777" w:rsidR="006D1698" w:rsidRPr="00BD6058" w:rsidRDefault="006D1698" w:rsidP="00212CE3">
      <w:pPr>
        <w:pStyle w:val="ListParagraph"/>
        <w:numPr>
          <w:ilvl w:val="0"/>
          <w:numId w:val="28"/>
        </w:numPr>
        <w:tabs>
          <w:tab w:val="left" w:pos="1080"/>
        </w:tabs>
        <w:ind w:left="1080"/>
        <w:jc w:val="both"/>
        <w:rPr>
          <w:szCs w:val="24"/>
        </w:rPr>
      </w:pPr>
      <w:r w:rsidRPr="00BD6058">
        <w:rPr>
          <w:rFonts w:cs="Times"/>
          <w:i/>
          <w:szCs w:val="24"/>
        </w:rPr>
        <w:t>Radiation Protection for Particle Accelerator Facilities</w:t>
      </w:r>
      <w:r w:rsidRPr="00BD6058">
        <w:rPr>
          <w:rFonts w:cs="Times"/>
          <w:szCs w:val="24"/>
        </w:rPr>
        <w:t>, National Council on Radiation Protection and Measurements (NCRP) Report #144, 2003</w:t>
      </w:r>
    </w:p>
    <w:p w14:paraId="6B99C9C2" w14:textId="752529D7" w:rsidR="00F44920" w:rsidRDefault="00F44920" w:rsidP="00212CE3">
      <w:pPr>
        <w:jc w:val="both"/>
      </w:pPr>
    </w:p>
    <w:sectPr w:rsidR="00F44920" w:rsidSect="00375182">
      <w:headerReference w:type="default" r:id="rId27"/>
      <w:footerReference w:type="default" r:id="rId28"/>
      <w:headerReference w:type="first" r:id="rId29"/>
      <w:footerReference w:type="first" r:id="rId30"/>
      <w:pgSz w:w="12240" w:h="15840" w:code="1"/>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48DCA" w14:textId="77777777" w:rsidR="00703CA8" w:rsidRDefault="00703CA8">
      <w:r>
        <w:separator/>
      </w:r>
    </w:p>
  </w:endnote>
  <w:endnote w:type="continuationSeparator" w:id="0">
    <w:p w14:paraId="3AB84F35" w14:textId="77777777" w:rsidR="00703CA8" w:rsidRDefault="0070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3A310" w14:textId="77777777" w:rsidR="00E839FD" w:rsidRPr="004C641E" w:rsidRDefault="00E839FD" w:rsidP="00366724">
    <w:pPr>
      <w:rPr>
        <w:sz w:val="10"/>
        <w:szCs w:val="16"/>
      </w:rPr>
    </w:pPr>
  </w:p>
  <w:p w14:paraId="4CBF6A35" w14:textId="77777777" w:rsidR="00944022" w:rsidRDefault="00E839FD" w:rsidP="00944022">
    <w:pPr>
      <w:pStyle w:val="Footer"/>
      <w:pBdr>
        <w:top w:val="single" w:sz="6" w:space="0" w:color="auto"/>
      </w:pBdr>
      <w:tabs>
        <w:tab w:val="clear" w:pos="8640"/>
        <w:tab w:val="right" w:pos="9180"/>
      </w:tabs>
      <w:ind w:left="-450" w:right="-360"/>
      <w:rPr>
        <w:rFonts w:ascii="Palatino" w:hAnsi="Palatino"/>
        <w:sz w:val="18"/>
      </w:rPr>
    </w:pPr>
    <w:r>
      <w:rPr>
        <w:i/>
        <w:sz w:val="18"/>
      </w:rPr>
      <w:t>Fermilab FRCM Manual</w:t>
    </w:r>
    <w:r>
      <w:rPr>
        <w:i/>
        <w:sz w:val="18"/>
      </w:rPr>
      <w:tab/>
    </w:r>
    <w:r>
      <w:rPr>
        <w:i/>
        <w:sz w:val="18"/>
      </w:rPr>
      <w:tab/>
    </w:r>
    <w:r>
      <w:rPr>
        <w:rFonts w:ascii="Palatino" w:hAnsi="Palatino"/>
        <w:sz w:val="18"/>
      </w:rPr>
      <w:t>8-</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w:t>
    </w:r>
    <w:r>
      <w:rPr>
        <w:rFonts w:ascii="Palatino" w:hAnsi="Palatino"/>
        <w:sz w:val="18"/>
      </w:rPr>
      <w:fldChar w:fldCharType="end"/>
    </w:r>
  </w:p>
  <w:p w14:paraId="4C1BB217" w14:textId="598E8CE1" w:rsidR="00E839FD" w:rsidRPr="00944022" w:rsidRDefault="00E839FD" w:rsidP="00944022">
    <w:pPr>
      <w:pStyle w:val="Footer"/>
      <w:pBdr>
        <w:top w:val="single" w:sz="6" w:space="0" w:color="auto"/>
      </w:pBdr>
      <w:tabs>
        <w:tab w:val="clear" w:pos="8640"/>
        <w:tab w:val="right" w:pos="9180"/>
      </w:tabs>
      <w:ind w:left="-450" w:right="-360"/>
      <w:rPr>
        <w:rFonts w:ascii="Palatino" w:hAnsi="Palatino"/>
        <w:sz w:val="18"/>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r w:rsidR="00596223">
      <w:rPr>
        <w:rFonts w:ascii="Palatino" w:hAnsi="Palatino"/>
        <w:i/>
        <w:sz w:val="18"/>
      </w:rPr>
      <w:t>ES&amp;H</w:t>
    </w:r>
    <w:r>
      <w:rPr>
        <w:rFonts w:ascii="Palatino" w:hAnsi="Palatino"/>
        <w:i/>
        <w:sz w:val="18"/>
      </w:rPr>
      <w:t xml:space="preserve"> Section we</w:t>
    </w:r>
    <w:r w:rsidRPr="00320751">
      <w:rPr>
        <w:rFonts w:ascii="Palatino" w:hAnsi="Palatino"/>
        <w:i/>
        <w:sz w:val="18"/>
      </w:rPr>
      <w:t>bsite.</w:t>
    </w:r>
    <w:r>
      <w:rPr>
        <w:rFonts w:ascii="Palatino" w:hAnsi="Palatino"/>
        <w:sz w:val="18"/>
      </w:rPr>
      <w:tab/>
    </w:r>
    <w:r>
      <w:rPr>
        <w:sz w:val="18"/>
        <w:szCs w:val="18"/>
      </w:rPr>
      <w:t>Rev. 01/2020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CD97E" w14:textId="5ED1430E" w:rsidR="00E839FD" w:rsidRDefault="00E839FD" w:rsidP="00366724">
    <w:pPr>
      <w:pStyle w:val="Footer"/>
      <w:pBdr>
        <w:top w:val="single" w:sz="6" w:space="0" w:color="auto"/>
      </w:pBdr>
      <w:tabs>
        <w:tab w:val="clear" w:pos="8640"/>
        <w:tab w:val="right" w:pos="9180"/>
      </w:tabs>
      <w:ind w:left="-450" w:right="-360"/>
      <w:rPr>
        <w:rFonts w:ascii="Palatino" w:hAnsi="Palatino"/>
        <w:sz w:val="18"/>
      </w:rPr>
    </w:pPr>
    <w:r>
      <w:rPr>
        <w:i/>
        <w:sz w:val="18"/>
      </w:rPr>
      <w:t>Fermilab FRCM Manual</w:t>
    </w:r>
    <w:r>
      <w:rPr>
        <w:i/>
        <w:sz w:val="18"/>
      </w:rPr>
      <w:tab/>
    </w:r>
    <w:r>
      <w:rPr>
        <w:i/>
        <w:sz w:val="18"/>
      </w:rPr>
      <w:tab/>
    </w:r>
    <w:r>
      <w:rPr>
        <w:rFonts w:ascii="Palatino" w:hAnsi="Palatino"/>
        <w:sz w:val="18"/>
      </w:rPr>
      <w:t>8-</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w:t>
    </w:r>
    <w:r>
      <w:rPr>
        <w:rFonts w:ascii="Palatino" w:hAnsi="Palatino"/>
        <w:sz w:val="18"/>
      </w:rPr>
      <w:fldChar w:fldCharType="end"/>
    </w:r>
  </w:p>
  <w:p w14:paraId="5D00ADE8" w14:textId="28286A99" w:rsidR="00E839FD" w:rsidRPr="00BD6058" w:rsidRDefault="00E839FD" w:rsidP="00366724">
    <w:pPr>
      <w:pStyle w:val="Footer"/>
      <w:pBdr>
        <w:top w:val="single" w:sz="6" w:space="0" w:color="auto"/>
      </w:pBdr>
      <w:tabs>
        <w:tab w:val="clear" w:pos="4320"/>
        <w:tab w:val="clear" w:pos="8640"/>
        <w:tab w:val="right" w:pos="9180"/>
      </w:tabs>
      <w:ind w:left="-450" w:right="-360"/>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r w:rsidR="00596223">
      <w:rPr>
        <w:rFonts w:ascii="Palatino" w:hAnsi="Palatino"/>
        <w:i/>
        <w:sz w:val="18"/>
      </w:rPr>
      <w:t>ES&amp;H</w:t>
    </w:r>
    <w:r>
      <w:rPr>
        <w:rFonts w:ascii="Palatino" w:hAnsi="Palatino"/>
        <w:i/>
        <w:sz w:val="18"/>
      </w:rPr>
      <w:t xml:space="preserve"> Section we</w:t>
    </w:r>
    <w:r w:rsidRPr="00320751">
      <w:rPr>
        <w:rFonts w:ascii="Palatino" w:hAnsi="Palatino"/>
        <w:i/>
        <w:sz w:val="18"/>
      </w:rPr>
      <w:t>bsite.</w:t>
    </w:r>
    <w:r>
      <w:rPr>
        <w:rFonts w:ascii="Palatino" w:hAnsi="Palatino"/>
        <w:sz w:val="18"/>
      </w:rPr>
      <w:tab/>
    </w:r>
    <w:r>
      <w:rPr>
        <w:sz w:val="18"/>
        <w:szCs w:val="18"/>
      </w:rPr>
      <w:t>Rev. 01/2018</w:t>
    </w:r>
  </w:p>
  <w:p w14:paraId="7E1C9623" w14:textId="77777777" w:rsidR="00E839FD" w:rsidRDefault="00E839FD" w:rsidP="003667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94F95" w14:textId="77777777" w:rsidR="00703CA8" w:rsidRDefault="00703CA8">
      <w:r>
        <w:separator/>
      </w:r>
    </w:p>
  </w:footnote>
  <w:footnote w:type="continuationSeparator" w:id="0">
    <w:p w14:paraId="2660E7AA" w14:textId="77777777" w:rsidR="00703CA8" w:rsidRDefault="00703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450" w:type="dxa"/>
      <w:tblLook w:val="04A0" w:firstRow="1" w:lastRow="0" w:firstColumn="1" w:lastColumn="0" w:noHBand="0" w:noVBand="1"/>
    </w:tblPr>
    <w:tblGrid>
      <w:gridCol w:w="9720"/>
    </w:tblGrid>
    <w:tr w:rsidR="00E839FD" w:rsidRPr="00201211" w14:paraId="692B39F1" w14:textId="77777777" w:rsidTr="009F1E84">
      <w:tc>
        <w:tcPr>
          <w:tcW w:w="9720" w:type="dxa"/>
          <w:shd w:val="clear" w:color="auto" w:fill="auto"/>
        </w:tcPr>
        <w:tbl>
          <w:tblPr>
            <w:tblW w:w="92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3"/>
            <w:gridCol w:w="4101"/>
            <w:gridCol w:w="2443"/>
          </w:tblGrid>
          <w:tr w:rsidR="00E839FD" w:rsidRPr="00423E3B" w14:paraId="4DF4E5BB" w14:textId="77777777" w:rsidTr="00366724">
            <w:trPr>
              <w:trHeight w:val="728"/>
            </w:trPr>
            <w:tc>
              <w:tcPr>
                <w:tcW w:w="2683" w:type="dxa"/>
              </w:tcPr>
              <w:p w14:paraId="15659203" w14:textId="77777777" w:rsidR="00E839FD" w:rsidRDefault="00E839FD" w:rsidP="00366724">
                <w:r w:rsidRPr="00684839">
                  <w:rPr>
                    <w:noProof/>
                  </w:rPr>
                  <w:drawing>
                    <wp:anchor distT="0" distB="0" distL="114300" distR="114300" simplePos="0" relativeHeight="251662336" behindDoc="0" locked="0" layoutInCell="1" allowOverlap="0" wp14:anchorId="2F2035F3" wp14:editId="01C27B28">
                      <wp:simplePos x="0" y="0"/>
                      <wp:positionH relativeFrom="page">
                        <wp:posOffset>45720</wp:posOffset>
                      </wp:positionH>
                      <wp:positionV relativeFrom="page">
                        <wp:posOffset>161290</wp:posOffset>
                      </wp:positionV>
                      <wp:extent cx="1552575" cy="276225"/>
                      <wp:effectExtent l="0" t="0" r="9525" b="9525"/>
                      <wp:wrapTopAndBottom/>
                      <wp:docPr id="56" name="Picture 5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01" w:type="dxa"/>
                <w:vAlign w:val="center"/>
              </w:tcPr>
              <w:p w14:paraId="749F3C2D" w14:textId="77777777" w:rsidR="00E839FD" w:rsidRPr="00BD6058" w:rsidRDefault="00E839FD" w:rsidP="00366724">
                <w:pPr>
                  <w:rPr>
                    <w:rFonts w:cs="Times"/>
                  </w:rPr>
                </w:pPr>
                <w:r w:rsidRPr="00BD6058">
                  <w:rPr>
                    <w:rFonts w:cs="Times"/>
                  </w:rPr>
                  <w:t>Fermilab Radiological Control Manual</w:t>
                </w:r>
              </w:p>
            </w:tc>
            <w:tc>
              <w:tcPr>
                <w:tcW w:w="2443" w:type="dxa"/>
                <w:vAlign w:val="center"/>
              </w:tcPr>
              <w:p w14:paraId="1BD4884E" w14:textId="77777777" w:rsidR="00E839FD" w:rsidRPr="00BD6058" w:rsidRDefault="00E839FD" w:rsidP="00366724">
                <w:pPr>
                  <w:jc w:val="center"/>
                  <w:rPr>
                    <w:rFonts w:cs="Times"/>
                  </w:rPr>
                </w:pPr>
                <w:r w:rsidRPr="00BD6058">
                  <w:rPr>
                    <w:rFonts w:cs="Times"/>
                  </w:rPr>
                  <w:t>FRCM 8</w:t>
                </w:r>
              </w:p>
              <w:p w14:paraId="437DD8D9" w14:textId="61BE77C5" w:rsidR="00E839FD" w:rsidRPr="00423E3B" w:rsidRDefault="00E839FD" w:rsidP="00366724">
                <w:pPr>
                  <w:ind w:right="-23"/>
                  <w:jc w:val="center"/>
                </w:pPr>
                <w:r>
                  <w:rPr>
                    <w:rFonts w:cs="Times"/>
                  </w:rPr>
                  <w:t>January 2020</w:t>
                </w:r>
              </w:p>
            </w:tc>
          </w:tr>
        </w:tbl>
        <w:p w14:paraId="471E1C29" w14:textId="77777777" w:rsidR="00E839FD" w:rsidRPr="00476161" w:rsidRDefault="00E839FD" w:rsidP="00366724">
          <w:pPr>
            <w:pStyle w:val="Header"/>
            <w:rPr>
              <w:rFonts w:ascii="Times New Roman" w:hAnsi="Times New Roman"/>
              <w:sz w:val="20"/>
            </w:rPr>
          </w:pPr>
        </w:p>
      </w:tc>
    </w:tr>
    <w:tr w:rsidR="00E839FD" w:rsidRPr="00201211" w14:paraId="475FDE4A" w14:textId="77777777" w:rsidTr="009F1E84">
      <w:tc>
        <w:tcPr>
          <w:tcW w:w="9720" w:type="dxa"/>
          <w:shd w:val="clear" w:color="auto" w:fill="auto"/>
        </w:tcPr>
        <w:p w14:paraId="3A5AC5B7" w14:textId="77777777" w:rsidR="00E839FD" w:rsidRPr="004C641E" w:rsidRDefault="00E839FD">
          <w:pPr>
            <w:pStyle w:val="Header"/>
            <w:rPr>
              <w:rFonts w:ascii="Times New Roman" w:hAnsi="Times New Roman"/>
              <w:sz w:val="10"/>
              <w:szCs w:val="16"/>
            </w:rPr>
          </w:pPr>
        </w:p>
      </w:tc>
    </w:tr>
  </w:tbl>
  <w:p w14:paraId="43DF8A6F" w14:textId="77777777" w:rsidR="00E839FD" w:rsidRPr="004C641E" w:rsidRDefault="00E839FD" w:rsidP="004C641E">
    <w:pPr>
      <w:pStyle w:val="Header"/>
      <w:rPr>
        <w:rFonts w:ascii="Times New Roman" w:hAnsi="Times New Roman"/>
        <w:sz w:val="1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19"/>
      <w:gridCol w:w="4106"/>
      <w:gridCol w:w="2430"/>
    </w:tblGrid>
    <w:tr w:rsidR="00E839FD" w:rsidRPr="00423E3B" w14:paraId="5A6C5FA1" w14:textId="77777777" w:rsidTr="00366724">
      <w:trPr>
        <w:trHeight w:val="640"/>
      </w:trPr>
      <w:tc>
        <w:tcPr>
          <w:tcW w:w="2819" w:type="dxa"/>
        </w:tcPr>
        <w:p w14:paraId="5B3D472F" w14:textId="77777777" w:rsidR="00E839FD" w:rsidRDefault="00E839FD" w:rsidP="00366724">
          <w:r w:rsidRPr="00684839">
            <w:rPr>
              <w:noProof/>
            </w:rPr>
            <w:drawing>
              <wp:anchor distT="0" distB="0" distL="114300" distR="114300" simplePos="0" relativeHeight="251661312" behindDoc="0" locked="0" layoutInCell="1" allowOverlap="0" wp14:anchorId="1CFB52C6" wp14:editId="70A333F8">
                <wp:simplePos x="0" y="0"/>
                <wp:positionH relativeFrom="page">
                  <wp:posOffset>45720</wp:posOffset>
                </wp:positionH>
                <wp:positionV relativeFrom="page">
                  <wp:posOffset>161290</wp:posOffset>
                </wp:positionV>
                <wp:extent cx="1552575" cy="276225"/>
                <wp:effectExtent l="0" t="0" r="9525" b="9525"/>
                <wp:wrapTopAndBottom/>
                <wp:docPr id="57" name="Picture 5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06" w:type="dxa"/>
          <w:vAlign w:val="center"/>
        </w:tcPr>
        <w:p w14:paraId="58E0B18F" w14:textId="77777777" w:rsidR="00E839FD" w:rsidRPr="00BD6058" w:rsidRDefault="00E839FD" w:rsidP="00366724">
          <w:pPr>
            <w:rPr>
              <w:rFonts w:cs="Times"/>
            </w:rPr>
          </w:pPr>
          <w:r w:rsidRPr="00BD6058">
            <w:rPr>
              <w:rFonts w:cs="Times"/>
            </w:rPr>
            <w:t>Fermilab Radiological Control Manual</w:t>
          </w:r>
        </w:p>
      </w:tc>
      <w:tc>
        <w:tcPr>
          <w:tcW w:w="2430" w:type="dxa"/>
          <w:vAlign w:val="center"/>
        </w:tcPr>
        <w:p w14:paraId="3F08B2D6" w14:textId="77777777" w:rsidR="00E839FD" w:rsidRPr="00BD6058" w:rsidRDefault="00E839FD" w:rsidP="00366724">
          <w:pPr>
            <w:jc w:val="center"/>
            <w:rPr>
              <w:rFonts w:cs="Times"/>
            </w:rPr>
          </w:pPr>
          <w:r w:rsidRPr="00BD6058">
            <w:rPr>
              <w:rFonts w:cs="Times"/>
            </w:rPr>
            <w:t>FRCM 8</w:t>
          </w:r>
        </w:p>
        <w:p w14:paraId="4BC18732" w14:textId="77777777" w:rsidR="00E839FD" w:rsidRPr="00423E3B" w:rsidRDefault="00E839FD" w:rsidP="00366724">
          <w:pPr>
            <w:ind w:right="-23"/>
            <w:jc w:val="center"/>
          </w:pPr>
          <w:r>
            <w:rPr>
              <w:rFonts w:cs="Times"/>
            </w:rPr>
            <w:t>January 2018</w:t>
          </w:r>
        </w:p>
      </w:tc>
    </w:tr>
  </w:tbl>
  <w:p w14:paraId="0A9D94DC" w14:textId="77777777" w:rsidR="00E839FD" w:rsidRDefault="00E839FD" w:rsidP="00366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019146AB"/>
    <w:multiLevelType w:val="hybridMultilevel"/>
    <w:tmpl w:val="2912F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46505"/>
    <w:multiLevelType w:val="hybridMultilevel"/>
    <w:tmpl w:val="72882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052C9"/>
    <w:multiLevelType w:val="hybridMultilevel"/>
    <w:tmpl w:val="3C46B6F6"/>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0CAC62A1"/>
    <w:multiLevelType w:val="hybridMultilevel"/>
    <w:tmpl w:val="03BA6B5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5" w15:restartNumberingAfterBreak="0">
    <w:nsid w:val="14C906C5"/>
    <w:multiLevelType w:val="hybridMultilevel"/>
    <w:tmpl w:val="ECC85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65FBE"/>
    <w:multiLevelType w:val="hybridMultilevel"/>
    <w:tmpl w:val="97A88FC2"/>
    <w:lvl w:ilvl="0" w:tplc="0178BE38">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C7E1A"/>
    <w:multiLevelType w:val="hybridMultilevel"/>
    <w:tmpl w:val="DD1E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6E19"/>
    <w:multiLevelType w:val="hybridMultilevel"/>
    <w:tmpl w:val="109C7F20"/>
    <w:lvl w:ilvl="0" w:tplc="0178BE38">
      <w:start w:val="1"/>
      <w:numFmt w:val="lowerLetter"/>
      <w:lvlText w:val="%1."/>
      <w:lvlJc w:val="left"/>
      <w:pPr>
        <w:ind w:left="976" w:hanging="360"/>
      </w:pPr>
      <w:rPr>
        <w:rFont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29490E38"/>
    <w:multiLevelType w:val="hybridMultilevel"/>
    <w:tmpl w:val="7D28D3C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0" w15:restartNumberingAfterBreak="0">
    <w:nsid w:val="31205606"/>
    <w:multiLevelType w:val="hybridMultilevel"/>
    <w:tmpl w:val="F97CA664"/>
    <w:lvl w:ilvl="0" w:tplc="3A368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A71119"/>
    <w:multiLevelType w:val="hybridMultilevel"/>
    <w:tmpl w:val="21505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80A70"/>
    <w:multiLevelType w:val="hybridMultilevel"/>
    <w:tmpl w:val="2CE47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F2372"/>
    <w:multiLevelType w:val="hybridMultilevel"/>
    <w:tmpl w:val="E6781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3E2B"/>
    <w:multiLevelType w:val="hybridMultilevel"/>
    <w:tmpl w:val="2C1A5BEE"/>
    <w:lvl w:ilvl="0" w:tplc="A93CEF54">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C3BE3"/>
    <w:multiLevelType w:val="hybridMultilevel"/>
    <w:tmpl w:val="028021B0"/>
    <w:lvl w:ilvl="0" w:tplc="E3688C42">
      <w:start w:val="1"/>
      <w:numFmt w:val="lowerLetter"/>
      <w:lvlText w:val="%1."/>
      <w:lvlJc w:val="left"/>
      <w:pPr>
        <w:ind w:left="1440" w:hanging="360"/>
      </w:pPr>
      <w:rPr>
        <w:rFonts w:hint="default"/>
      </w:rPr>
    </w:lvl>
    <w:lvl w:ilvl="1" w:tplc="539CFDE2" w:tentative="1">
      <w:start w:val="1"/>
      <w:numFmt w:val="lowerLetter"/>
      <w:lvlText w:val="%2."/>
      <w:lvlJc w:val="left"/>
      <w:pPr>
        <w:ind w:left="2160" w:hanging="360"/>
      </w:pPr>
    </w:lvl>
    <w:lvl w:ilvl="2" w:tplc="7478A544" w:tentative="1">
      <w:start w:val="1"/>
      <w:numFmt w:val="lowerRoman"/>
      <w:lvlText w:val="%3."/>
      <w:lvlJc w:val="right"/>
      <w:pPr>
        <w:ind w:left="2880" w:hanging="180"/>
      </w:pPr>
    </w:lvl>
    <w:lvl w:ilvl="3" w:tplc="CD12AB7A" w:tentative="1">
      <w:start w:val="1"/>
      <w:numFmt w:val="decimal"/>
      <w:lvlText w:val="%4."/>
      <w:lvlJc w:val="left"/>
      <w:pPr>
        <w:ind w:left="3600" w:hanging="360"/>
      </w:pPr>
    </w:lvl>
    <w:lvl w:ilvl="4" w:tplc="1B04BDAE" w:tentative="1">
      <w:start w:val="1"/>
      <w:numFmt w:val="lowerLetter"/>
      <w:lvlText w:val="%5."/>
      <w:lvlJc w:val="left"/>
      <w:pPr>
        <w:ind w:left="4320" w:hanging="360"/>
      </w:pPr>
    </w:lvl>
    <w:lvl w:ilvl="5" w:tplc="608C38AE" w:tentative="1">
      <w:start w:val="1"/>
      <w:numFmt w:val="lowerRoman"/>
      <w:lvlText w:val="%6."/>
      <w:lvlJc w:val="right"/>
      <w:pPr>
        <w:ind w:left="5040" w:hanging="180"/>
      </w:pPr>
    </w:lvl>
    <w:lvl w:ilvl="6" w:tplc="B85A082C" w:tentative="1">
      <w:start w:val="1"/>
      <w:numFmt w:val="decimal"/>
      <w:lvlText w:val="%7."/>
      <w:lvlJc w:val="left"/>
      <w:pPr>
        <w:ind w:left="5760" w:hanging="360"/>
      </w:pPr>
    </w:lvl>
    <w:lvl w:ilvl="7" w:tplc="FF840F62" w:tentative="1">
      <w:start w:val="1"/>
      <w:numFmt w:val="lowerLetter"/>
      <w:lvlText w:val="%8."/>
      <w:lvlJc w:val="left"/>
      <w:pPr>
        <w:ind w:left="6480" w:hanging="360"/>
      </w:pPr>
    </w:lvl>
    <w:lvl w:ilvl="8" w:tplc="758AD520" w:tentative="1">
      <w:start w:val="1"/>
      <w:numFmt w:val="lowerRoman"/>
      <w:lvlText w:val="%9."/>
      <w:lvlJc w:val="right"/>
      <w:pPr>
        <w:ind w:left="7200" w:hanging="180"/>
      </w:pPr>
    </w:lvl>
  </w:abstractNum>
  <w:abstractNum w:abstractNumId="16" w15:restartNumberingAfterBreak="0">
    <w:nsid w:val="49BB5500"/>
    <w:multiLevelType w:val="hybridMultilevel"/>
    <w:tmpl w:val="594C1C6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5526330"/>
    <w:multiLevelType w:val="hybridMultilevel"/>
    <w:tmpl w:val="A0C4181E"/>
    <w:lvl w:ilvl="0" w:tplc="D96A6D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F0745"/>
    <w:multiLevelType w:val="hybridMultilevel"/>
    <w:tmpl w:val="19FAD0BE"/>
    <w:lvl w:ilvl="0" w:tplc="9AC886D8">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57238"/>
    <w:multiLevelType w:val="hybridMultilevel"/>
    <w:tmpl w:val="57222B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570DF8"/>
    <w:multiLevelType w:val="hybridMultilevel"/>
    <w:tmpl w:val="0FEC52A0"/>
    <w:lvl w:ilvl="0" w:tplc="0409000F">
      <w:start w:val="1"/>
      <w:numFmt w:val="decimal"/>
      <w:lvlText w:val="%1."/>
      <w:lvlJc w:val="left"/>
      <w:pPr>
        <w:ind w:left="976" w:hanging="360"/>
      </w:pPr>
      <w:rPr>
        <w:rFont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21" w15:restartNumberingAfterBreak="0">
    <w:nsid w:val="634D3A1F"/>
    <w:multiLevelType w:val="hybridMultilevel"/>
    <w:tmpl w:val="7894635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38F373A"/>
    <w:multiLevelType w:val="hybridMultilevel"/>
    <w:tmpl w:val="DA126A0E"/>
    <w:lvl w:ilvl="0" w:tplc="0178BE38">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527BD4"/>
    <w:multiLevelType w:val="hybridMultilevel"/>
    <w:tmpl w:val="AD88CC4A"/>
    <w:lvl w:ilvl="0" w:tplc="536A8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5B6FF2"/>
    <w:multiLevelType w:val="hybridMultilevel"/>
    <w:tmpl w:val="E9E44D2C"/>
    <w:lvl w:ilvl="0" w:tplc="5C661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DF38C2"/>
    <w:multiLevelType w:val="hybridMultilevel"/>
    <w:tmpl w:val="49C2157C"/>
    <w:lvl w:ilvl="0" w:tplc="0178BE38">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D106F"/>
    <w:multiLevelType w:val="hybridMultilevel"/>
    <w:tmpl w:val="56D474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0EF42F3"/>
    <w:multiLevelType w:val="hybridMultilevel"/>
    <w:tmpl w:val="690A07E8"/>
    <w:lvl w:ilvl="0" w:tplc="724C2E2C">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85A25"/>
    <w:multiLevelType w:val="hybridMultilevel"/>
    <w:tmpl w:val="FCE6CAD6"/>
    <w:lvl w:ilvl="0" w:tplc="0178BE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301268"/>
    <w:multiLevelType w:val="hybridMultilevel"/>
    <w:tmpl w:val="9CBC3ED2"/>
    <w:lvl w:ilvl="0" w:tplc="31BC7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A4D34"/>
    <w:multiLevelType w:val="hybridMultilevel"/>
    <w:tmpl w:val="236683D8"/>
    <w:lvl w:ilvl="0" w:tplc="D96A6D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0345E"/>
    <w:multiLevelType w:val="hybridMultilevel"/>
    <w:tmpl w:val="5FD2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7265C"/>
    <w:multiLevelType w:val="hybridMultilevel"/>
    <w:tmpl w:val="9D5A1C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371719"/>
    <w:multiLevelType w:val="hybridMultilevel"/>
    <w:tmpl w:val="EB140F1C"/>
    <w:lvl w:ilvl="0" w:tplc="04090019">
      <w:start w:val="1"/>
      <w:numFmt w:val="decimal"/>
      <w:lvlText w:val="%1."/>
      <w:lvlJc w:val="left"/>
      <w:pPr>
        <w:ind w:left="720" w:hanging="360"/>
      </w:pPr>
      <w:rPr>
        <w:rFonts w:hint="default"/>
        <w:b w:val="0"/>
        <w:i w:val="0"/>
        <w:sz w:val="24"/>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F69D8"/>
    <w:multiLevelType w:val="hybridMultilevel"/>
    <w:tmpl w:val="DD3CE6A6"/>
    <w:lvl w:ilvl="0" w:tplc="F84E56E6">
      <w:start w:val="1"/>
      <w:numFmt w:val="decimal"/>
      <w:lvlText w:val="[%1]"/>
      <w:lvlJc w:val="left"/>
      <w:pPr>
        <w:ind w:left="99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24290A"/>
    <w:multiLevelType w:val="hybridMultilevel"/>
    <w:tmpl w:val="4970CC4A"/>
    <w:lvl w:ilvl="0" w:tplc="1E1A5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54BDB"/>
    <w:multiLevelType w:val="hybridMultilevel"/>
    <w:tmpl w:val="B9184BB6"/>
    <w:lvl w:ilvl="0" w:tplc="724C2E2C">
      <w:start w:val="1"/>
      <w:numFmt w:val="decimal"/>
      <w:lvlText w:val="%1."/>
      <w:lvlJc w:val="left"/>
      <w:pPr>
        <w:ind w:left="720" w:hanging="360"/>
      </w:pPr>
    </w:lvl>
    <w:lvl w:ilvl="1" w:tplc="F194471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F265ED"/>
    <w:multiLevelType w:val="hybridMultilevel"/>
    <w:tmpl w:val="D65AE226"/>
    <w:lvl w:ilvl="0" w:tplc="0409000F">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33027"/>
    <w:multiLevelType w:val="hybridMultilevel"/>
    <w:tmpl w:val="16DA1F6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abstractNumId w:val="15"/>
  </w:num>
  <w:num w:numId="2">
    <w:abstractNumId w:val="10"/>
  </w:num>
  <w:num w:numId="3">
    <w:abstractNumId w:val="12"/>
  </w:num>
  <w:num w:numId="4">
    <w:abstractNumId w:val="1"/>
  </w:num>
  <w:num w:numId="5">
    <w:abstractNumId w:val="36"/>
  </w:num>
  <w:num w:numId="6">
    <w:abstractNumId w:val="11"/>
  </w:num>
  <w:num w:numId="7">
    <w:abstractNumId w:val="6"/>
  </w:num>
  <w:num w:numId="8">
    <w:abstractNumId w:val="18"/>
  </w:num>
  <w:num w:numId="9">
    <w:abstractNumId w:val="27"/>
  </w:num>
  <w:num w:numId="10">
    <w:abstractNumId w:val="22"/>
  </w:num>
  <w:num w:numId="11">
    <w:abstractNumId w:val="14"/>
  </w:num>
  <w:num w:numId="12">
    <w:abstractNumId w:val="37"/>
  </w:num>
  <w:num w:numId="13">
    <w:abstractNumId w:val="17"/>
  </w:num>
  <w:num w:numId="14">
    <w:abstractNumId w:val="25"/>
  </w:num>
  <w:num w:numId="15">
    <w:abstractNumId w:val="33"/>
  </w:num>
  <w:num w:numId="16">
    <w:abstractNumId w:val="28"/>
  </w:num>
  <w:num w:numId="17">
    <w:abstractNumId w:val="2"/>
  </w:num>
  <w:num w:numId="18">
    <w:abstractNumId w:val="30"/>
  </w:num>
  <w:num w:numId="19">
    <w:abstractNumId w:val="13"/>
  </w:num>
  <w:num w:numId="20">
    <w:abstractNumId w:val="5"/>
  </w:num>
  <w:num w:numId="21">
    <w:abstractNumId w:val="21"/>
  </w:num>
  <w:num w:numId="22">
    <w:abstractNumId w:val="24"/>
  </w:num>
  <w:num w:numId="23">
    <w:abstractNumId w:val="23"/>
  </w:num>
  <w:num w:numId="24">
    <w:abstractNumId w:val="35"/>
  </w:num>
  <w:num w:numId="25">
    <w:abstractNumId w:val="29"/>
  </w:num>
  <w:num w:numId="26">
    <w:abstractNumId w:val="0"/>
  </w:num>
  <w:num w:numId="27">
    <w:abstractNumId w:val="16"/>
  </w:num>
  <w:num w:numId="28">
    <w:abstractNumId w:val="34"/>
  </w:num>
  <w:num w:numId="29">
    <w:abstractNumId w:val="19"/>
  </w:num>
  <w:num w:numId="30">
    <w:abstractNumId w:val="32"/>
  </w:num>
  <w:num w:numId="31">
    <w:abstractNumId w:val="26"/>
  </w:num>
  <w:num w:numId="32">
    <w:abstractNumId w:val="31"/>
  </w:num>
  <w:num w:numId="33">
    <w:abstractNumId w:val="7"/>
  </w:num>
  <w:num w:numId="34">
    <w:abstractNumId w:val="4"/>
  </w:num>
  <w:num w:numId="35">
    <w:abstractNumId w:val="38"/>
  </w:num>
  <w:num w:numId="36">
    <w:abstractNumId w:val="3"/>
  </w:num>
  <w:num w:numId="37">
    <w:abstractNumId w:val="9"/>
  </w:num>
  <w:num w:numId="38">
    <w:abstractNumId w:val="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0E"/>
    <w:rsid w:val="00007590"/>
    <w:rsid w:val="000158CC"/>
    <w:rsid w:val="00016B21"/>
    <w:rsid w:val="00021894"/>
    <w:rsid w:val="000326BB"/>
    <w:rsid w:val="00033ADE"/>
    <w:rsid w:val="00034E40"/>
    <w:rsid w:val="00034E74"/>
    <w:rsid w:val="00045E9B"/>
    <w:rsid w:val="000503C9"/>
    <w:rsid w:val="000532FE"/>
    <w:rsid w:val="000548B8"/>
    <w:rsid w:val="00060119"/>
    <w:rsid w:val="000618F2"/>
    <w:rsid w:val="00062C92"/>
    <w:rsid w:val="00066FF2"/>
    <w:rsid w:val="000937A5"/>
    <w:rsid w:val="000A3530"/>
    <w:rsid w:val="000A7C26"/>
    <w:rsid w:val="000B3295"/>
    <w:rsid w:val="000B4489"/>
    <w:rsid w:val="000C59AE"/>
    <w:rsid w:val="000D787C"/>
    <w:rsid w:val="000E20B2"/>
    <w:rsid w:val="00107A97"/>
    <w:rsid w:val="001110E3"/>
    <w:rsid w:val="0011569A"/>
    <w:rsid w:val="001166B7"/>
    <w:rsid w:val="00125B17"/>
    <w:rsid w:val="00145EF0"/>
    <w:rsid w:val="0014768B"/>
    <w:rsid w:val="001538FE"/>
    <w:rsid w:val="00162B5D"/>
    <w:rsid w:val="00162E36"/>
    <w:rsid w:val="0017186B"/>
    <w:rsid w:val="00171998"/>
    <w:rsid w:val="0018313E"/>
    <w:rsid w:val="001A0825"/>
    <w:rsid w:val="001A407A"/>
    <w:rsid w:val="001A7FC2"/>
    <w:rsid w:val="001B2005"/>
    <w:rsid w:val="001B4D9E"/>
    <w:rsid w:val="001C0CA3"/>
    <w:rsid w:val="001C4391"/>
    <w:rsid w:val="001C6725"/>
    <w:rsid w:val="001D0225"/>
    <w:rsid w:val="001D4ABB"/>
    <w:rsid w:val="001D7504"/>
    <w:rsid w:val="001E1DDB"/>
    <w:rsid w:val="001E2015"/>
    <w:rsid w:val="001E22BD"/>
    <w:rsid w:val="001E3217"/>
    <w:rsid w:val="001E345E"/>
    <w:rsid w:val="001E5C00"/>
    <w:rsid w:val="002069F2"/>
    <w:rsid w:val="00207768"/>
    <w:rsid w:val="00211AE6"/>
    <w:rsid w:val="00212CE3"/>
    <w:rsid w:val="00216DFE"/>
    <w:rsid w:val="0021794B"/>
    <w:rsid w:val="002179FD"/>
    <w:rsid w:val="0023286B"/>
    <w:rsid w:val="0023726B"/>
    <w:rsid w:val="00240B35"/>
    <w:rsid w:val="00241FAA"/>
    <w:rsid w:val="00242795"/>
    <w:rsid w:val="00245F0B"/>
    <w:rsid w:val="002520AF"/>
    <w:rsid w:val="00256718"/>
    <w:rsid w:val="0026106D"/>
    <w:rsid w:val="0026137C"/>
    <w:rsid w:val="00265514"/>
    <w:rsid w:val="0027053C"/>
    <w:rsid w:val="002758AF"/>
    <w:rsid w:val="00280FB0"/>
    <w:rsid w:val="002821C2"/>
    <w:rsid w:val="00290247"/>
    <w:rsid w:val="00293BDE"/>
    <w:rsid w:val="002942A8"/>
    <w:rsid w:val="002974EF"/>
    <w:rsid w:val="002A7FFB"/>
    <w:rsid w:val="002B0E79"/>
    <w:rsid w:val="002B5149"/>
    <w:rsid w:val="002C3B29"/>
    <w:rsid w:val="002D1815"/>
    <w:rsid w:val="002D1A28"/>
    <w:rsid w:val="002D1D15"/>
    <w:rsid w:val="002D2FC1"/>
    <w:rsid w:val="002E0827"/>
    <w:rsid w:val="002E2F66"/>
    <w:rsid w:val="002F6284"/>
    <w:rsid w:val="00300587"/>
    <w:rsid w:val="00310B02"/>
    <w:rsid w:val="00312DD9"/>
    <w:rsid w:val="0031750A"/>
    <w:rsid w:val="00320F04"/>
    <w:rsid w:val="003326E7"/>
    <w:rsid w:val="003605AB"/>
    <w:rsid w:val="00363FB1"/>
    <w:rsid w:val="0036630D"/>
    <w:rsid w:val="00366724"/>
    <w:rsid w:val="00374CCD"/>
    <w:rsid w:val="00375182"/>
    <w:rsid w:val="00381422"/>
    <w:rsid w:val="00382129"/>
    <w:rsid w:val="00387ADB"/>
    <w:rsid w:val="0039157A"/>
    <w:rsid w:val="003950D0"/>
    <w:rsid w:val="003A1499"/>
    <w:rsid w:val="003A294B"/>
    <w:rsid w:val="003A58B6"/>
    <w:rsid w:val="003A65C7"/>
    <w:rsid w:val="003B0468"/>
    <w:rsid w:val="003B3DBC"/>
    <w:rsid w:val="003C18DC"/>
    <w:rsid w:val="003C28DE"/>
    <w:rsid w:val="003C3441"/>
    <w:rsid w:val="003D19CB"/>
    <w:rsid w:val="003E078D"/>
    <w:rsid w:val="003E19BC"/>
    <w:rsid w:val="003F1666"/>
    <w:rsid w:val="003F6B3C"/>
    <w:rsid w:val="004027AB"/>
    <w:rsid w:val="00405646"/>
    <w:rsid w:val="00411A02"/>
    <w:rsid w:val="004141B9"/>
    <w:rsid w:val="00414AD2"/>
    <w:rsid w:val="004163FC"/>
    <w:rsid w:val="0043002A"/>
    <w:rsid w:val="0043113D"/>
    <w:rsid w:val="00432572"/>
    <w:rsid w:val="00440331"/>
    <w:rsid w:val="00440593"/>
    <w:rsid w:val="004517A3"/>
    <w:rsid w:val="00461442"/>
    <w:rsid w:val="00466B33"/>
    <w:rsid w:val="004717B2"/>
    <w:rsid w:val="00471FB0"/>
    <w:rsid w:val="00474406"/>
    <w:rsid w:val="00482BA3"/>
    <w:rsid w:val="00484295"/>
    <w:rsid w:val="004873C5"/>
    <w:rsid w:val="0049244F"/>
    <w:rsid w:val="004A0546"/>
    <w:rsid w:val="004A06E0"/>
    <w:rsid w:val="004A256D"/>
    <w:rsid w:val="004A58FC"/>
    <w:rsid w:val="004B13F9"/>
    <w:rsid w:val="004C0648"/>
    <w:rsid w:val="004C2C60"/>
    <w:rsid w:val="004C641E"/>
    <w:rsid w:val="004C73D4"/>
    <w:rsid w:val="004D2C8F"/>
    <w:rsid w:val="004D53BE"/>
    <w:rsid w:val="004D752E"/>
    <w:rsid w:val="004E0BCD"/>
    <w:rsid w:val="004E4CA5"/>
    <w:rsid w:val="004E7E47"/>
    <w:rsid w:val="004F0B1A"/>
    <w:rsid w:val="004F31DD"/>
    <w:rsid w:val="00504C36"/>
    <w:rsid w:val="005055B0"/>
    <w:rsid w:val="00511254"/>
    <w:rsid w:val="00513ED2"/>
    <w:rsid w:val="005203D3"/>
    <w:rsid w:val="00521B5F"/>
    <w:rsid w:val="00521E7D"/>
    <w:rsid w:val="00522715"/>
    <w:rsid w:val="00536294"/>
    <w:rsid w:val="00540BF4"/>
    <w:rsid w:val="005415CD"/>
    <w:rsid w:val="00543389"/>
    <w:rsid w:val="00550706"/>
    <w:rsid w:val="00554CC9"/>
    <w:rsid w:val="00554F3D"/>
    <w:rsid w:val="00555C76"/>
    <w:rsid w:val="00562BE0"/>
    <w:rsid w:val="00565350"/>
    <w:rsid w:val="005664B8"/>
    <w:rsid w:val="00566DB0"/>
    <w:rsid w:val="00570575"/>
    <w:rsid w:val="00573F1E"/>
    <w:rsid w:val="005748EF"/>
    <w:rsid w:val="00575495"/>
    <w:rsid w:val="00586092"/>
    <w:rsid w:val="005950A7"/>
    <w:rsid w:val="00596223"/>
    <w:rsid w:val="00596A49"/>
    <w:rsid w:val="005A248D"/>
    <w:rsid w:val="005A6C9D"/>
    <w:rsid w:val="005B0C6F"/>
    <w:rsid w:val="005B32B9"/>
    <w:rsid w:val="005D67F6"/>
    <w:rsid w:val="005D7704"/>
    <w:rsid w:val="005E039D"/>
    <w:rsid w:val="005E7190"/>
    <w:rsid w:val="005E77A4"/>
    <w:rsid w:val="005F3A6A"/>
    <w:rsid w:val="006005A9"/>
    <w:rsid w:val="00601A11"/>
    <w:rsid w:val="00603385"/>
    <w:rsid w:val="00616831"/>
    <w:rsid w:val="00616D24"/>
    <w:rsid w:val="006226D1"/>
    <w:rsid w:val="006332AF"/>
    <w:rsid w:val="00643919"/>
    <w:rsid w:val="006518B5"/>
    <w:rsid w:val="006520E2"/>
    <w:rsid w:val="0065541B"/>
    <w:rsid w:val="006557C2"/>
    <w:rsid w:val="006567D8"/>
    <w:rsid w:val="00670881"/>
    <w:rsid w:val="0067184D"/>
    <w:rsid w:val="00675E6D"/>
    <w:rsid w:val="00677DA5"/>
    <w:rsid w:val="00693281"/>
    <w:rsid w:val="00695C54"/>
    <w:rsid w:val="006A075D"/>
    <w:rsid w:val="006A3518"/>
    <w:rsid w:val="006A49F4"/>
    <w:rsid w:val="006B66FA"/>
    <w:rsid w:val="006C00A1"/>
    <w:rsid w:val="006C060E"/>
    <w:rsid w:val="006D1698"/>
    <w:rsid w:val="006D28BE"/>
    <w:rsid w:val="006D464D"/>
    <w:rsid w:val="006D76DD"/>
    <w:rsid w:val="006E2F34"/>
    <w:rsid w:val="006E3A2B"/>
    <w:rsid w:val="006E749A"/>
    <w:rsid w:val="006F4E59"/>
    <w:rsid w:val="006F73AD"/>
    <w:rsid w:val="00703CA8"/>
    <w:rsid w:val="00713201"/>
    <w:rsid w:val="00720085"/>
    <w:rsid w:val="0072652E"/>
    <w:rsid w:val="007320D3"/>
    <w:rsid w:val="00751280"/>
    <w:rsid w:val="00755AA7"/>
    <w:rsid w:val="00761674"/>
    <w:rsid w:val="00761A45"/>
    <w:rsid w:val="007640A3"/>
    <w:rsid w:val="007658E9"/>
    <w:rsid w:val="00767757"/>
    <w:rsid w:val="007749C9"/>
    <w:rsid w:val="007962CD"/>
    <w:rsid w:val="007A1A3A"/>
    <w:rsid w:val="007A65DA"/>
    <w:rsid w:val="007B466A"/>
    <w:rsid w:val="007C5296"/>
    <w:rsid w:val="007C74A7"/>
    <w:rsid w:val="007C7742"/>
    <w:rsid w:val="007D160D"/>
    <w:rsid w:val="007E539B"/>
    <w:rsid w:val="007F1BB4"/>
    <w:rsid w:val="007F399D"/>
    <w:rsid w:val="007F48F6"/>
    <w:rsid w:val="0080012E"/>
    <w:rsid w:val="00800A1E"/>
    <w:rsid w:val="00801199"/>
    <w:rsid w:val="0080357A"/>
    <w:rsid w:val="0080523F"/>
    <w:rsid w:val="00805E36"/>
    <w:rsid w:val="00825B56"/>
    <w:rsid w:val="008265C3"/>
    <w:rsid w:val="00833635"/>
    <w:rsid w:val="008378AF"/>
    <w:rsid w:val="00840E23"/>
    <w:rsid w:val="00846B79"/>
    <w:rsid w:val="0084750F"/>
    <w:rsid w:val="00851D09"/>
    <w:rsid w:val="00852D96"/>
    <w:rsid w:val="00864969"/>
    <w:rsid w:val="00871CBE"/>
    <w:rsid w:val="008742BA"/>
    <w:rsid w:val="00881F6E"/>
    <w:rsid w:val="0088531D"/>
    <w:rsid w:val="008879B9"/>
    <w:rsid w:val="008918EE"/>
    <w:rsid w:val="008977C5"/>
    <w:rsid w:val="008A236B"/>
    <w:rsid w:val="008A3B26"/>
    <w:rsid w:val="008B0C5B"/>
    <w:rsid w:val="008C3BC9"/>
    <w:rsid w:val="008C61B5"/>
    <w:rsid w:val="008D34F3"/>
    <w:rsid w:val="008E0281"/>
    <w:rsid w:val="008E1549"/>
    <w:rsid w:val="008E58C3"/>
    <w:rsid w:val="008E6228"/>
    <w:rsid w:val="008F117A"/>
    <w:rsid w:val="008F548C"/>
    <w:rsid w:val="00905F8E"/>
    <w:rsid w:val="00921392"/>
    <w:rsid w:val="00921F3D"/>
    <w:rsid w:val="009243D8"/>
    <w:rsid w:val="00924FF5"/>
    <w:rsid w:val="00926E79"/>
    <w:rsid w:val="00927864"/>
    <w:rsid w:val="00931C78"/>
    <w:rsid w:val="009343C3"/>
    <w:rsid w:val="00937848"/>
    <w:rsid w:val="009423B6"/>
    <w:rsid w:val="00943825"/>
    <w:rsid w:val="00944022"/>
    <w:rsid w:val="009475F9"/>
    <w:rsid w:val="00951E66"/>
    <w:rsid w:val="00953EFA"/>
    <w:rsid w:val="009547FA"/>
    <w:rsid w:val="00954AF2"/>
    <w:rsid w:val="00955425"/>
    <w:rsid w:val="00955F5F"/>
    <w:rsid w:val="0096524A"/>
    <w:rsid w:val="009803D5"/>
    <w:rsid w:val="0098142A"/>
    <w:rsid w:val="00983CA1"/>
    <w:rsid w:val="009944AD"/>
    <w:rsid w:val="00995B10"/>
    <w:rsid w:val="009A121F"/>
    <w:rsid w:val="009A2E1E"/>
    <w:rsid w:val="009A5E5D"/>
    <w:rsid w:val="009B4307"/>
    <w:rsid w:val="009B60A6"/>
    <w:rsid w:val="009C40AC"/>
    <w:rsid w:val="009C558E"/>
    <w:rsid w:val="009C55A1"/>
    <w:rsid w:val="009C5E94"/>
    <w:rsid w:val="009C7D60"/>
    <w:rsid w:val="009E59D0"/>
    <w:rsid w:val="009E5A0B"/>
    <w:rsid w:val="009F1E84"/>
    <w:rsid w:val="009F2316"/>
    <w:rsid w:val="009F323D"/>
    <w:rsid w:val="009F765C"/>
    <w:rsid w:val="00A03CBF"/>
    <w:rsid w:val="00A05135"/>
    <w:rsid w:val="00A14E2E"/>
    <w:rsid w:val="00A15FC6"/>
    <w:rsid w:val="00A210ED"/>
    <w:rsid w:val="00A4170E"/>
    <w:rsid w:val="00A462D6"/>
    <w:rsid w:val="00A50675"/>
    <w:rsid w:val="00A547F9"/>
    <w:rsid w:val="00A55F09"/>
    <w:rsid w:val="00A5657D"/>
    <w:rsid w:val="00A60B5E"/>
    <w:rsid w:val="00A60DC6"/>
    <w:rsid w:val="00A61066"/>
    <w:rsid w:val="00A65527"/>
    <w:rsid w:val="00A70B7C"/>
    <w:rsid w:val="00A71543"/>
    <w:rsid w:val="00A720B6"/>
    <w:rsid w:val="00A76EC6"/>
    <w:rsid w:val="00A90740"/>
    <w:rsid w:val="00A97E7C"/>
    <w:rsid w:val="00AA54A8"/>
    <w:rsid w:val="00AA6EC2"/>
    <w:rsid w:val="00AA718B"/>
    <w:rsid w:val="00AB3429"/>
    <w:rsid w:val="00AC0CD2"/>
    <w:rsid w:val="00AD0761"/>
    <w:rsid w:val="00AE083C"/>
    <w:rsid w:val="00AE2A5A"/>
    <w:rsid w:val="00AE3491"/>
    <w:rsid w:val="00AF1597"/>
    <w:rsid w:val="00AF3459"/>
    <w:rsid w:val="00AF4C6C"/>
    <w:rsid w:val="00B10193"/>
    <w:rsid w:val="00B10F1C"/>
    <w:rsid w:val="00B11976"/>
    <w:rsid w:val="00B130AD"/>
    <w:rsid w:val="00B217B9"/>
    <w:rsid w:val="00B321E2"/>
    <w:rsid w:val="00B32493"/>
    <w:rsid w:val="00B405B7"/>
    <w:rsid w:val="00B419BC"/>
    <w:rsid w:val="00B442E9"/>
    <w:rsid w:val="00B5588B"/>
    <w:rsid w:val="00B57945"/>
    <w:rsid w:val="00B618B0"/>
    <w:rsid w:val="00B6525A"/>
    <w:rsid w:val="00B67F02"/>
    <w:rsid w:val="00B70BB3"/>
    <w:rsid w:val="00B711C0"/>
    <w:rsid w:val="00B83DAD"/>
    <w:rsid w:val="00B84BB4"/>
    <w:rsid w:val="00B95A88"/>
    <w:rsid w:val="00BA68A3"/>
    <w:rsid w:val="00BA730F"/>
    <w:rsid w:val="00BB0ECE"/>
    <w:rsid w:val="00BB36F1"/>
    <w:rsid w:val="00BB3E5E"/>
    <w:rsid w:val="00BC30AF"/>
    <w:rsid w:val="00BC379B"/>
    <w:rsid w:val="00BC46BA"/>
    <w:rsid w:val="00BD4DB4"/>
    <w:rsid w:val="00BD5161"/>
    <w:rsid w:val="00BE0318"/>
    <w:rsid w:val="00BE0B4E"/>
    <w:rsid w:val="00BE0BB6"/>
    <w:rsid w:val="00BE5900"/>
    <w:rsid w:val="00BE6356"/>
    <w:rsid w:val="00BF6A08"/>
    <w:rsid w:val="00BF6D0A"/>
    <w:rsid w:val="00C02B66"/>
    <w:rsid w:val="00C07923"/>
    <w:rsid w:val="00C115DA"/>
    <w:rsid w:val="00C15D74"/>
    <w:rsid w:val="00C16779"/>
    <w:rsid w:val="00C17816"/>
    <w:rsid w:val="00C17CDF"/>
    <w:rsid w:val="00C17DC6"/>
    <w:rsid w:val="00C20C1D"/>
    <w:rsid w:val="00C211D7"/>
    <w:rsid w:val="00C21493"/>
    <w:rsid w:val="00C31638"/>
    <w:rsid w:val="00C366E0"/>
    <w:rsid w:val="00C3700C"/>
    <w:rsid w:val="00C40A96"/>
    <w:rsid w:val="00C51192"/>
    <w:rsid w:val="00C53563"/>
    <w:rsid w:val="00C569CB"/>
    <w:rsid w:val="00C604AF"/>
    <w:rsid w:val="00C614EA"/>
    <w:rsid w:val="00C64198"/>
    <w:rsid w:val="00C81A63"/>
    <w:rsid w:val="00C865F1"/>
    <w:rsid w:val="00C87528"/>
    <w:rsid w:val="00C91C0A"/>
    <w:rsid w:val="00C957EE"/>
    <w:rsid w:val="00CA0782"/>
    <w:rsid w:val="00CA108D"/>
    <w:rsid w:val="00CA382D"/>
    <w:rsid w:val="00CB002F"/>
    <w:rsid w:val="00CB054F"/>
    <w:rsid w:val="00CB17A7"/>
    <w:rsid w:val="00CB3FED"/>
    <w:rsid w:val="00CB44AA"/>
    <w:rsid w:val="00CB56BE"/>
    <w:rsid w:val="00CB5BE6"/>
    <w:rsid w:val="00CB7845"/>
    <w:rsid w:val="00CC127D"/>
    <w:rsid w:val="00CC1856"/>
    <w:rsid w:val="00CC3644"/>
    <w:rsid w:val="00CD115A"/>
    <w:rsid w:val="00CE1B6C"/>
    <w:rsid w:val="00CE2917"/>
    <w:rsid w:val="00CE2D2D"/>
    <w:rsid w:val="00CE598F"/>
    <w:rsid w:val="00CF1ACC"/>
    <w:rsid w:val="00CF44DF"/>
    <w:rsid w:val="00CF6DB1"/>
    <w:rsid w:val="00D00156"/>
    <w:rsid w:val="00D00AC1"/>
    <w:rsid w:val="00D06502"/>
    <w:rsid w:val="00D213CC"/>
    <w:rsid w:val="00D21AD3"/>
    <w:rsid w:val="00D27BCD"/>
    <w:rsid w:val="00D36DEB"/>
    <w:rsid w:val="00D40913"/>
    <w:rsid w:val="00D4135A"/>
    <w:rsid w:val="00D448CB"/>
    <w:rsid w:val="00D51FDD"/>
    <w:rsid w:val="00D52B33"/>
    <w:rsid w:val="00D60DD1"/>
    <w:rsid w:val="00D717B8"/>
    <w:rsid w:val="00D765F2"/>
    <w:rsid w:val="00D768AA"/>
    <w:rsid w:val="00D77398"/>
    <w:rsid w:val="00D93AB2"/>
    <w:rsid w:val="00D9454C"/>
    <w:rsid w:val="00DA2C1B"/>
    <w:rsid w:val="00DB54EC"/>
    <w:rsid w:val="00DC2E7B"/>
    <w:rsid w:val="00DD0E56"/>
    <w:rsid w:val="00DD2D5C"/>
    <w:rsid w:val="00DD4381"/>
    <w:rsid w:val="00DD51B6"/>
    <w:rsid w:val="00DE1509"/>
    <w:rsid w:val="00DE1EAE"/>
    <w:rsid w:val="00DE51F9"/>
    <w:rsid w:val="00DF1B90"/>
    <w:rsid w:val="00DF2DE3"/>
    <w:rsid w:val="00DF595E"/>
    <w:rsid w:val="00DF6F70"/>
    <w:rsid w:val="00E02568"/>
    <w:rsid w:val="00E02A69"/>
    <w:rsid w:val="00E13F32"/>
    <w:rsid w:val="00E15112"/>
    <w:rsid w:val="00E266D7"/>
    <w:rsid w:val="00E27E29"/>
    <w:rsid w:val="00E36E4A"/>
    <w:rsid w:val="00E3730D"/>
    <w:rsid w:val="00E4118D"/>
    <w:rsid w:val="00E444B4"/>
    <w:rsid w:val="00E501A0"/>
    <w:rsid w:val="00E50295"/>
    <w:rsid w:val="00E541CF"/>
    <w:rsid w:val="00E646F7"/>
    <w:rsid w:val="00E6520E"/>
    <w:rsid w:val="00E839FD"/>
    <w:rsid w:val="00E83E26"/>
    <w:rsid w:val="00E909A2"/>
    <w:rsid w:val="00E9155E"/>
    <w:rsid w:val="00EA440A"/>
    <w:rsid w:val="00EA5430"/>
    <w:rsid w:val="00EB375F"/>
    <w:rsid w:val="00EC161B"/>
    <w:rsid w:val="00EC2C2C"/>
    <w:rsid w:val="00ED0ECC"/>
    <w:rsid w:val="00ED2E44"/>
    <w:rsid w:val="00ED460F"/>
    <w:rsid w:val="00ED6A61"/>
    <w:rsid w:val="00EE22B5"/>
    <w:rsid w:val="00EE7AD3"/>
    <w:rsid w:val="00F02C7D"/>
    <w:rsid w:val="00F10801"/>
    <w:rsid w:val="00F14835"/>
    <w:rsid w:val="00F14DC3"/>
    <w:rsid w:val="00F150FE"/>
    <w:rsid w:val="00F15401"/>
    <w:rsid w:val="00F169B3"/>
    <w:rsid w:val="00F17C0C"/>
    <w:rsid w:val="00F26F36"/>
    <w:rsid w:val="00F30ED1"/>
    <w:rsid w:val="00F326DA"/>
    <w:rsid w:val="00F438FB"/>
    <w:rsid w:val="00F44920"/>
    <w:rsid w:val="00F50865"/>
    <w:rsid w:val="00F51FC0"/>
    <w:rsid w:val="00F5217F"/>
    <w:rsid w:val="00F52399"/>
    <w:rsid w:val="00F526D8"/>
    <w:rsid w:val="00F62FD6"/>
    <w:rsid w:val="00F64903"/>
    <w:rsid w:val="00F66CAE"/>
    <w:rsid w:val="00F76E4E"/>
    <w:rsid w:val="00F851B1"/>
    <w:rsid w:val="00F92D32"/>
    <w:rsid w:val="00F970D4"/>
    <w:rsid w:val="00FA0A29"/>
    <w:rsid w:val="00FC4768"/>
    <w:rsid w:val="00FD0565"/>
    <w:rsid w:val="00FD17C8"/>
    <w:rsid w:val="00FD5D28"/>
    <w:rsid w:val="00FD7D1A"/>
    <w:rsid w:val="00FE0E2A"/>
    <w:rsid w:val="00FF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D1CFB"/>
  <w15:docId w15:val="{CF98B5A9-6DF0-4137-ACEA-0AF5AE50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64969"/>
    <w:rPr>
      <w:rFonts w:ascii="Times" w:hAnsi="Times"/>
      <w:sz w:val="24"/>
    </w:rPr>
  </w:style>
  <w:style w:type="paragraph" w:styleId="Heading1">
    <w:name w:val="heading 1"/>
    <w:basedOn w:val="Normal"/>
    <w:next w:val="Normal"/>
    <w:link w:val="Heading1Char"/>
    <w:uiPriority w:val="9"/>
    <w:qFormat/>
    <w:rsid w:val="00864969"/>
    <w:pPr>
      <w:outlineLvl w:val="0"/>
    </w:pPr>
    <w:rPr>
      <w:b/>
    </w:rPr>
  </w:style>
  <w:style w:type="paragraph" w:styleId="Heading2">
    <w:name w:val="heading 2"/>
    <w:basedOn w:val="Normal"/>
    <w:next w:val="Normal"/>
    <w:uiPriority w:val="9"/>
    <w:qFormat/>
    <w:rsid w:val="00864969"/>
    <w:pPr>
      <w:outlineLvl w:val="1"/>
    </w:pPr>
    <w:rPr>
      <w:b/>
    </w:rPr>
  </w:style>
  <w:style w:type="paragraph" w:styleId="Heading3">
    <w:name w:val="heading 3"/>
    <w:basedOn w:val="Normal"/>
    <w:next w:val="Normal"/>
    <w:uiPriority w:val="9"/>
    <w:qFormat/>
    <w:rsid w:val="00864969"/>
    <w:pPr>
      <w:jc w:val="center"/>
      <w:outlineLvl w:val="2"/>
    </w:pPr>
    <w:rPr>
      <w:b/>
      <w:i/>
    </w:rPr>
  </w:style>
  <w:style w:type="paragraph" w:styleId="Heading4">
    <w:name w:val="heading 4"/>
    <w:basedOn w:val="Normal"/>
    <w:next w:val="Normal"/>
    <w:qFormat/>
    <w:rsid w:val="00864969"/>
    <w:pPr>
      <w:outlineLvl w:val="3"/>
    </w:pPr>
    <w:rPr>
      <w:b/>
    </w:rPr>
  </w:style>
  <w:style w:type="paragraph" w:styleId="Heading5">
    <w:name w:val="heading 5"/>
    <w:basedOn w:val="Normal"/>
    <w:next w:val="Normal"/>
    <w:qFormat/>
    <w:rsid w:val="00864969"/>
    <w:pPr>
      <w:jc w:val="center"/>
      <w:outlineLvl w:val="4"/>
    </w:pPr>
    <w:rPr>
      <w:b/>
    </w:rPr>
  </w:style>
  <w:style w:type="paragraph" w:styleId="Heading6">
    <w:name w:val="heading 6"/>
    <w:basedOn w:val="Normal"/>
    <w:next w:val="Normal"/>
    <w:qFormat/>
    <w:rsid w:val="00864969"/>
    <w:pPr>
      <w:keepNext/>
      <w:jc w:val="both"/>
      <w:outlineLvl w:val="5"/>
    </w:pPr>
    <w:rPr>
      <w:b/>
      <w:bCs/>
      <w:u w:val="single"/>
    </w:rPr>
  </w:style>
  <w:style w:type="paragraph" w:styleId="Heading7">
    <w:name w:val="heading 7"/>
    <w:basedOn w:val="Normal"/>
    <w:next w:val="Normal"/>
    <w:qFormat/>
    <w:rsid w:val="00864969"/>
    <w:pPr>
      <w:keepNext/>
      <w:ind w:left="27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864969"/>
    <w:pPr>
      <w:tabs>
        <w:tab w:val="right" w:leader="dot" w:pos="8640"/>
      </w:tabs>
      <w:ind w:left="1008"/>
    </w:pPr>
    <w:rPr>
      <w:sz w:val="20"/>
    </w:rPr>
  </w:style>
  <w:style w:type="paragraph" w:styleId="TOC4">
    <w:name w:val="toc 4"/>
    <w:basedOn w:val="Normal"/>
    <w:next w:val="Normal"/>
    <w:semiHidden/>
    <w:rsid w:val="00864969"/>
    <w:pPr>
      <w:tabs>
        <w:tab w:val="right" w:leader="dot" w:pos="8640"/>
      </w:tabs>
      <w:ind w:left="720"/>
    </w:pPr>
    <w:rPr>
      <w:sz w:val="20"/>
    </w:rPr>
  </w:style>
  <w:style w:type="paragraph" w:styleId="TOC1">
    <w:name w:val="toc 1"/>
    <w:basedOn w:val="Normal"/>
    <w:next w:val="Normal"/>
    <w:uiPriority w:val="39"/>
    <w:qFormat/>
    <w:rsid w:val="00864969"/>
    <w:pPr>
      <w:tabs>
        <w:tab w:val="right" w:leader="dot" w:pos="8640"/>
      </w:tabs>
      <w:spacing w:before="240"/>
      <w:ind w:right="720"/>
    </w:pPr>
    <w:rPr>
      <w:b/>
    </w:rPr>
  </w:style>
  <w:style w:type="paragraph" w:styleId="Footer">
    <w:name w:val="footer"/>
    <w:basedOn w:val="Normal"/>
    <w:link w:val="FooterChar"/>
    <w:rsid w:val="00864969"/>
    <w:pPr>
      <w:tabs>
        <w:tab w:val="center" w:pos="4320"/>
        <w:tab w:val="right" w:pos="8640"/>
      </w:tabs>
    </w:pPr>
  </w:style>
  <w:style w:type="paragraph" w:styleId="Header">
    <w:name w:val="header"/>
    <w:basedOn w:val="Normal"/>
    <w:link w:val="HeaderChar"/>
    <w:rsid w:val="00864969"/>
    <w:pPr>
      <w:tabs>
        <w:tab w:val="center" w:pos="4320"/>
        <w:tab w:val="right" w:pos="8640"/>
      </w:tabs>
    </w:pPr>
  </w:style>
  <w:style w:type="paragraph" w:styleId="FootnoteText">
    <w:name w:val="footnote text"/>
    <w:basedOn w:val="Normal"/>
    <w:semiHidden/>
    <w:rsid w:val="00864969"/>
    <w:rPr>
      <w:sz w:val="20"/>
    </w:rPr>
  </w:style>
  <w:style w:type="paragraph" w:customStyle="1" w:styleId="Document">
    <w:name w:val="Document"/>
    <w:basedOn w:val="Normal"/>
    <w:rsid w:val="00864969"/>
    <w:pPr>
      <w:jc w:val="center"/>
    </w:pPr>
  </w:style>
  <w:style w:type="paragraph" w:customStyle="1" w:styleId="kim">
    <w:name w:val="kim"/>
    <w:basedOn w:val="Normal"/>
    <w:rsid w:val="00864969"/>
  </w:style>
  <w:style w:type="paragraph" w:customStyle="1" w:styleId="RightPar">
    <w:name w:val="Right Par"/>
    <w:basedOn w:val="Normal"/>
    <w:rsid w:val="00864969"/>
    <w:pPr>
      <w:ind w:left="5760" w:firstLine="720"/>
    </w:pPr>
  </w:style>
  <w:style w:type="paragraph" w:customStyle="1" w:styleId="DocInit">
    <w:name w:val="Doc Init"/>
    <w:basedOn w:val="Normal"/>
    <w:rsid w:val="00864969"/>
  </w:style>
  <w:style w:type="paragraph" w:customStyle="1" w:styleId="TechInit">
    <w:name w:val="Tech Init"/>
    <w:basedOn w:val="Normal"/>
    <w:rsid w:val="00864969"/>
  </w:style>
  <w:style w:type="paragraph" w:customStyle="1" w:styleId="Technical">
    <w:name w:val="Technical"/>
    <w:basedOn w:val="Normal"/>
    <w:rsid w:val="00864969"/>
  </w:style>
  <w:style w:type="paragraph" w:customStyle="1" w:styleId="Pleading">
    <w:name w:val="Pleading"/>
    <w:basedOn w:val="Normal"/>
    <w:rsid w:val="00864969"/>
    <w:pPr>
      <w:tabs>
        <w:tab w:val="right" w:pos="288"/>
      </w:tabs>
    </w:pPr>
  </w:style>
  <w:style w:type="paragraph" w:customStyle="1" w:styleId="titles">
    <w:name w:val="titles"/>
    <w:basedOn w:val="Normal"/>
    <w:rsid w:val="00864969"/>
    <w:pPr>
      <w:tabs>
        <w:tab w:val="left" w:pos="1080"/>
      </w:tabs>
    </w:pPr>
    <w:rPr>
      <w:b/>
      <w:u w:val="single"/>
    </w:rPr>
  </w:style>
  <w:style w:type="paragraph" w:customStyle="1" w:styleId="Paragraph">
    <w:name w:val="Paragraph"/>
    <w:basedOn w:val="Normal"/>
    <w:rsid w:val="00864969"/>
    <w:pPr>
      <w:spacing w:line="360" w:lineRule="atLeast"/>
    </w:pPr>
  </w:style>
  <w:style w:type="paragraph" w:customStyle="1" w:styleId="Bullet">
    <w:name w:val="Bullet"/>
    <w:basedOn w:val="Normal"/>
    <w:rsid w:val="00864969"/>
    <w:pPr>
      <w:spacing w:line="240" w:lineRule="atLeast"/>
      <w:ind w:left="576" w:right="576"/>
    </w:pPr>
  </w:style>
  <w:style w:type="paragraph" w:customStyle="1" w:styleId="Portrait">
    <w:name w:val="Portrait"/>
    <w:basedOn w:val="Normal"/>
    <w:rsid w:val="00864969"/>
    <w:pPr>
      <w:tabs>
        <w:tab w:val="left" w:pos="600"/>
        <w:tab w:val="left" w:pos="1200"/>
        <w:tab w:val="left" w:pos="1800"/>
      </w:tabs>
    </w:pPr>
  </w:style>
  <w:style w:type="paragraph" w:customStyle="1" w:styleId="Foreword">
    <w:name w:val="Foreword"/>
    <w:basedOn w:val="Normal"/>
    <w:rsid w:val="00864969"/>
    <w:pPr>
      <w:spacing w:line="360" w:lineRule="atLeast"/>
      <w:jc w:val="center"/>
    </w:pPr>
  </w:style>
  <w:style w:type="paragraph" w:customStyle="1" w:styleId="Numbered">
    <w:name w:val="Numbered"/>
    <w:basedOn w:val="Normal"/>
    <w:rsid w:val="00864969"/>
    <w:pPr>
      <w:spacing w:line="240" w:lineRule="atLeast"/>
    </w:pPr>
  </w:style>
  <w:style w:type="paragraph" w:customStyle="1" w:styleId="Landscape">
    <w:name w:val="Landscape"/>
    <w:basedOn w:val="Normal"/>
    <w:rsid w:val="00864969"/>
  </w:style>
  <w:style w:type="paragraph" w:customStyle="1" w:styleId="Summary">
    <w:name w:val="Summary"/>
    <w:basedOn w:val="Normal"/>
    <w:rsid w:val="00864969"/>
    <w:pPr>
      <w:spacing w:line="360" w:lineRule="atLeast"/>
      <w:jc w:val="center"/>
    </w:pPr>
  </w:style>
  <w:style w:type="paragraph" w:styleId="Title">
    <w:name w:val="Title"/>
    <w:basedOn w:val="Normal"/>
    <w:qFormat/>
    <w:rsid w:val="00864969"/>
    <w:pPr>
      <w:spacing w:line="240" w:lineRule="atLeast"/>
      <w:jc w:val="center"/>
    </w:pPr>
    <w:rPr>
      <w:sz w:val="28"/>
    </w:rPr>
  </w:style>
  <w:style w:type="paragraph" w:customStyle="1" w:styleId="text">
    <w:name w:val="text"/>
    <w:basedOn w:val="Normal"/>
    <w:rsid w:val="00864969"/>
    <w:pPr>
      <w:ind w:left="1080"/>
    </w:pPr>
  </w:style>
  <w:style w:type="paragraph" w:customStyle="1" w:styleId="TOC">
    <w:name w:val="TOC"/>
    <w:basedOn w:val="Normal"/>
    <w:rsid w:val="00864969"/>
    <w:pPr>
      <w:tabs>
        <w:tab w:val="left" w:pos="0"/>
        <w:tab w:val="left" w:pos="600"/>
        <w:tab w:val="left" w:pos="1200"/>
        <w:tab w:val="left" w:pos="1812"/>
        <w:tab w:val="left" w:pos="2418"/>
        <w:tab w:val="right" w:leader="dot" w:pos="8640"/>
        <w:tab w:val="right" w:pos="9360"/>
      </w:tabs>
      <w:spacing w:line="240" w:lineRule="atLeast"/>
      <w:jc w:val="center"/>
    </w:pPr>
  </w:style>
  <w:style w:type="paragraph" w:customStyle="1" w:styleId="TOCONE">
    <w:name w:val="TOC ONE"/>
    <w:basedOn w:val="Normal"/>
    <w:rsid w:val="00864969"/>
    <w:pPr>
      <w:tabs>
        <w:tab w:val="left" w:pos="0"/>
        <w:tab w:val="left" w:pos="600"/>
        <w:tab w:val="left" w:pos="1200"/>
        <w:tab w:val="left" w:pos="1812"/>
        <w:tab w:val="left" w:pos="2418"/>
        <w:tab w:val="right" w:leader="dot" w:pos="8598"/>
        <w:tab w:val="decimal" w:pos="9042"/>
      </w:tabs>
      <w:spacing w:line="240" w:lineRule="atLeast"/>
      <w:jc w:val="center"/>
    </w:pPr>
  </w:style>
  <w:style w:type="paragraph" w:customStyle="1" w:styleId="Title1831">
    <w:name w:val="Title 1831"/>
    <w:basedOn w:val="Normal"/>
    <w:rsid w:val="00864969"/>
    <w:pPr>
      <w:spacing w:line="240" w:lineRule="atLeast"/>
    </w:pPr>
  </w:style>
  <w:style w:type="paragraph" w:customStyle="1" w:styleId="subtext">
    <w:name w:val="subtext"/>
    <w:basedOn w:val="text"/>
    <w:rsid w:val="00864969"/>
    <w:pPr>
      <w:tabs>
        <w:tab w:val="left" w:pos="1440"/>
      </w:tabs>
      <w:ind w:left="1700" w:hanging="620"/>
    </w:pPr>
  </w:style>
  <w:style w:type="paragraph" w:customStyle="1" w:styleId="EndnoteText1">
    <w:name w:val="Endnote Text1"/>
    <w:basedOn w:val="Normal"/>
    <w:rsid w:val="00864969"/>
    <w:rPr>
      <w:sz w:val="20"/>
    </w:rPr>
  </w:style>
  <w:style w:type="paragraph" w:customStyle="1" w:styleId="1">
    <w:name w:val="1"/>
    <w:basedOn w:val="Normal"/>
    <w:rsid w:val="00864969"/>
  </w:style>
  <w:style w:type="paragraph" w:customStyle="1" w:styleId="InitialSet">
    <w:name w:val="Initial Set"/>
    <w:basedOn w:val="Normal"/>
    <w:rsid w:val="00864969"/>
    <w:pPr>
      <w:tabs>
        <w:tab w:val="left" w:pos="600"/>
        <w:tab w:val="left" w:pos="1200"/>
        <w:tab w:val="left" w:pos="1800"/>
      </w:tabs>
      <w:spacing w:line="360" w:lineRule="atLeast"/>
      <w:jc w:val="center"/>
    </w:pPr>
  </w:style>
  <w:style w:type="paragraph" w:customStyle="1" w:styleId="Preface">
    <w:name w:val="Preface"/>
    <w:basedOn w:val="Normal"/>
    <w:rsid w:val="00864969"/>
    <w:pPr>
      <w:spacing w:line="360" w:lineRule="atLeast"/>
      <w:jc w:val="center"/>
    </w:pPr>
  </w:style>
  <w:style w:type="paragraph" w:customStyle="1" w:styleId="References">
    <w:name w:val="References"/>
    <w:basedOn w:val="Normal"/>
    <w:rsid w:val="00864969"/>
    <w:pPr>
      <w:spacing w:line="240" w:lineRule="atLeast"/>
      <w:jc w:val="center"/>
    </w:pPr>
  </w:style>
  <w:style w:type="paragraph" w:customStyle="1" w:styleId="Distribution">
    <w:name w:val="Distribution"/>
    <w:basedOn w:val="Normal"/>
    <w:rsid w:val="00864969"/>
    <w:pPr>
      <w:tabs>
        <w:tab w:val="left" w:pos="600"/>
        <w:tab w:val="left" w:pos="5640"/>
      </w:tabs>
      <w:spacing w:line="240" w:lineRule="atLeast"/>
    </w:pPr>
  </w:style>
  <w:style w:type="paragraph" w:customStyle="1" w:styleId="Acknowledge">
    <w:name w:val="Acknowledge"/>
    <w:basedOn w:val="Normal"/>
    <w:rsid w:val="00864969"/>
    <w:pPr>
      <w:spacing w:line="360" w:lineRule="atLeast"/>
      <w:jc w:val="center"/>
    </w:pPr>
  </w:style>
  <w:style w:type="paragraph" w:customStyle="1" w:styleId="FilmBadge">
    <w:name w:val="Film Badge"/>
    <w:basedOn w:val="Normal"/>
    <w:rsid w:val="00864969"/>
    <w:pPr>
      <w:spacing w:line="480" w:lineRule="atLeast"/>
    </w:pPr>
    <w:rPr>
      <w:sz w:val="20"/>
    </w:rPr>
  </w:style>
  <w:style w:type="paragraph" w:customStyle="1" w:styleId="indented">
    <w:name w:val="indented"/>
    <w:basedOn w:val="Normal"/>
    <w:rsid w:val="00864969"/>
    <w:pPr>
      <w:ind w:left="1800"/>
    </w:pPr>
  </w:style>
  <w:style w:type="paragraph" w:customStyle="1" w:styleId="indent1">
    <w:name w:val="indent 1"/>
    <w:basedOn w:val="indented"/>
    <w:rsid w:val="00864969"/>
    <w:pPr>
      <w:ind w:left="1440"/>
    </w:pPr>
  </w:style>
  <w:style w:type="paragraph" w:customStyle="1" w:styleId="standard">
    <w:name w:val="standard"/>
    <w:basedOn w:val="Normal"/>
    <w:rsid w:val="00864969"/>
    <w:pPr>
      <w:ind w:left="1080" w:hanging="1000"/>
    </w:pPr>
  </w:style>
  <w:style w:type="paragraph" w:customStyle="1" w:styleId="Normal1">
    <w:name w:val="Normal1"/>
    <w:basedOn w:val="Normal"/>
    <w:rsid w:val="00864969"/>
    <w:pPr>
      <w:spacing w:line="360" w:lineRule="atLeast"/>
      <w:ind w:firstLine="540"/>
      <w:jc w:val="both"/>
    </w:pPr>
  </w:style>
  <w:style w:type="paragraph" w:customStyle="1" w:styleId="standard4">
    <w:name w:val="standard 4"/>
    <w:basedOn w:val="Normal"/>
    <w:rsid w:val="00864969"/>
    <w:pPr>
      <w:spacing w:line="360" w:lineRule="atLeast"/>
      <w:ind w:firstLine="540"/>
      <w:jc w:val="both"/>
    </w:pPr>
  </w:style>
  <w:style w:type="paragraph" w:customStyle="1" w:styleId="Head2">
    <w:name w:val="Head2"/>
    <w:basedOn w:val="Normal"/>
    <w:rsid w:val="00864969"/>
  </w:style>
  <w:style w:type="paragraph" w:customStyle="1" w:styleId="Head1">
    <w:name w:val="Head1"/>
    <w:basedOn w:val="Normal"/>
    <w:rsid w:val="00864969"/>
    <w:pPr>
      <w:jc w:val="center"/>
    </w:pPr>
  </w:style>
  <w:style w:type="paragraph" w:customStyle="1" w:styleId="Head3">
    <w:name w:val="Head3"/>
    <w:basedOn w:val="Normal"/>
    <w:rsid w:val="00864969"/>
  </w:style>
  <w:style w:type="paragraph" w:customStyle="1" w:styleId="Head4">
    <w:name w:val="Head4"/>
    <w:basedOn w:val="Normal"/>
    <w:rsid w:val="00864969"/>
  </w:style>
  <w:style w:type="paragraph" w:customStyle="1" w:styleId="Head5">
    <w:name w:val="Head5"/>
    <w:basedOn w:val="Normal"/>
    <w:rsid w:val="00864969"/>
  </w:style>
  <w:style w:type="paragraph" w:customStyle="1" w:styleId="Times14">
    <w:name w:val="Times 14"/>
    <w:basedOn w:val="Normal"/>
    <w:rsid w:val="00864969"/>
    <w:rPr>
      <w:sz w:val="28"/>
    </w:rPr>
  </w:style>
  <w:style w:type="paragraph" w:customStyle="1" w:styleId="Bibliogrphy">
    <w:name w:val="Bibliogrphy"/>
    <w:basedOn w:val="Normal"/>
    <w:rsid w:val="00864969"/>
    <w:pPr>
      <w:ind w:left="720" w:firstLine="720"/>
    </w:pPr>
  </w:style>
  <w:style w:type="paragraph" w:styleId="TOC6">
    <w:name w:val="toc 6"/>
    <w:basedOn w:val="Normal"/>
    <w:next w:val="Normal"/>
    <w:semiHidden/>
    <w:rsid w:val="00864969"/>
    <w:pPr>
      <w:tabs>
        <w:tab w:val="right" w:leader="dot" w:pos="8640"/>
      </w:tabs>
      <w:ind w:left="1200"/>
    </w:pPr>
  </w:style>
  <w:style w:type="paragraph" w:styleId="TOC2">
    <w:name w:val="toc 2"/>
    <w:basedOn w:val="Normal"/>
    <w:next w:val="Normal"/>
    <w:uiPriority w:val="39"/>
    <w:qFormat/>
    <w:rsid w:val="00864969"/>
    <w:pPr>
      <w:tabs>
        <w:tab w:val="right" w:leader="dot" w:pos="8640"/>
      </w:tabs>
      <w:ind w:left="245"/>
    </w:pPr>
    <w:rPr>
      <w:sz w:val="20"/>
    </w:rPr>
  </w:style>
  <w:style w:type="paragraph" w:styleId="TOC3">
    <w:name w:val="toc 3"/>
    <w:basedOn w:val="Normal"/>
    <w:next w:val="Normal"/>
    <w:uiPriority w:val="39"/>
    <w:semiHidden/>
    <w:qFormat/>
    <w:rsid w:val="00864969"/>
    <w:pPr>
      <w:tabs>
        <w:tab w:val="right" w:leader="dot" w:pos="8640"/>
      </w:tabs>
      <w:ind w:left="475"/>
    </w:pPr>
    <w:rPr>
      <w:sz w:val="20"/>
    </w:rPr>
  </w:style>
  <w:style w:type="paragraph" w:styleId="TOC7">
    <w:name w:val="toc 7"/>
    <w:basedOn w:val="Normal"/>
    <w:next w:val="Normal"/>
    <w:semiHidden/>
    <w:rsid w:val="00864969"/>
    <w:pPr>
      <w:tabs>
        <w:tab w:val="right" w:leader="dot" w:pos="8640"/>
      </w:tabs>
      <w:ind w:left="1440"/>
    </w:pPr>
  </w:style>
  <w:style w:type="paragraph" w:styleId="TOC8">
    <w:name w:val="toc 8"/>
    <w:basedOn w:val="Normal"/>
    <w:next w:val="Normal"/>
    <w:semiHidden/>
    <w:rsid w:val="00864969"/>
    <w:pPr>
      <w:tabs>
        <w:tab w:val="right" w:leader="dot" w:pos="8640"/>
      </w:tabs>
      <w:ind w:left="1680"/>
    </w:pPr>
  </w:style>
  <w:style w:type="paragraph" w:styleId="TOC9">
    <w:name w:val="toc 9"/>
    <w:basedOn w:val="Normal"/>
    <w:next w:val="Normal"/>
    <w:semiHidden/>
    <w:rsid w:val="00864969"/>
    <w:pPr>
      <w:tabs>
        <w:tab w:val="right" w:leader="dot" w:pos="8640"/>
      </w:tabs>
      <w:ind w:left="1920"/>
    </w:pPr>
  </w:style>
  <w:style w:type="paragraph" w:styleId="BodyTextIndent">
    <w:name w:val="Body Text Indent"/>
    <w:basedOn w:val="Normal"/>
    <w:rsid w:val="00864969"/>
    <w:pPr>
      <w:ind w:left="720"/>
      <w:jc w:val="both"/>
    </w:pPr>
  </w:style>
  <w:style w:type="character" w:styleId="Hyperlink">
    <w:name w:val="Hyperlink"/>
    <w:basedOn w:val="DefaultParagraphFont"/>
    <w:uiPriority w:val="99"/>
    <w:rsid w:val="00864969"/>
    <w:rPr>
      <w:color w:val="0000FF"/>
      <w:u w:val="single"/>
    </w:rPr>
  </w:style>
  <w:style w:type="character" w:styleId="FollowedHyperlink">
    <w:name w:val="FollowedHyperlink"/>
    <w:basedOn w:val="DefaultParagraphFont"/>
    <w:rsid w:val="00864969"/>
    <w:rPr>
      <w:color w:val="800080"/>
      <w:u w:val="single"/>
    </w:rPr>
  </w:style>
  <w:style w:type="paragraph" w:styleId="BodyText">
    <w:name w:val="Body Text"/>
    <w:basedOn w:val="Normal"/>
    <w:rsid w:val="00864969"/>
    <w:pPr>
      <w:jc w:val="both"/>
    </w:pPr>
    <w:rPr>
      <w:b/>
      <w:bCs/>
    </w:rPr>
  </w:style>
  <w:style w:type="paragraph" w:styleId="BodyText2">
    <w:name w:val="Body Text 2"/>
    <w:basedOn w:val="Normal"/>
    <w:rsid w:val="00864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style>
  <w:style w:type="paragraph" w:styleId="BodyTextIndent2">
    <w:name w:val="Body Text Indent 2"/>
    <w:basedOn w:val="Normal"/>
    <w:rsid w:val="00864969"/>
    <w:pPr>
      <w:ind w:left="2880" w:hanging="720"/>
      <w:jc w:val="both"/>
    </w:pPr>
  </w:style>
  <w:style w:type="paragraph" w:styleId="BodyTextIndent3">
    <w:name w:val="Body Text Indent 3"/>
    <w:basedOn w:val="Normal"/>
    <w:rsid w:val="00864969"/>
    <w:pPr>
      <w:ind w:left="1440"/>
      <w:jc w:val="both"/>
    </w:pPr>
  </w:style>
  <w:style w:type="character" w:styleId="LineNumber">
    <w:name w:val="line number"/>
    <w:basedOn w:val="DefaultParagraphFont"/>
    <w:rsid w:val="00864969"/>
  </w:style>
  <w:style w:type="paragraph" w:styleId="BalloonText">
    <w:name w:val="Balloon Text"/>
    <w:basedOn w:val="Normal"/>
    <w:semiHidden/>
    <w:rsid w:val="00ED2E44"/>
    <w:rPr>
      <w:rFonts w:ascii="Tahoma" w:hAnsi="Tahoma" w:cs="Tahoma"/>
      <w:sz w:val="16"/>
      <w:szCs w:val="16"/>
    </w:rPr>
  </w:style>
  <w:style w:type="character" w:styleId="CommentReference">
    <w:name w:val="annotation reference"/>
    <w:basedOn w:val="DefaultParagraphFont"/>
    <w:rsid w:val="004141B9"/>
    <w:rPr>
      <w:sz w:val="16"/>
      <w:szCs w:val="16"/>
    </w:rPr>
  </w:style>
  <w:style w:type="paragraph" w:styleId="CommentText">
    <w:name w:val="annotation text"/>
    <w:basedOn w:val="Normal"/>
    <w:link w:val="CommentTextChar"/>
    <w:rsid w:val="004141B9"/>
    <w:rPr>
      <w:sz w:val="20"/>
    </w:rPr>
  </w:style>
  <w:style w:type="character" w:customStyle="1" w:styleId="CommentTextChar">
    <w:name w:val="Comment Text Char"/>
    <w:basedOn w:val="DefaultParagraphFont"/>
    <w:link w:val="CommentText"/>
    <w:rsid w:val="004141B9"/>
    <w:rPr>
      <w:rFonts w:ascii="Times" w:hAnsi="Times"/>
    </w:rPr>
  </w:style>
  <w:style w:type="paragraph" w:styleId="CommentSubject">
    <w:name w:val="annotation subject"/>
    <w:basedOn w:val="CommentText"/>
    <w:next w:val="CommentText"/>
    <w:link w:val="CommentSubjectChar"/>
    <w:rsid w:val="004141B9"/>
    <w:rPr>
      <w:b/>
      <w:bCs/>
    </w:rPr>
  </w:style>
  <w:style w:type="character" w:customStyle="1" w:styleId="CommentSubjectChar">
    <w:name w:val="Comment Subject Char"/>
    <w:basedOn w:val="CommentTextChar"/>
    <w:link w:val="CommentSubject"/>
    <w:rsid w:val="004141B9"/>
    <w:rPr>
      <w:rFonts w:ascii="Times" w:hAnsi="Times"/>
      <w:b/>
      <w:bCs/>
    </w:rPr>
  </w:style>
  <w:style w:type="table" w:styleId="TableGrid">
    <w:name w:val="Table Grid"/>
    <w:basedOn w:val="TableNormal"/>
    <w:rsid w:val="00A5067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02F"/>
    <w:pPr>
      <w:ind w:left="720"/>
    </w:pPr>
  </w:style>
  <w:style w:type="paragraph" w:styleId="TOCHeading">
    <w:name w:val="TOC Heading"/>
    <w:basedOn w:val="Heading1"/>
    <w:next w:val="Normal"/>
    <w:uiPriority w:val="39"/>
    <w:unhideWhenUsed/>
    <w:qFormat/>
    <w:rsid w:val="00F26F36"/>
    <w:pPr>
      <w:keepNext/>
      <w:keepLines/>
      <w:spacing w:before="480" w:line="276" w:lineRule="auto"/>
      <w:outlineLvl w:val="9"/>
    </w:pPr>
    <w:rPr>
      <w:rFonts w:ascii="Cambria" w:hAnsi="Cambria"/>
      <w:bCs/>
      <w:color w:val="365F91"/>
      <w:sz w:val="28"/>
      <w:szCs w:val="28"/>
    </w:rPr>
  </w:style>
  <w:style w:type="character" w:customStyle="1" w:styleId="Heading1Char">
    <w:name w:val="Heading 1 Char"/>
    <w:basedOn w:val="DefaultParagraphFont"/>
    <w:link w:val="Heading1"/>
    <w:uiPriority w:val="9"/>
    <w:rsid w:val="00C17DC6"/>
    <w:rPr>
      <w:rFonts w:ascii="Times" w:hAnsi="Times"/>
      <w:b/>
      <w:sz w:val="24"/>
    </w:rPr>
  </w:style>
  <w:style w:type="paragraph" w:customStyle="1" w:styleId="TableFigure">
    <w:name w:val="Table/Figure"/>
    <w:basedOn w:val="Normal"/>
    <w:link w:val="TableFigureChar"/>
    <w:qFormat/>
    <w:rsid w:val="002D1D15"/>
    <w:rPr>
      <w:b/>
      <w:bCs/>
      <w:i/>
    </w:rPr>
  </w:style>
  <w:style w:type="character" w:customStyle="1" w:styleId="TableFigureChar">
    <w:name w:val="Table/Figure Char"/>
    <w:basedOn w:val="DefaultParagraphFont"/>
    <w:link w:val="TableFigure"/>
    <w:rsid w:val="002D1D15"/>
    <w:rPr>
      <w:rFonts w:ascii="Times" w:hAnsi="Times"/>
      <w:b/>
      <w:bCs/>
      <w:i/>
      <w:sz w:val="24"/>
    </w:rPr>
  </w:style>
  <w:style w:type="character" w:customStyle="1" w:styleId="FooterChar">
    <w:name w:val="Footer Char"/>
    <w:basedOn w:val="DefaultParagraphFont"/>
    <w:link w:val="Footer"/>
    <w:rsid w:val="00411A02"/>
    <w:rPr>
      <w:rFonts w:ascii="Times" w:hAnsi="Times"/>
      <w:sz w:val="24"/>
    </w:rPr>
  </w:style>
  <w:style w:type="paragraph" w:styleId="Revision">
    <w:name w:val="Revision"/>
    <w:hidden/>
    <w:uiPriority w:val="99"/>
    <w:semiHidden/>
    <w:rsid w:val="00937848"/>
    <w:rPr>
      <w:rFonts w:ascii="Times" w:hAnsi="Times"/>
      <w:sz w:val="24"/>
    </w:rPr>
  </w:style>
  <w:style w:type="paragraph" w:styleId="NoSpacing">
    <w:name w:val="No Spacing"/>
    <w:uiPriority w:val="1"/>
    <w:qFormat/>
    <w:rsid w:val="00C31638"/>
    <w:rPr>
      <w:rFonts w:ascii="Times" w:hAnsi="Times"/>
      <w:sz w:val="24"/>
    </w:rPr>
  </w:style>
  <w:style w:type="character" w:customStyle="1" w:styleId="HeaderChar">
    <w:name w:val="Header Char"/>
    <w:link w:val="Header"/>
    <w:rsid w:val="006D1698"/>
    <w:rPr>
      <w:rFonts w:ascii="Times" w:hAnsi="Times"/>
      <w:sz w:val="24"/>
    </w:rPr>
  </w:style>
  <w:style w:type="paragraph" w:customStyle="1" w:styleId="Proced">
    <w:name w:val="Proced"/>
    <w:basedOn w:val="Normal"/>
    <w:rsid w:val="006D1698"/>
    <w:pPr>
      <w:tabs>
        <w:tab w:val="left" w:pos="1260"/>
      </w:tabs>
      <w:spacing w:before="120"/>
      <w:ind w:left="1267" w:hanging="1267"/>
    </w:pPr>
    <w:rPr>
      <w:rFonts w:ascii="Courier" w:hAnsi="Courier"/>
      <w:sz w:val="20"/>
    </w:rPr>
  </w:style>
  <w:style w:type="paragraph" w:customStyle="1" w:styleId="procedbody">
    <w:name w:val="proced body"/>
    <w:basedOn w:val="Normal"/>
    <w:rsid w:val="006D1698"/>
    <w:pPr>
      <w:tabs>
        <w:tab w:val="left" w:pos="6480"/>
      </w:tabs>
      <w:spacing w:before="240"/>
      <w:ind w:left="576" w:hanging="576"/>
    </w:pPr>
    <w:rPr>
      <w:rFonts w:ascii="New York" w:hAnsi="New York"/>
      <w:sz w:val="20"/>
    </w:rPr>
  </w:style>
  <w:style w:type="character" w:styleId="UnresolvedMention">
    <w:name w:val="Unresolved Mention"/>
    <w:basedOn w:val="DefaultParagraphFont"/>
    <w:uiPriority w:val="99"/>
    <w:semiHidden/>
    <w:unhideWhenUsed/>
    <w:rsid w:val="00E27E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h-docdb.fnal.gov/cgi-bin/ShowDocument?docid=348" TargetMode="External"/><Relationship Id="rId13" Type="http://schemas.openxmlformats.org/officeDocument/2006/relationships/hyperlink" Target="https://esh-docdb.fnal.gov:440/cgi-bin/ShowDocument?docid=812" TargetMode="External"/><Relationship Id="rId18" Type="http://schemas.openxmlformats.org/officeDocument/2006/relationships/hyperlink" Target="http://esh-docdb.fnal.gov/cgi-bin/RetrieveFile?docid=394" TargetMode="External"/><Relationship Id="rId26" Type="http://schemas.openxmlformats.org/officeDocument/2006/relationships/hyperlink" Target="https://mars.fnal.gov" TargetMode="External"/><Relationship Id="rId3" Type="http://schemas.openxmlformats.org/officeDocument/2006/relationships/styles" Target="styles.xml"/><Relationship Id="rId21" Type="http://schemas.openxmlformats.org/officeDocument/2006/relationships/hyperlink" Target="https://esh-docdb.fnal.gov:440/cgi-bin/ShowDocument?docid=855"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esh-docdb.fnal.gov/cgi-bin/ShowDocument?docid=348" TargetMode="External"/><Relationship Id="rId25" Type="http://schemas.openxmlformats.org/officeDocument/2006/relationships/hyperlink" Target="https://esh-docdb.fnal.gov:440/cgi-bin/ShowDocument?docid=2263" TargetMode="External"/><Relationship Id="rId2" Type="http://schemas.openxmlformats.org/officeDocument/2006/relationships/numbering" Target="numbering.xml"/><Relationship Id="rId16" Type="http://schemas.openxmlformats.org/officeDocument/2006/relationships/hyperlink" Target="http://esh-docdb.fnal.gov/cgi-bin/ShowDocument?docid=348" TargetMode="External"/><Relationship Id="rId20" Type="http://schemas.openxmlformats.org/officeDocument/2006/relationships/hyperlink" Target="https://fermipoint.fnal.gov/organization/eshq/rp/SitePages/Home.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s.fnal.gov/" TargetMode="External"/><Relationship Id="rId24" Type="http://schemas.openxmlformats.org/officeDocument/2006/relationships/hyperlink" Target="https://esh-docdb.fnal.gov/cgi-bin/sso/ShowDocument?docid=7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h-docdb.fnal.gov/cgi-bin/ShowDocument?docid=332" TargetMode="External"/><Relationship Id="rId23" Type="http://schemas.openxmlformats.org/officeDocument/2006/relationships/hyperlink" Target="https://esh-docdb.fnal.gov:440/cgi-bin/ShowDocument?docid=1066" TargetMode="External"/><Relationship Id="rId28" Type="http://schemas.openxmlformats.org/officeDocument/2006/relationships/footer" Target="footer1.xml"/><Relationship Id="rId10" Type="http://schemas.openxmlformats.org/officeDocument/2006/relationships/hyperlink" Target="http://esh.fnal.gov/xms/ESHQ-Manuals/FESHM" TargetMode="External"/><Relationship Id="rId19" Type="http://schemas.openxmlformats.org/officeDocument/2006/relationships/hyperlink" Target="https://esh-docdb.fnal.gov/cgi-bin/sso/ShowDocument?docid=71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h.fnal.gov/xms/ESHQ-Manuals/FRCM" TargetMode="External"/><Relationship Id="rId14" Type="http://schemas.openxmlformats.org/officeDocument/2006/relationships/hyperlink" Target="http://esh-docdb.fnal.gov/cgi-bin/ShowDocument?docid=348" TargetMode="External"/><Relationship Id="rId22" Type="http://schemas.openxmlformats.org/officeDocument/2006/relationships/hyperlink" Target="https://esh-docdbcert.fnal.gov/cgi-bin/cert/ShowDocument?docid=2204"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9D06-3414-4CF5-A052-D38D86D2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6077</Words>
  <Characters>33002</Characters>
  <Application>Microsoft Office Word</Application>
  <DocSecurity>0</DocSecurity>
  <Lines>825</Lines>
  <Paragraphs>345</Paragraphs>
  <ScaleCrop>false</ScaleCrop>
  <HeadingPairs>
    <vt:vector size="2" baseType="variant">
      <vt:variant>
        <vt:lpstr>Title</vt:lpstr>
      </vt:variant>
      <vt:variant>
        <vt:i4>1</vt:i4>
      </vt:variant>
    </vt:vector>
  </HeadingPairs>
  <TitlesOfParts>
    <vt:vector size="1" baseType="lpstr">
      <vt:lpstr>CHAPTER 8   ACCELERATOR SHIELDING AND RADIOACTIVATION</vt:lpstr>
    </vt:vector>
  </TitlesOfParts>
  <Company>FNAL</Company>
  <LinksUpToDate>false</LinksUpToDate>
  <CharactersWithSpaces>38734</CharactersWithSpaces>
  <SharedDoc>false</SharedDoc>
  <HLinks>
    <vt:vector size="30" baseType="variant">
      <vt:variant>
        <vt:i4>6291509</vt:i4>
      </vt:variant>
      <vt:variant>
        <vt:i4>24</vt:i4>
      </vt:variant>
      <vt:variant>
        <vt:i4>0</vt:i4>
      </vt:variant>
      <vt:variant>
        <vt:i4>5</vt:i4>
      </vt:variant>
      <vt:variant>
        <vt:lpwstr>https://esh-docdb.fnal.gov:440/cgi-bin/ShowDocument?docid=1007</vt:lpwstr>
      </vt:variant>
      <vt:variant>
        <vt:lpwstr/>
      </vt:variant>
      <vt:variant>
        <vt:i4>1179704</vt:i4>
      </vt:variant>
      <vt:variant>
        <vt:i4>14</vt:i4>
      </vt:variant>
      <vt:variant>
        <vt:i4>0</vt:i4>
      </vt:variant>
      <vt:variant>
        <vt:i4>5</vt:i4>
      </vt:variant>
      <vt:variant>
        <vt:lpwstr/>
      </vt:variant>
      <vt:variant>
        <vt:lpwstr>_Toc39300985</vt:lpwstr>
      </vt:variant>
      <vt:variant>
        <vt:i4>1245240</vt:i4>
      </vt:variant>
      <vt:variant>
        <vt:i4>8</vt:i4>
      </vt:variant>
      <vt:variant>
        <vt:i4>0</vt:i4>
      </vt:variant>
      <vt:variant>
        <vt:i4>5</vt:i4>
      </vt:variant>
      <vt:variant>
        <vt:lpwstr/>
      </vt:variant>
      <vt:variant>
        <vt:lpwstr>_Toc39300984</vt:lpwstr>
      </vt:variant>
      <vt:variant>
        <vt:i4>1310776</vt:i4>
      </vt:variant>
      <vt:variant>
        <vt:i4>2</vt:i4>
      </vt:variant>
      <vt:variant>
        <vt:i4>0</vt:i4>
      </vt:variant>
      <vt:variant>
        <vt:i4>5</vt:i4>
      </vt:variant>
      <vt:variant>
        <vt:lpwstr/>
      </vt:variant>
      <vt:variant>
        <vt:lpwstr>_Toc39300983</vt:lpwstr>
      </vt:variant>
      <vt:variant>
        <vt:i4>2686980</vt:i4>
      </vt:variant>
      <vt:variant>
        <vt:i4>0</vt:i4>
      </vt:variant>
      <vt:variant>
        <vt:i4>0</vt:i4>
      </vt:variant>
      <vt:variant>
        <vt:i4>5</vt:i4>
      </vt:variant>
      <vt:variant>
        <vt:lpwstr>http://www-esh.fnal.gov/pls/default/esh_manuals.html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ACCELERATOR SHIELDING AND RADIOACTIVATION</dc:title>
  <dc:subject/>
  <dc:creator>cossairt@fnal.gov</dc:creator>
  <cp:keywords/>
  <dc:description/>
  <cp:lastModifiedBy>Kristy Gibson x 35929N</cp:lastModifiedBy>
  <cp:revision>2</cp:revision>
  <cp:lastPrinted>2018-10-17T18:17:00Z</cp:lastPrinted>
  <dcterms:created xsi:type="dcterms:W3CDTF">2020-02-14T20:33:00Z</dcterms:created>
  <dcterms:modified xsi:type="dcterms:W3CDTF">2020-02-14T20:33:00Z</dcterms:modified>
</cp:coreProperties>
</file>