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88EB" w14:textId="77777777" w:rsidR="00142C80" w:rsidRDefault="00142C80" w:rsidP="00142C80">
      <w:pPr>
        <w:jc w:val="center"/>
        <w:rPr>
          <w:b/>
          <w:sz w:val="28"/>
          <w:szCs w:val="28"/>
        </w:rPr>
      </w:pPr>
    </w:p>
    <w:p w14:paraId="32202577" w14:textId="62C29647" w:rsidR="00142C80" w:rsidRPr="00643A5B" w:rsidRDefault="004F254C" w:rsidP="00643A5B">
      <w:pPr>
        <w:ind w:right="36"/>
        <w:jc w:val="center"/>
        <w:rPr>
          <w:color w:val="000000"/>
          <w:sz w:val="36"/>
          <w:szCs w:val="36"/>
        </w:rPr>
      </w:pPr>
      <w:r w:rsidRPr="00AB4D65">
        <w:rPr>
          <w:color w:val="000000"/>
          <w:sz w:val="36"/>
          <w:szCs w:val="36"/>
        </w:rPr>
        <w:t xml:space="preserve">FESHM </w:t>
      </w:r>
      <w:r w:rsidR="00C15584">
        <w:rPr>
          <w:color w:val="000000"/>
          <w:sz w:val="36"/>
          <w:szCs w:val="36"/>
        </w:rPr>
        <w:t>1015</w:t>
      </w:r>
      <w:r w:rsidR="00A34F04">
        <w:rPr>
          <w:color w:val="000000"/>
          <w:sz w:val="36"/>
          <w:szCs w:val="36"/>
        </w:rPr>
        <w:t>0: ONSITE HAZARDOUS MATERIAL TRANSPORTATION</w:t>
      </w:r>
    </w:p>
    <w:p w14:paraId="164A2385" w14:textId="77777777" w:rsidR="00142C80" w:rsidRDefault="00142C80" w:rsidP="00142C80">
      <w:pPr>
        <w:jc w:val="center"/>
        <w:rPr>
          <w:b/>
          <w:sz w:val="28"/>
          <w:szCs w:val="28"/>
        </w:rPr>
      </w:pPr>
    </w:p>
    <w:p w14:paraId="27CA0BFB" w14:textId="77777777" w:rsidR="00DB5D5A" w:rsidRPr="008B60C4" w:rsidRDefault="00743FAE" w:rsidP="00DB5D5A">
      <w:pPr>
        <w:ind w:right="-140"/>
        <w:jc w:val="center"/>
        <w:rPr>
          <w:b/>
          <w:color w:val="000000"/>
        </w:rPr>
      </w:pPr>
      <w:r>
        <w:rPr>
          <w:b/>
          <w:color w:val="000000"/>
        </w:rPr>
        <w:t>Revision History</w:t>
      </w:r>
    </w:p>
    <w:p w14:paraId="2DDEFB7A" w14:textId="295EB38B" w:rsidR="00643A5B" w:rsidRDefault="00643A5B" w:rsidP="00DB5D5A">
      <w:pPr>
        <w:ind w:right="-140"/>
        <w:rPr>
          <w:b/>
          <w:color w:val="000000"/>
        </w:rPr>
      </w:pPr>
    </w:p>
    <w:p w14:paraId="7CD9032D" w14:textId="77777777" w:rsidR="00643A5B" w:rsidRPr="008B60C4" w:rsidRDefault="00643A5B" w:rsidP="00DB5D5A">
      <w:pPr>
        <w:ind w:right="-140"/>
        <w:rPr>
          <w:b/>
          <w:color w:val="000000"/>
        </w:rPr>
      </w:pPr>
    </w:p>
    <w:tbl>
      <w:tblPr>
        <w:tblW w:w="97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95"/>
        <w:gridCol w:w="6120"/>
        <w:gridCol w:w="1800"/>
      </w:tblGrid>
      <w:tr w:rsidR="00743FAE" w:rsidRPr="00E331D3" w14:paraId="75BB6F58" w14:textId="77777777" w:rsidTr="00B53C8F">
        <w:tc>
          <w:tcPr>
            <w:tcW w:w="1795" w:type="dxa"/>
          </w:tcPr>
          <w:p w14:paraId="11E66E5F" w14:textId="77777777" w:rsidR="00743FAE" w:rsidRPr="00D115E0" w:rsidRDefault="00743FAE" w:rsidP="006D5801">
            <w:pPr>
              <w:tabs>
                <w:tab w:val="left" w:pos="720"/>
              </w:tabs>
              <w:jc w:val="center"/>
              <w:rPr>
                <w:b/>
              </w:rPr>
            </w:pPr>
            <w:r w:rsidRPr="00D115E0">
              <w:rPr>
                <w:b/>
              </w:rPr>
              <w:t>Author</w:t>
            </w:r>
          </w:p>
        </w:tc>
        <w:tc>
          <w:tcPr>
            <w:tcW w:w="6120" w:type="dxa"/>
          </w:tcPr>
          <w:p w14:paraId="5024E35D" w14:textId="77777777" w:rsidR="00743FAE" w:rsidRPr="00D115E0" w:rsidRDefault="00743FAE" w:rsidP="006D5801">
            <w:pPr>
              <w:tabs>
                <w:tab w:val="left" w:pos="720"/>
              </w:tabs>
              <w:jc w:val="center"/>
              <w:rPr>
                <w:b/>
              </w:rPr>
            </w:pPr>
            <w:r w:rsidRPr="00D115E0">
              <w:rPr>
                <w:b/>
              </w:rPr>
              <w:t>Description of Change</w:t>
            </w:r>
          </w:p>
        </w:tc>
        <w:tc>
          <w:tcPr>
            <w:tcW w:w="1800" w:type="dxa"/>
          </w:tcPr>
          <w:p w14:paraId="3233511C" w14:textId="77777777" w:rsidR="00743FAE" w:rsidRPr="00D115E0" w:rsidRDefault="00C15584" w:rsidP="006D5801">
            <w:pPr>
              <w:tabs>
                <w:tab w:val="left" w:pos="720"/>
              </w:tabs>
              <w:jc w:val="center"/>
              <w:rPr>
                <w:b/>
              </w:rPr>
            </w:pPr>
            <w:r>
              <w:rPr>
                <w:b/>
              </w:rPr>
              <w:t>Revision</w:t>
            </w:r>
            <w:r w:rsidR="00743FAE" w:rsidRPr="00D115E0">
              <w:rPr>
                <w:b/>
              </w:rPr>
              <w:t xml:space="preserve"> Date</w:t>
            </w:r>
          </w:p>
        </w:tc>
      </w:tr>
      <w:tr w:rsidR="007F1B9E" w:rsidRPr="00E331D3" w14:paraId="64D6A101" w14:textId="77777777" w:rsidTr="00B53C8F">
        <w:tc>
          <w:tcPr>
            <w:tcW w:w="1795" w:type="dxa"/>
          </w:tcPr>
          <w:p w14:paraId="7D12F7C6" w14:textId="1341113A" w:rsidR="007F1B9E" w:rsidRDefault="007F1B9E" w:rsidP="00D115E0">
            <w:pPr>
              <w:tabs>
                <w:tab w:val="left" w:pos="720"/>
              </w:tabs>
              <w:jc w:val="left"/>
              <w:rPr>
                <w:szCs w:val="22"/>
              </w:rPr>
            </w:pPr>
            <w:r>
              <w:rPr>
                <w:szCs w:val="22"/>
              </w:rPr>
              <w:t>Michael Pfaff</w:t>
            </w:r>
          </w:p>
        </w:tc>
        <w:tc>
          <w:tcPr>
            <w:tcW w:w="6120" w:type="dxa"/>
            <w:vAlign w:val="bottom"/>
          </w:tcPr>
          <w:p w14:paraId="29AD0F95" w14:textId="51817CE6" w:rsidR="00D3370B" w:rsidRPr="009B5422" w:rsidRDefault="007F1B9E" w:rsidP="0027346B">
            <w:pPr>
              <w:pStyle w:val="PlainText"/>
              <w:numPr>
                <w:ilvl w:val="0"/>
                <w:numId w:val="36"/>
              </w:numPr>
              <w:ind w:left="256" w:hanging="270"/>
              <w:rPr>
                <w:rFonts w:ascii="Times New Roman" w:hAnsi="Times New Roman" w:cs="Times New Roman"/>
              </w:rPr>
            </w:pPr>
            <w:r w:rsidRPr="009B5422">
              <w:rPr>
                <w:rFonts w:ascii="Times New Roman" w:hAnsi="Times New Roman" w:cs="Times New Roman"/>
              </w:rPr>
              <w:t>Changed references of ‘Transportation Services’ to ‘Distribution Services’</w:t>
            </w:r>
            <w:r w:rsidR="009B5422" w:rsidRPr="009B5422">
              <w:rPr>
                <w:rFonts w:ascii="Times New Roman" w:hAnsi="Times New Roman" w:cs="Times New Roman"/>
              </w:rPr>
              <w:t xml:space="preserve"> as well as </w:t>
            </w:r>
            <w:r w:rsidR="009B5422">
              <w:rPr>
                <w:rFonts w:ascii="Times New Roman" w:hAnsi="Times New Roman" w:cs="Times New Roman"/>
              </w:rPr>
              <w:t>u</w:t>
            </w:r>
            <w:r w:rsidR="00D3370B" w:rsidRPr="009B5422">
              <w:rPr>
                <w:rFonts w:ascii="Times New Roman" w:hAnsi="Times New Roman" w:cs="Times New Roman"/>
              </w:rPr>
              <w:t xml:space="preserve">pdated references of all sections to divisions and division names.  </w:t>
            </w:r>
          </w:p>
          <w:p w14:paraId="7514DD05" w14:textId="08A1450C" w:rsidR="007F1B9E" w:rsidRDefault="007F1B9E" w:rsidP="00B53C8F">
            <w:pPr>
              <w:pStyle w:val="PlainText"/>
              <w:numPr>
                <w:ilvl w:val="0"/>
                <w:numId w:val="36"/>
              </w:numPr>
              <w:ind w:left="256" w:hanging="270"/>
              <w:rPr>
                <w:rFonts w:ascii="Times New Roman" w:hAnsi="Times New Roman" w:cs="Times New Roman"/>
              </w:rPr>
            </w:pPr>
            <w:r>
              <w:rPr>
                <w:rFonts w:ascii="Times New Roman" w:hAnsi="Times New Roman" w:cs="Times New Roman"/>
              </w:rPr>
              <w:t>Updated Service Now links</w:t>
            </w:r>
            <w:r w:rsidR="003D58AE">
              <w:rPr>
                <w:rFonts w:ascii="Times New Roman" w:hAnsi="Times New Roman" w:cs="Times New Roman"/>
              </w:rPr>
              <w:t>.</w:t>
            </w:r>
          </w:p>
          <w:p w14:paraId="3C7004C0" w14:textId="482A4232" w:rsidR="007F1B9E" w:rsidRDefault="007F1B9E" w:rsidP="00B53C8F">
            <w:pPr>
              <w:pStyle w:val="PlainText"/>
              <w:numPr>
                <w:ilvl w:val="0"/>
                <w:numId w:val="36"/>
              </w:numPr>
              <w:ind w:left="256" w:hanging="270"/>
              <w:rPr>
                <w:rFonts w:ascii="Times New Roman" w:hAnsi="Times New Roman" w:cs="Times New Roman"/>
              </w:rPr>
            </w:pPr>
            <w:r>
              <w:rPr>
                <w:rFonts w:ascii="Times New Roman" w:hAnsi="Times New Roman" w:cs="Times New Roman"/>
              </w:rPr>
              <w:t>Updated ‘Requestor’ definition to include transporting goods out of the property management system</w:t>
            </w:r>
            <w:r w:rsidR="003D58AE">
              <w:rPr>
                <w:rFonts w:ascii="Times New Roman" w:hAnsi="Times New Roman" w:cs="Times New Roman"/>
              </w:rPr>
              <w:t>.</w:t>
            </w:r>
          </w:p>
          <w:p w14:paraId="77B531B0" w14:textId="402150F8" w:rsidR="007F1B9E" w:rsidRDefault="007F1B9E" w:rsidP="00B53C8F">
            <w:pPr>
              <w:pStyle w:val="PlainText"/>
              <w:numPr>
                <w:ilvl w:val="0"/>
                <w:numId w:val="36"/>
              </w:numPr>
              <w:ind w:left="256" w:hanging="270"/>
              <w:rPr>
                <w:rFonts w:ascii="Times New Roman" w:hAnsi="Times New Roman" w:cs="Times New Roman"/>
              </w:rPr>
            </w:pPr>
            <w:r>
              <w:rPr>
                <w:rFonts w:ascii="Times New Roman" w:hAnsi="Times New Roman" w:cs="Times New Roman"/>
              </w:rPr>
              <w:t>Updated ‘Note’ in section 4.5.2 regarding package acceptability</w:t>
            </w:r>
            <w:r w:rsidR="003D58AE">
              <w:rPr>
                <w:rFonts w:ascii="Times New Roman" w:hAnsi="Times New Roman" w:cs="Times New Roman"/>
              </w:rPr>
              <w:t>.</w:t>
            </w:r>
          </w:p>
          <w:p w14:paraId="3DC7996C" w14:textId="77777777" w:rsidR="00762C2D" w:rsidRDefault="00D3370B" w:rsidP="00B53C8F">
            <w:pPr>
              <w:pStyle w:val="PlainText"/>
              <w:numPr>
                <w:ilvl w:val="0"/>
                <w:numId w:val="36"/>
              </w:numPr>
              <w:ind w:left="256" w:hanging="270"/>
              <w:rPr>
                <w:rFonts w:ascii="Times New Roman" w:hAnsi="Times New Roman" w:cs="Times New Roman"/>
              </w:rPr>
            </w:pPr>
            <w:r>
              <w:rPr>
                <w:rFonts w:ascii="Times New Roman" w:hAnsi="Times New Roman" w:cs="Times New Roman"/>
              </w:rPr>
              <w:t>Updated 4.1 to clarify prohibition of personal vehicle use for hazardous materials transport.</w:t>
            </w:r>
          </w:p>
          <w:p w14:paraId="394745CF" w14:textId="592C03F9" w:rsidR="00D3370B" w:rsidRDefault="00D3370B" w:rsidP="00B53C8F">
            <w:pPr>
              <w:pStyle w:val="PlainText"/>
              <w:numPr>
                <w:ilvl w:val="0"/>
                <w:numId w:val="36"/>
              </w:numPr>
              <w:ind w:left="256" w:hanging="270"/>
              <w:rPr>
                <w:rFonts w:ascii="Times New Roman" w:hAnsi="Times New Roman" w:cs="Times New Roman"/>
              </w:rPr>
            </w:pPr>
            <w:r>
              <w:rPr>
                <w:rFonts w:ascii="Times New Roman" w:hAnsi="Times New Roman" w:cs="Times New Roman"/>
              </w:rPr>
              <w:t xml:space="preserve">Updated </w:t>
            </w:r>
            <w:r w:rsidR="00C8140D">
              <w:rPr>
                <w:rFonts w:ascii="Times New Roman" w:hAnsi="Times New Roman" w:cs="Times New Roman"/>
              </w:rPr>
              <w:t>d</w:t>
            </w:r>
            <w:r>
              <w:rPr>
                <w:rFonts w:ascii="Times New Roman" w:hAnsi="Times New Roman" w:cs="Times New Roman"/>
              </w:rPr>
              <w:t xml:space="preserve">efinitions to include </w:t>
            </w:r>
            <w:r w:rsidR="00C8140D">
              <w:rPr>
                <w:rFonts w:ascii="Times New Roman" w:hAnsi="Times New Roman" w:cs="Times New Roman"/>
              </w:rPr>
              <w:t>radioactive</w:t>
            </w:r>
            <w:r>
              <w:rPr>
                <w:rFonts w:ascii="Times New Roman" w:hAnsi="Times New Roman" w:cs="Times New Roman"/>
              </w:rPr>
              <w:t xml:space="preserve"> and mixed waste</w:t>
            </w:r>
            <w:r w:rsidR="003D58AE">
              <w:rPr>
                <w:rFonts w:ascii="Times New Roman" w:hAnsi="Times New Roman" w:cs="Times New Roman"/>
              </w:rPr>
              <w:t>.</w:t>
            </w:r>
          </w:p>
          <w:p w14:paraId="5BB86C3A" w14:textId="2E6B5CCC" w:rsidR="009B5422" w:rsidRDefault="009B5422" w:rsidP="00B53C8F">
            <w:pPr>
              <w:pStyle w:val="PlainText"/>
              <w:numPr>
                <w:ilvl w:val="0"/>
                <w:numId w:val="36"/>
              </w:numPr>
              <w:ind w:left="256" w:hanging="270"/>
              <w:rPr>
                <w:rFonts w:ascii="Times New Roman" w:hAnsi="Times New Roman" w:cs="Times New Roman"/>
              </w:rPr>
            </w:pPr>
            <w:r>
              <w:rPr>
                <w:rFonts w:ascii="Times New Roman" w:hAnsi="Times New Roman" w:cs="Times New Roman"/>
              </w:rPr>
              <w:t xml:space="preserve">Updated 3.1 for MMR minimum retention period. </w:t>
            </w:r>
          </w:p>
        </w:tc>
        <w:tc>
          <w:tcPr>
            <w:tcW w:w="1800" w:type="dxa"/>
          </w:tcPr>
          <w:p w14:paraId="4D1CCC4E" w14:textId="571748EC" w:rsidR="007F1B9E" w:rsidRDefault="007F1B9E" w:rsidP="00C15584">
            <w:pPr>
              <w:jc w:val="left"/>
              <w:rPr>
                <w:szCs w:val="22"/>
              </w:rPr>
            </w:pPr>
            <w:r>
              <w:rPr>
                <w:szCs w:val="22"/>
              </w:rPr>
              <w:t>October 2022</w:t>
            </w:r>
          </w:p>
        </w:tc>
      </w:tr>
      <w:tr w:rsidR="007F1B9E" w:rsidRPr="00E331D3" w14:paraId="04CC0FA4" w14:textId="77777777" w:rsidTr="00B53C8F">
        <w:tc>
          <w:tcPr>
            <w:tcW w:w="1795" w:type="dxa"/>
          </w:tcPr>
          <w:p w14:paraId="7B4BE8B8" w14:textId="6C96C3B4" w:rsidR="007F1B9E" w:rsidRDefault="007F1B9E" w:rsidP="00D115E0">
            <w:pPr>
              <w:tabs>
                <w:tab w:val="left" w:pos="720"/>
              </w:tabs>
              <w:jc w:val="left"/>
              <w:rPr>
                <w:szCs w:val="22"/>
              </w:rPr>
            </w:pPr>
            <w:r>
              <w:rPr>
                <w:szCs w:val="22"/>
              </w:rPr>
              <w:t xml:space="preserve">Brian </w:t>
            </w:r>
            <w:proofErr w:type="spellStart"/>
            <w:r>
              <w:rPr>
                <w:szCs w:val="22"/>
              </w:rPr>
              <w:t>Niesman</w:t>
            </w:r>
            <w:proofErr w:type="spellEnd"/>
          </w:p>
        </w:tc>
        <w:tc>
          <w:tcPr>
            <w:tcW w:w="6120" w:type="dxa"/>
            <w:vAlign w:val="bottom"/>
          </w:tcPr>
          <w:p w14:paraId="711575A8" w14:textId="77777777" w:rsidR="007F1B9E" w:rsidRDefault="007F1B9E" w:rsidP="00B53C8F">
            <w:pPr>
              <w:pStyle w:val="PlainText"/>
              <w:numPr>
                <w:ilvl w:val="0"/>
                <w:numId w:val="36"/>
              </w:numPr>
              <w:ind w:left="256" w:hanging="270"/>
              <w:rPr>
                <w:rFonts w:ascii="Times New Roman" w:hAnsi="Times New Roman" w:cs="Times New Roman"/>
              </w:rPr>
            </w:pPr>
            <w:r>
              <w:rPr>
                <w:rFonts w:ascii="Times New Roman" w:hAnsi="Times New Roman" w:cs="Times New Roman"/>
              </w:rPr>
              <w:t>Added a statement about the applicability of this chapter to SURF operations.</w:t>
            </w:r>
          </w:p>
          <w:p w14:paraId="5F4F97C1" w14:textId="77777777" w:rsidR="007F1B9E" w:rsidRDefault="007F1B9E" w:rsidP="00B53C8F">
            <w:pPr>
              <w:pStyle w:val="PlainText"/>
              <w:numPr>
                <w:ilvl w:val="0"/>
                <w:numId w:val="36"/>
              </w:numPr>
              <w:ind w:left="256" w:hanging="270"/>
              <w:rPr>
                <w:rFonts w:ascii="Times New Roman" w:hAnsi="Times New Roman" w:cs="Times New Roman"/>
              </w:rPr>
            </w:pPr>
            <w:r>
              <w:rPr>
                <w:rFonts w:ascii="Times New Roman" w:hAnsi="Times New Roman" w:cs="Times New Roman"/>
              </w:rPr>
              <w:t>Added the Consumer Commodity Exception for hazardous materials.</w:t>
            </w:r>
          </w:p>
          <w:p w14:paraId="0B7DAC58" w14:textId="77777777" w:rsidR="007F1B9E" w:rsidRDefault="007F1B9E" w:rsidP="00B53C8F">
            <w:pPr>
              <w:pStyle w:val="PlainText"/>
              <w:numPr>
                <w:ilvl w:val="0"/>
                <w:numId w:val="36"/>
              </w:numPr>
              <w:ind w:left="256" w:hanging="270"/>
              <w:rPr>
                <w:rFonts w:ascii="Times New Roman" w:hAnsi="Times New Roman" w:cs="Times New Roman"/>
              </w:rPr>
            </w:pPr>
            <w:r>
              <w:rPr>
                <w:rFonts w:ascii="Times New Roman" w:hAnsi="Times New Roman" w:cs="Times New Roman"/>
              </w:rPr>
              <w:t>Replaced Technical Appendix with a link to the Fermilab Service Desk (Service Now).</w:t>
            </w:r>
          </w:p>
          <w:p w14:paraId="2A2BDC19" w14:textId="6F496EA7" w:rsidR="007F1B9E" w:rsidRPr="00A63EE9" w:rsidRDefault="007F1B9E" w:rsidP="00A63EE9">
            <w:pPr>
              <w:pStyle w:val="PlainText"/>
              <w:numPr>
                <w:ilvl w:val="0"/>
                <w:numId w:val="36"/>
              </w:numPr>
              <w:ind w:left="256" w:hanging="270"/>
              <w:rPr>
                <w:rFonts w:ascii="Times New Roman" w:hAnsi="Times New Roman" w:cs="Times New Roman"/>
              </w:rPr>
            </w:pPr>
            <w:r>
              <w:rPr>
                <w:rFonts w:ascii="Times New Roman" w:hAnsi="Times New Roman" w:cs="Times New Roman"/>
              </w:rPr>
              <w:t>Revised chapter format to match current requirements.</w:t>
            </w:r>
          </w:p>
        </w:tc>
        <w:tc>
          <w:tcPr>
            <w:tcW w:w="1800" w:type="dxa"/>
          </w:tcPr>
          <w:p w14:paraId="6FA76B4B" w14:textId="43CB9F43" w:rsidR="007F1B9E" w:rsidRDefault="007F1B9E" w:rsidP="00C15584">
            <w:pPr>
              <w:jc w:val="left"/>
              <w:rPr>
                <w:szCs w:val="22"/>
              </w:rPr>
            </w:pPr>
            <w:r>
              <w:rPr>
                <w:szCs w:val="22"/>
              </w:rPr>
              <w:t>January 2018</w:t>
            </w:r>
          </w:p>
        </w:tc>
      </w:tr>
      <w:tr w:rsidR="007F1B9E" w:rsidRPr="00E331D3" w14:paraId="0F98582A" w14:textId="77777777" w:rsidTr="00B53C8F">
        <w:tc>
          <w:tcPr>
            <w:tcW w:w="1795" w:type="dxa"/>
          </w:tcPr>
          <w:p w14:paraId="29FB916B" w14:textId="07B62A70" w:rsidR="007F1B9E" w:rsidRDefault="007F1B9E" w:rsidP="00D115E0">
            <w:pPr>
              <w:tabs>
                <w:tab w:val="left" w:pos="720"/>
              </w:tabs>
              <w:jc w:val="left"/>
              <w:rPr>
                <w:szCs w:val="22"/>
              </w:rPr>
            </w:pPr>
            <w:r>
              <w:rPr>
                <w:szCs w:val="22"/>
              </w:rPr>
              <w:t xml:space="preserve">Brian </w:t>
            </w:r>
            <w:proofErr w:type="spellStart"/>
            <w:r>
              <w:rPr>
                <w:szCs w:val="22"/>
              </w:rPr>
              <w:t>Niesman</w:t>
            </w:r>
            <w:proofErr w:type="spellEnd"/>
          </w:p>
        </w:tc>
        <w:tc>
          <w:tcPr>
            <w:tcW w:w="6120" w:type="dxa"/>
            <w:vAlign w:val="bottom"/>
          </w:tcPr>
          <w:p w14:paraId="3925814E" w14:textId="77777777" w:rsidR="007F1B9E" w:rsidRDefault="007F1B9E" w:rsidP="00A66EB0">
            <w:pPr>
              <w:pStyle w:val="PlainText"/>
              <w:numPr>
                <w:ilvl w:val="0"/>
                <w:numId w:val="37"/>
              </w:numPr>
              <w:ind w:left="256" w:hanging="256"/>
              <w:rPr>
                <w:rFonts w:ascii="Times New Roman" w:hAnsi="Times New Roman" w:cs="Times New Roman"/>
              </w:rPr>
            </w:pPr>
            <w:r>
              <w:rPr>
                <w:rFonts w:ascii="Times New Roman" w:hAnsi="Times New Roman" w:cs="Times New Roman"/>
              </w:rPr>
              <w:t>Added a definition of Requestor.</w:t>
            </w:r>
          </w:p>
          <w:p w14:paraId="33066C7F" w14:textId="6EDE6992" w:rsidR="007F1B9E" w:rsidRDefault="007F1B9E" w:rsidP="00B53C8F">
            <w:pPr>
              <w:pStyle w:val="PlainText"/>
              <w:numPr>
                <w:ilvl w:val="0"/>
                <w:numId w:val="36"/>
              </w:numPr>
              <w:spacing w:after="60"/>
              <w:ind w:left="256" w:hanging="270"/>
              <w:rPr>
                <w:rFonts w:ascii="Times New Roman" w:hAnsi="Times New Roman" w:cs="Times New Roman"/>
              </w:rPr>
            </w:pPr>
            <w:r>
              <w:rPr>
                <w:rFonts w:ascii="Times New Roman" w:hAnsi="Times New Roman" w:cs="Times New Roman"/>
              </w:rPr>
              <w:t>Minor editorial changes</w:t>
            </w:r>
            <w:r w:rsidRPr="00E87F47">
              <w:rPr>
                <w:rFonts w:ascii="Times New Roman" w:hAnsi="Times New Roman" w:cs="Times New Roman"/>
              </w:rPr>
              <w:t>.</w:t>
            </w:r>
          </w:p>
        </w:tc>
        <w:tc>
          <w:tcPr>
            <w:tcW w:w="1800" w:type="dxa"/>
          </w:tcPr>
          <w:p w14:paraId="187D0793" w14:textId="390004DC" w:rsidR="007F1B9E" w:rsidRDefault="007F1B9E" w:rsidP="00C15584">
            <w:pPr>
              <w:jc w:val="left"/>
              <w:rPr>
                <w:szCs w:val="22"/>
              </w:rPr>
            </w:pPr>
            <w:r>
              <w:rPr>
                <w:szCs w:val="22"/>
              </w:rPr>
              <w:t>March 2016</w:t>
            </w:r>
          </w:p>
        </w:tc>
      </w:tr>
      <w:tr w:rsidR="007F1B9E" w:rsidRPr="00E331D3" w14:paraId="1397CA0F" w14:textId="77777777" w:rsidTr="00B53C8F">
        <w:tc>
          <w:tcPr>
            <w:tcW w:w="1795" w:type="dxa"/>
          </w:tcPr>
          <w:p w14:paraId="32AB6A72" w14:textId="1A62CC16" w:rsidR="007F1B9E" w:rsidRPr="00E331D3" w:rsidRDefault="007F1B9E" w:rsidP="00D115E0">
            <w:pPr>
              <w:tabs>
                <w:tab w:val="left" w:pos="720"/>
              </w:tabs>
              <w:jc w:val="left"/>
            </w:pPr>
          </w:p>
        </w:tc>
        <w:tc>
          <w:tcPr>
            <w:tcW w:w="6120" w:type="dxa"/>
            <w:vAlign w:val="bottom"/>
          </w:tcPr>
          <w:p w14:paraId="5168665F" w14:textId="61C69584" w:rsidR="007F1B9E" w:rsidRPr="00B53C8F" w:rsidRDefault="007F1B9E" w:rsidP="00643A5B">
            <w:pPr>
              <w:pStyle w:val="PlainText"/>
              <w:numPr>
                <w:ilvl w:val="0"/>
                <w:numId w:val="37"/>
              </w:numPr>
              <w:spacing w:after="60"/>
              <w:ind w:left="256" w:hanging="256"/>
              <w:rPr>
                <w:rFonts w:ascii="Times New Roman" w:hAnsi="Times New Roman" w:cs="Times New Roman"/>
              </w:rPr>
            </w:pPr>
          </w:p>
        </w:tc>
        <w:tc>
          <w:tcPr>
            <w:tcW w:w="1800" w:type="dxa"/>
          </w:tcPr>
          <w:p w14:paraId="2D2C3270" w14:textId="11FE3F14" w:rsidR="007F1B9E" w:rsidRPr="00E331D3" w:rsidRDefault="007F1B9E" w:rsidP="00C15584">
            <w:pPr>
              <w:jc w:val="left"/>
            </w:pPr>
          </w:p>
        </w:tc>
      </w:tr>
    </w:tbl>
    <w:p w14:paraId="412F4CFC" w14:textId="77777777" w:rsidR="00142C80" w:rsidRDefault="00142C80" w:rsidP="00142C80">
      <w:pPr>
        <w:jc w:val="center"/>
        <w:rPr>
          <w:b/>
          <w:sz w:val="28"/>
          <w:szCs w:val="28"/>
        </w:rPr>
      </w:pPr>
    </w:p>
    <w:p w14:paraId="4EA9277A" w14:textId="77777777" w:rsidR="00142C80" w:rsidRDefault="00142C80" w:rsidP="00142C80">
      <w:pPr>
        <w:jc w:val="center"/>
        <w:rPr>
          <w:b/>
          <w:sz w:val="28"/>
          <w:szCs w:val="28"/>
        </w:rPr>
      </w:pPr>
    </w:p>
    <w:p w14:paraId="4A5C5B8C" w14:textId="77777777" w:rsidR="00142C80" w:rsidRDefault="00142C80" w:rsidP="00142C80">
      <w:pPr>
        <w:jc w:val="center"/>
        <w:rPr>
          <w:b/>
          <w:sz w:val="28"/>
          <w:szCs w:val="28"/>
        </w:rPr>
      </w:pPr>
    </w:p>
    <w:p w14:paraId="5430D6BC" w14:textId="77777777" w:rsidR="00142C80" w:rsidRDefault="00142C80" w:rsidP="00142C80">
      <w:pPr>
        <w:jc w:val="center"/>
        <w:rPr>
          <w:b/>
          <w:sz w:val="28"/>
          <w:szCs w:val="28"/>
        </w:rPr>
      </w:pPr>
    </w:p>
    <w:p w14:paraId="70AAD212" w14:textId="77777777" w:rsidR="008648A9" w:rsidRDefault="008648A9" w:rsidP="00142C80">
      <w:pPr>
        <w:jc w:val="left"/>
        <w:rPr>
          <w:b/>
          <w:sz w:val="28"/>
          <w:szCs w:val="28"/>
        </w:rPr>
      </w:pPr>
    </w:p>
    <w:p w14:paraId="6449EC55" w14:textId="77777777" w:rsidR="008648A9" w:rsidRDefault="008648A9" w:rsidP="00142C80">
      <w:pPr>
        <w:jc w:val="left"/>
        <w:rPr>
          <w:b/>
          <w:sz w:val="28"/>
          <w:szCs w:val="28"/>
        </w:rPr>
      </w:pPr>
    </w:p>
    <w:p w14:paraId="02FC5306" w14:textId="77777777" w:rsidR="00C67525" w:rsidRDefault="00C67525">
      <w:pPr>
        <w:jc w:val="left"/>
        <w:rPr>
          <w:b/>
          <w:sz w:val="28"/>
          <w:szCs w:val="28"/>
        </w:rPr>
      </w:pPr>
      <w:r>
        <w:rPr>
          <w:b/>
          <w:sz w:val="28"/>
          <w:szCs w:val="28"/>
        </w:rPr>
        <w:br w:type="page"/>
      </w:r>
    </w:p>
    <w:p w14:paraId="2509AE00" w14:textId="77777777" w:rsidR="00C67525" w:rsidRDefault="00C67525">
      <w:pPr>
        <w:jc w:val="left"/>
        <w:rPr>
          <w:b/>
          <w:sz w:val="28"/>
          <w:szCs w:val="28"/>
        </w:rPr>
      </w:pPr>
    </w:p>
    <w:p w14:paraId="7F64FEE7" w14:textId="77777777" w:rsidR="00A96FFC" w:rsidRPr="001A2CF3" w:rsidRDefault="00A96FFC" w:rsidP="001A2CF3">
      <w:pPr>
        <w:jc w:val="center"/>
        <w:rPr>
          <w:b/>
          <w:sz w:val="28"/>
          <w:szCs w:val="28"/>
        </w:rPr>
      </w:pPr>
      <w:r w:rsidRPr="001A2CF3">
        <w:rPr>
          <w:b/>
          <w:sz w:val="28"/>
          <w:szCs w:val="28"/>
        </w:rPr>
        <w:t>TABLE OF CONTENTS</w:t>
      </w:r>
    </w:p>
    <w:p w14:paraId="6093F102" w14:textId="77777777" w:rsidR="00A96FFC" w:rsidRDefault="00A96FFC">
      <w:pPr>
        <w:rPr>
          <w:bCs/>
        </w:rPr>
      </w:pPr>
    </w:p>
    <w:p w14:paraId="5261DDC7" w14:textId="7A622B13" w:rsidR="005A051F" w:rsidRDefault="0092672F">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17505005" w:history="1">
        <w:r w:rsidR="005A051F" w:rsidRPr="001376B6">
          <w:rPr>
            <w:rStyle w:val="Hyperlink"/>
            <w:noProof/>
          </w:rPr>
          <w:t>1.0</w:t>
        </w:r>
        <w:r w:rsidR="005A051F">
          <w:rPr>
            <w:rFonts w:asciiTheme="minorHAnsi" w:eastAsiaTheme="minorEastAsia" w:hAnsiTheme="minorHAnsi" w:cstheme="minorBidi"/>
            <w:noProof/>
            <w:sz w:val="22"/>
            <w:szCs w:val="22"/>
          </w:rPr>
          <w:tab/>
        </w:r>
        <w:r w:rsidR="005A051F" w:rsidRPr="001376B6">
          <w:rPr>
            <w:rStyle w:val="Hyperlink"/>
            <w:noProof/>
          </w:rPr>
          <w:t>INTRODUCTION AND SCOPE</w:t>
        </w:r>
        <w:r w:rsidR="005A051F">
          <w:rPr>
            <w:noProof/>
            <w:webHidden/>
          </w:rPr>
          <w:tab/>
        </w:r>
        <w:r w:rsidR="005A051F">
          <w:rPr>
            <w:noProof/>
            <w:webHidden/>
          </w:rPr>
          <w:fldChar w:fldCharType="begin"/>
        </w:r>
        <w:r w:rsidR="005A051F">
          <w:rPr>
            <w:noProof/>
            <w:webHidden/>
          </w:rPr>
          <w:instrText xml:space="preserve"> PAGEREF _Toc117505005 \h </w:instrText>
        </w:r>
        <w:r w:rsidR="005A051F">
          <w:rPr>
            <w:noProof/>
            <w:webHidden/>
          </w:rPr>
        </w:r>
        <w:r w:rsidR="005A051F">
          <w:rPr>
            <w:noProof/>
            <w:webHidden/>
          </w:rPr>
          <w:fldChar w:fldCharType="separate"/>
        </w:r>
        <w:r w:rsidR="005A051F">
          <w:rPr>
            <w:noProof/>
            <w:webHidden/>
          </w:rPr>
          <w:t>3</w:t>
        </w:r>
        <w:r w:rsidR="005A051F">
          <w:rPr>
            <w:noProof/>
            <w:webHidden/>
          </w:rPr>
          <w:fldChar w:fldCharType="end"/>
        </w:r>
      </w:hyperlink>
    </w:p>
    <w:p w14:paraId="0F85F3A3" w14:textId="008238B0" w:rsidR="005A051F" w:rsidRDefault="003D58AE">
      <w:pPr>
        <w:pStyle w:val="TOC1"/>
        <w:rPr>
          <w:rFonts w:asciiTheme="minorHAnsi" w:eastAsiaTheme="minorEastAsia" w:hAnsiTheme="minorHAnsi" w:cstheme="minorBidi"/>
          <w:noProof/>
          <w:sz w:val="22"/>
          <w:szCs w:val="22"/>
        </w:rPr>
      </w:pPr>
      <w:hyperlink w:anchor="_Toc117505006" w:history="1">
        <w:r w:rsidR="005A051F" w:rsidRPr="001376B6">
          <w:rPr>
            <w:rStyle w:val="Hyperlink"/>
            <w:noProof/>
          </w:rPr>
          <w:t xml:space="preserve">2.0 </w:t>
        </w:r>
        <w:r w:rsidR="005A051F">
          <w:rPr>
            <w:rFonts w:asciiTheme="minorHAnsi" w:eastAsiaTheme="minorEastAsia" w:hAnsiTheme="minorHAnsi" w:cstheme="minorBidi"/>
            <w:noProof/>
            <w:sz w:val="22"/>
            <w:szCs w:val="22"/>
          </w:rPr>
          <w:tab/>
        </w:r>
        <w:r w:rsidR="005A051F" w:rsidRPr="001376B6">
          <w:rPr>
            <w:rStyle w:val="Hyperlink"/>
            <w:noProof/>
          </w:rPr>
          <w:t>DEFINITIONS</w:t>
        </w:r>
        <w:r w:rsidR="005A051F">
          <w:rPr>
            <w:noProof/>
            <w:webHidden/>
          </w:rPr>
          <w:tab/>
        </w:r>
        <w:r w:rsidR="005A051F">
          <w:rPr>
            <w:noProof/>
            <w:webHidden/>
          </w:rPr>
          <w:fldChar w:fldCharType="begin"/>
        </w:r>
        <w:r w:rsidR="005A051F">
          <w:rPr>
            <w:noProof/>
            <w:webHidden/>
          </w:rPr>
          <w:instrText xml:space="preserve"> PAGEREF _Toc117505006 \h </w:instrText>
        </w:r>
        <w:r w:rsidR="005A051F">
          <w:rPr>
            <w:noProof/>
            <w:webHidden/>
          </w:rPr>
        </w:r>
        <w:r w:rsidR="005A051F">
          <w:rPr>
            <w:noProof/>
            <w:webHidden/>
          </w:rPr>
          <w:fldChar w:fldCharType="separate"/>
        </w:r>
        <w:r w:rsidR="005A051F">
          <w:rPr>
            <w:noProof/>
            <w:webHidden/>
          </w:rPr>
          <w:t>3</w:t>
        </w:r>
        <w:r w:rsidR="005A051F">
          <w:rPr>
            <w:noProof/>
            <w:webHidden/>
          </w:rPr>
          <w:fldChar w:fldCharType="end"/>
        </w:r>
      </w:hyperlink>
    </w:p>
    <w:p w14:paraId="20E06D9D" w14:textId="618DFED3" w:rsidR="005A051F" w:rsidRDefault="003D58AE">
      <w:pPr>
        <w:pStyle w:val="TOC1"/>
        <w:rPr>
          <w:rFonts w:asciiTheme="minorHAnsi" w:eastAsiaTheme="minorEastAsia" w:hAnsiTheme="minorHAnsi" w:cstheme="minorBidi"/>
          <w:noProof/>
          <w:sz w:val="22"/>
          <w:szCs w:val="22"/>
        </w:rPr>
      </w:pPr>
      <w:hyperlink w:anchor="_Toc117505007" w:history="1">
        <w:r w:rsidR="005A051F" w:rsidRPr="001376B6">
          <w:rPr>
            <w:rStyle w:val="Hyperlink"/>
            <w:noProof/>
          </w:rPr>
          <w:t xml:space="preserve">3.0 </w:t>
        </w:r>
        <w:r w:rsidR="005A051F">
          <w:rPr>
            <w:rFonts w:asciiTheme="minorHAnsi" w:eastAsiaTheme="minorEastAsia" w:hAnsiTheme="minorHAnsi" w:cstheme="minorBidi"/>
            <w:noProof/>
            <w:sz w:val="22"/>
            <w:szCs w:val="22"/>
          </w:rPr>
          <w:tab/>
        </w:r>
        <w:r w:rsidR="005A051F" w:rsidRPr="001376B6">
          <w:rPr>
            <w:rStyle w:val="Hyperlink"/>
            <w:noProof/>
          </w:rPr>
          <w:t>RESPONSIBILITIES</w:t>
        </w:r>
        <w:r w:rsidR="005A051F">
          <w:rPr>
            <w:noProof/>
            <w:webHidden/>
          </w:rPr>
          <w:tab/>
        </w:r>
        <w:r w:rsidR="005A051F">
          <w:rPr>
            <w:noProof/>
            <w:webHidden/>
          </w:rPr>
          <w:fldChar w:fldCharType="begin"/>
        </w:r>
        <w:r w:rsidR="005A051F">
          <w:rPr>
            <w:noProof/>
            <w:webHidden/>
          </w:rPr>
          <w:instrText xml:space="preserve"> PAGEREF _Toc117505007 \h </w:instrText>
        </w:r>
        <w:r w:rsidR="005A051F">
          <w:rPr>
            <w:noProof/>
            <w:webHidden/>
          </w:rPr>
        </w:r>
        <w:r w:rsidR="005A051F">
          <w:rPr>
            <w:noProof/>
            <w:webHidden/>
          </w:rPr>
          <w:fldChar w:fldCharType="separate"/>
        </w:r>
        <w:r w:rsidR="005A051F">
          <w:rPr>
            <w:noProof/>
            <w:webHidden/>
          </w:rPr>
          <w:t>4</w:t>
        </w:r>
        <w:r w:rsidR="005A051F">
          <w:rPr>
            <w:noProof/>
            <w:webHidden/>
          </w:rPr>
          <w:fldChar w:fldCharType="end"/>
        </w:r>
      </w:hyperlink>
    </w:p>
    <w:p w14:paraId="5CD9D8C1" w14:textId="24AA8F51" w:rsidR="005A051F" w:rsidRDefault="003D58AE">
      <w:pPr>
        <w:pStyle w:val="TOC2"/>
        <w:rPr>
          <w:rFonts w:asciiTheme="minorHAnsi" w:eastAsiaTheme="minorEastAsia" w:hAnsiTheme="minorHAnsi" w:cstheme="minorBidi"/>
          <w:noProof/>
          <w:sz w:val="22"/>
          <w:szCs w:val="22"/>
        </w:rPr>
      </w:pPr>
      <w:hyperlink w:anchor="_Toc117505011" w:history="1">
        <w:r w:rsidR="005A051F" w:rsidRPr="001376B6">
          <w:rPr>
            <w:rStyle w:val="Hyperlink"/>
            <w:rFonts w:ascii="Times New Roman Bold" w:hAnsi="Times New Roman Bold"/>
            <w:noProof/>
          </w:rPr>
          <w:t>3.1</w:t>
        </w:r>
        <w:r w:rsidR="005A051F">
          <w:rPr>
            <w:rFonts w:asciiTheme="minorHAnsi" w:eastAsiaTheme="minorEastAsia" w:hAnsiTheme="minorHAnsi" w:cstheme="minorBidi"/>
            <w:noProof/>
            <w:sz w:val="22"/>
            <w:szCs w:val="22"/>
          </w:rPr>
          <w:tab/>
        </w:r>
        <w:r w:rsidR="00E37688">
          <w:rPr>
            <w:rStyle w:val="Hyperlink"/>
            <w:noProof/>
          </w:rPr>
          <w:t xml:space="preserve">Infrastructure </w:t>
        </w:r>
        <w:r w:rsidR="005A051F" w:rsidRPr="001376B6">
          <w:rPr>
            <w:rStyle w:val="Hyperlink"/>
            <w:noProof/>
          </w:rPr>
          <w:t xml:space="preserve">Services </w:t>
        </w:r>
        <w:r w:rsidR="00E37688">
          <w:rPr>
            <w:rStyle w:val="Hyperlink"/>
            <w:noProof/>
          </w:rPr>
          <w:t>Division (ISD),</w:t>
        </w:r>
        <w:r w:rsidR="005A051F" w:rsidRPr="001376B6">
          <w:rPr>
            <w:rStyle w:val="Hyperlink"/>
            <w:noProof/>
          </w:rPr>
          <w:t xml:space="preserve"> Distribution Services</w:t>
        </w:r>
        <w:r w:rsidR="005A051F">
          <w:rPr>
            <w:noProof/>
            <w:webHidden/>
          </w:rPr>
          <w:tab/>
        </w:r>
        <w:r w:rsidR="005A051F">
          <w:rPr>
            <w:noProof/>
            <w:webHidden/>
          </w:rPr>
          <w:fldChar w:fldCharType="begin"/>
        </w:r>
        <w:r w:rsidR="005A051F">
          <w:rPr>
            <w:noProof/>
            <w:webHidden/>
          </w:rPr>
          <w:instrText xml:space="preserve"> PAGEREF _Toc117505011 \h </w:instrText>
        </w:r>
        <w:r w:rsidR="005A051F">
          <w:rPr>
            <w:noProof/>
            <w:webHidden/>
          </w:rPr>
        </w:r>
        <w:r w:rsidR="005A051F">
          <w:rPr>
            <w:noProof/>
            <w:webHidden/>
          </w:rPr>
          <w:fldChar w:fldCharType="separate"/>
        </w:r>
        <w:r w:rsidR="005A051F">
          <w:rPr>
            <w:noProof/>
            <w:webHidden/>
          </w:rPr>
          <w:t>4</w:t>
        </w:r>
        <w:r w:rsidR="005A051F">
          <w:rPr>
            <w:noProof/>
            <w:webHidden/>
          </w:rPr>
          <w:fldChar w:fldCharType="end"/>
        </w:r>
      </w:hyperlink>
    </w:p>
    <w:p w14:paraId="2C5D5136" w14:textId="59DE1A03" w:rsidR="005A051F" w:rsidRDefault="003D58AE">
      <w:pPr>
        <w:pStyle w:val="TOC2"/>
        <w:rPr>
          <w:rFonts w:asciiTheme="minorHAnsi" w:eastAsiaTheme="minorEastAsia" w:hAnsiTheme="minorHAnsi" w:cstheme="minorBidi"/>
          <w:noProof/>
          <w:sz w:val="22"/>
          <w:szCs w:val="22"/>
        </w:rPr>
      </w:pPr>
      <w:hyperlink w:anchor="_Toc117505012" w:history="1">
        <w:r w:rsidR="005A051F" w:rsidRPr="001376B6">
          <w:rPr>
            <w:rStyle w:val="Hyperlink"/>
            <w:rFonts w:ascii="Times New Roman Bold" w:hAnsi="Times New Roman Bold"/>
            <w:noProof/>
          </w:rPr>
          <w:t>3.2</w:t>
        </w:r>
        <w:r w:rsidR="005A051F">
          <w:rPr>
            <w:rFonts w:asciiTheme="minorHAnsi" w:eastAsiaTheme="minorEastAsia" w:hAnsiTheme="minorHAnsi" w:cstheme="minorBidi"/>
            <w:noProof/>
            <w:sz w:val="22"/>
            <w:szCs w:val="22"/>
          </w:rPr>
          <w:tab/>
        </w:r>
        <w:r w:rsidR="005A051F" w:rsidRPr="001376B6">
          <w:rPr>
            <w:rStyle w:val="Hyperlink"/>
            <w:noProof/>
          </w:rPr>
          <w:t>Environment, Safety</w:t>
        </w:r>
        <w:r w:rsidR="00E37688">
          <w:rPr>
            <w:rStyle w:val="Hyperlink"/>
            <w:noProof/>
          </w:rPr>
          <w:t xml:space="preserve"> and</w:t>
        </w:r>
        <w:r w:rsidR="005A051F" w:rsidRPr="001376B6">
          <w:rPr>
            <w:rStyle w:val="Hyperlink"/>
            <w:noProof/>
          </w:rPr>
          <w:t xml:space="preserve"> Health</w:t>
        </w:r>
        <w:r w:rsidR="00E37688">
          <w:rPr>
            <w:rStyle w:val="Hyperlink"/>
            <w:noProof/>
          </w:rPr>
          <w:t xml:space="preserve"> Division </w:t>
        </w:r>
        <w:r w:rsidR="00E37688" w:rsidRPr="00E37688">
          <w:rPr>
            <w:rStyle w:val="Hyperlink"/>
            <w:noProof/>
          </w:rPr>
          <w:t>(ES&amp;H)</w:t>
        </w:r>
        <w:r w:rsidR="005A051F">
          <w:rPr>
            <w:noProof/>
            <w:webHidden/>
          </w:rPr>
          <w:tab/>
        </w:r>
        <w:r w:rsidR="005A051F">
          <w:rPr>
            <w:noProof/>
            <w:webHidden/>
          </w:rPr>
          <w:fldChar w:fldCharType="begin"/>
        </w:r>
        <w:r w:rsidR="005A051F">
          <w:rPr>
            <w:noProof/>
            <w:webHidden/>
          </w:rPr>
          <w:instrText xml:space="preserve"> PAGEREF _Toc117505012 \h </w:instrText>
        </w:r>
        <w:r w:rsidR="005A051F">
          <w:rPr>
            <w:noProof/>
            <w:webHidden/>
          </w:rPr>
        </w:r>
        <w:r w:rsidR="005A051F">
          <w:rPr>
            <w:noProof/>
            <w:webHidden/>
          </w:rPr>
          <w:fldChar w:fldCharType="separate"/>
        </w:r>
        <w:r w:rsidR="005A051F">
          <w:rPr>
            <w:noProof/>
            <w:webHidden/>
          </w:rPr>
          <w:t>4</w:t>
        </w:r>
        <w:r w:rsidR="005A051F">
          <w:rPr>
            <w:noProof/>
            <w:webHidden/>
          </w:rPr>
          <w:fldChar w:fldCharType="end"/>
        </w:r>
      </w:hyperlink>
    </w:p>
    <w:p w14:paraId="13014A14" w14:textId="69FBE02F" w:rsidR="005A051F" w:rsidRDefault="003D58AE">
      <w:pPr>
        <w:pStyle w:val="TOC2"/>
        <w:rPr>
          <w:rFonts w:asciiTheme="minorHAnsi" w:eastAsiaTheme="minorEastAsia" w:hAnsiTheme="minorHAnsi" w:cstheme="minorBidi"/>
          <w:noProof/>
          <w:sz w:val="22"/>
          <w:szCs w:val="22"/>
        </w:rPr>
      </w:pPr>
      <w:hyperlink w:anchor="_Toc117505013" w:history="1">
        <w:r w:rsidR="005A051F" w:rsidRPr="001376B6">
          <w:rPr>
            <w:rStyle w:val="Hyperlink"/>
            <w:rFonts w:ascii="Times New Roman Bold" w:hAnsi="Times New Roman Bold"/>
            <w:noProof/>
          </w:rPr>
          <w:t>3.3</w:t>
        </w:r>
        <w:r w:rsidR="005A051F">
          <w:rPr>
            <w:rFonts w:asciiTheme="minorHAnsi" w:eastAsiaTheme="minorEastAsia" w:hAnsiTheme="minorHAnsi" w:cstheme="minorBidi"/>
            <w:noProof/>
            <w:sz w:val="22"/>
            <w:szCs w:val="22"/>
          </w:rPr>
          <w:tab/>
        </w:r>
        <w:r w:rsidR="005A051F" w:rsidRPr="001376B6">
          <w:rPr>
            <w:rStyle w:val="Hyperlink"/>
            <w:noProof/>
          </w:rPr>
          <w:t>Division</w:t>
        </w:r>
        <w:r w:rsidR="007F1B9E">
          <w:rPr>
            <w:rStyle w:val="Hyperlink"/>
            <w:noProof/>
          </w:rPr>
          <w:t>/</w:t>
        </w:r>
        <w:r w:rsidR="005A051F" w:rsidRPr="001376B6">
          <w:rPr>
            <w:rStyle w:val="Hyperlink"/>
            <w:noProof/>
          </w:rPr>
          <w:t>Project (D/P) Heads</w:t>
        </w:r>
        <w:r w:rsidR="005A051F">
          <w:rPr>
            <w:noProof/>
            <w:webHidden/>
          </w:rPr>
          <w:tab/>
        </w:r>
        <w:r w:rsidR="005A051F">
          <w:rPr>
            <w:noProof/>
            <w:webHidden/>
          </w:rPr>
          <w:fldChar w:fldCharType="begin"/>
        </w:r>
        <w:r w:rsidR="005A051F">
          <w:rPr>
            <w:noProof/>
            <w:webHidden/>
          </w:rPr>
          <w:instrText xml:space="preserve"> PAGEREF _Toc117505013 \h </w:instrText>
        </w:r>
        <w:r w:rsidR="005A051F">
          <w:rPr>
            <w:noProof/>
            <w:webHidden/>
          </w:rPr>
        </w:r>
        <w:r w:rsidR="005A051F">
          <w:rPr>
            <w:noProof/>
            <w:webHidden/>
          </w:rPr>
          <w:fldChar w:fldCharType="separate"/>
        </w:r>
        <w:r w:rsidR="005A051F">
          <w:rPr>
            <w:noProof/>
            <w:webHidden/>
          </w:rPr>
          <w:t>4</w:t>
        </w:r>
        <w:r w:rsidR="005A051F">
          <w:rPr>
            <w:noProof/>
            <w:webHidden/>
          </w:rPr>
          <w:fldChar w:fldCharType="end"/>
        </w:r>
      </w:hyperlink>
    </w:p>
    <w:p w14:paraId="3383A35A" w14:textId="41C7595F" w:rsidR="005A051F" w:rsidRDefault="003D58AE">
      <w:pPr>
        <w:pStyle w:val="TOC1"/>
        <w:rPr>
          <w:rFonts w:asciiTheme="minorHAnsi" w:eastAsiaTheme="minorEastAsia" w:hAnsiTheme="minorHAnsi" w:cstheme="minorBidi"/>
          <w:noProof/>
          <w:sz w:val="22"/>
          <w:szCs w:val="22"/>
        </w:rPr>
      </w:pPr>
      <w:hyperlink w:anchor="_Toc117505014" w:history="1">
        <w:r w:rsidR="005A051F" w:rsidRPr="001376B6">
          <w:rPr>
            <w:rStyle w:val="Hyperlink"/>
            <w:noProof/>
          </w:rPr>
          <w:t>4.0</w:t>
        </w:r>
        <w:r w:rsidR="005A051F">
          <w:rPr>
            <w:rFonts w:asciiTheme="minorHAnsi" w:eastAsiaTheme="minorEastAsia" w:hAnsiTheme="minorHAnsi" w:cstheme="minorBidi"/>
            <w:noProof/>
            <w:sz w:val="22"/>
            <w:szCs w:val="22"/>
          </w:rPr>
          <w:tab/>
        </w:r>
        <w:r w:rsidR="005A051F" w:rsidRPr="001376B6">
          <w:rPr>
            <w:rStyle w:val="Hyperlink"/>
            <w:noProof/>
          </w:rPr>
          <w:t>PROGRAM DESCRIPTION</w:t>
        </w:r>
        <w:r w:rsidR="005A051F">
          <w:rPr>
            <w:noProof/>
            <w:webHidden/>
          </w:rPr>
          <w:tab/>
        </w:r>
        <w:r w:rsidR="005A051F">
          <w:rPr>
            <w:noProof/>
            <w:webHidden/>
          </w:rPr>
          <w:fldChar w:fldCharType="begin"/>
        </w:r>
        <w:r w:rsidR="005A051F">
          <w:rPr>
            <w:noProof/>
            <w:webHidden/>
          </w:rPr>
          <w:instrText xml:space="preserve"> PAGEREF _Toc117505014 \h </w:instrText>
        </w:r>
        <w:r w:rsidR="005A051F">
          <w:rPr>
            <w:noProof/>
            <w:webHidden/>
          </w:rPr>
        </w:r>
        <w:r w:rsidR="005A051F">
          <w:rPr>
            <w:noProof/>
            <w:webHidden/>
          </w:rPr>
          <w:fldChar w:fldCharType="separate"/>
        </w:r>
        <w:r w:rsidR="005A051F">
          <w:rPr>
            <w:noProof/>
            <w:webHidden/>
          </w:rPr>
          <w:t>4</w:t>
        </w:r>
        <w:r w:rsidR="005A051F">
          <w:rPr>
            <w:noProof/>
            <w:webHidden/>
          </w:rPr>
          <w:fldChar w:fldCharType="end"/>
        </w:r>
      </w:hyperlink>
    </w:p>
    <w:p w14:paraId="5C1E957A" w14:textId="082D79F2" w:rsidR="005A051F" w:rsidRDefault="003D58AE">
      <w:pPr>
        <w:pStyle w:val="TOC2"/>
        <w:rPr>
          <w:rFonts w:asciiTheme="minorHAnsi" w:eastAsiaTheme="minorEastAsia" w:hAnsiTheme="minorHAnsi" w:cstheme="minorBidi"/>
          <w:noProof/>
          <w:sz w:val="22"/>
          <w:szCs w:val="22"/>
        </w:rPr>
      </w:pPr>
      <w:hyperlink w:anchor="_Toc117505016" w:history="1">
        <w:r w:rsidR="005A051F" w:rsidRPr="001376B6">
          <w:rPr>
            <w:rStyle w:val="Hyperlink"/>
            <w:rFonts w:ascii="Times New Roman Bold" w:hAnsi="Times New Roman Bold"/>
            <w:noProof/>
          </w:rPr>
          <w:t>4.1</w:t>
        </w:r>
        <w:r w:rsidR="005A051F">
          <w:rPr>
            <w:rFonts w:asciiTheme="minorHAnsi" w:eastAsiaTheme="minorEastAsia" w:hAnsiTheme="minorHAnsi" w:cstheme="minorBidi"/>
            <w:noProof/>
            <w:sz w:val="22"/>
            <w:szCs w:val="22"/>
          </w:rPr>
          <w:tab/>
        </w:r>
        <w:r w:rsidR="005A051F" w:rsidRPr="001376B6">
          <w:rPr>
            <w:rStyle w:val="Hyperlink"/>
            <w:noProof/>
          </w:rPr>
          <w:t>Policy</w:t>
        </w:r>
        <w:r w:rsidR="005A051F">
          <w:rPr>
            <w:noProof/>
            <w:webHidden/>
          </w:rPr>
          <w:tab/>
        </w:r>
        <w:r w:rsidR="005A051F">
          <w:rPr>
            <w:noProof/>
            <w:webHidden/>
          </w:rPr>
          <w:fldChar w:fldCharType="begin"/>
        </w:r>
        <w:r w:rsidR="005A051F">
          <w:rPr>
            <w:noProof/>
            <w:webHidden/>
          </w:rPr>
          <w:instrText xml:space="preserve"> PAGEREF _Toc117505016 \h </w:instrText>
        </w:r>
        <w:r w:rsidR="005A051F">
          <w:rPr>
            <w:noProof/>
            <w:webHidden/>
          </w:rPr>
        </w:r>
        <w:r w:rsidR="005A051F">
          <w:rPr>
            <w:noProof/>
            <w:webHidden/>
          </w:rPr>
          <w:fldChar w:fldCharType="separate"/>
        </w:r>
        <w:r w:rsidR="005A051F">
          <w:rPr>
            <w:noProof/>
            <w:webHidden/>
          </w:rPr>
          <w:t>4</w:t>
        </w:r>
        <w:r w:rsidR="005A051F">
          <w:rPr>
            <w:noProof/>
            <w:webHidden/>
          </w:rPr>
          <w:fldChar w:fldCharType="end"/>
        </w:r>
      </w:hyperlink>
    </w:p>
    <w:p w14:paraId="1C5944BC" w14:textId="6153F2C5" w:rsidR="005A051F" w:rsidRDefault="003D58AE">
      <w:pPr>
        <w:pStyle w:val="TOC2"/>
        <w:rPr>
          <w:rFonts w:asciiTheme="minorHAnsi" w:eastAsiaTheme="minorEastAsia" w:hAnsiTheme="minorHAnsi" w:cstheme="minorBidi"/>
          <w:noProof/>
          <w:sz w:val="22"/>
          <w:szCs w:val="22"/>
        </w:rPr>
      </w:pPr>
      <w:hyperlink w:anchor="_Toc117505017" w:history="1">
        <w:r w:rsidR="005A051F" w:rsidRPr="001376B6">
          <w:rPr>
            <w:rStyle w:val="Hyperlink"/>
            <w:rFonts w:ascii="Times New Roman Bold" w:hAnsi="Times New Roman Bold"/>
            <w:noProof/>
          </w:rPr>
          <w:t>4.2</w:t>
        </w:r>
        <w:r w:rsidR="005A051F">
          <w:rPr>
            <w:rFonts w:asciiTheme="minorHAnsi" w:eastAsiaTheme="minorEastAsia" w:hAnsiTheme="minorHAnsi" w:cstheme="minorBidi"/>
            <w:noProof/>
            <w:sz w:val="22"/>
            <w:szCs w:val="22"/>
          </w:rPr>
          <w:tab/>
        </w:r>
        <w:r w:rsidR="005A051F" w:rsidRPr="001376B6">
          <w:rPr>
            <w:rStyle w:val="Hyperlink"/>
            <w:noProof/>
          </w:rPr>
          <w:t>Training</w:t>
        </w:r>
        <w:r w:rsidR="005A051F">
          <w:rPr>
            <w:noProof/>
            <w:webHidden/>
          </w:rPr>
          <w:tab/>
        </w:r>
        <w:r w:rsidR="005A051F">
          <w:rPr>
            <w:noProof/>
            <w:webHidden/>
          </w:rPr>
          <w:fldChar w:fldCharType="begin"/>
        </w:r>
        <w:r w:rsidR="005A051F">
          <w:rPr>
            <w:noProof/>
            <w:webHidden/>
          </w:rPr>
          <w:instrText xml:space="preserve"> PAGEREF _Toc117505017 \h </w:instrText>
        </w:r>
        <w:r w:rsidR="005A051F">
          <w:rPr>
            <w:noProof/>
            <w:webHidden/>
          </w:rPr>
        </w:r>
        <w:r w:rsidR="005A051F">
          <w:rPr>
            <w:noProof/>
            <w:webHidden/>
          </w:rPr>
          <w:fldChar w:fldCharType="separate"/>
        </w:r>
        <w:r w:rsidR="005A051F">
          <w:rPr>
            <w:noProof/>
            <w:webHidden/>
          </w:rPr>
          <w:t>4</w:t>
        </w:r>
        <w:r w:rsidR="005A051F">
          <w:rPr>
            <w:noProof/>
            <w:webHidden/>
          </w:rPr>
          <w:fldChar w:fldCharType="end"/>
        </w:r>
      </w:hyperlink>
    </w:p>
    <w:p w14:paraId="27AEAADA" w14:textId="18FB3576" w:rsidR="005A051F" w:rsidRDefault="003D58AE">
      <w:pPr>
        <w:pStyle w:val="TOC2"/>
        <w:rPr>
          <w:rFonts w:asciiTheme="minorHAnsi" w:eastAsiaTheme="minorEastAsia" w:hAnsiTheme="minorHAnsi" w:cstheme="minorBidi"/>
          <w:noProof/>
          <w:sz w:val="22"/>
          <w:szCs w:val="22"/>
        </w:rPr>
      </w:pPr>
      <w:hyperlink w:anchor="_Toc117505018" w:history="1">
        <w:r w:rsidR="005A051F" w:rsidRPr="001376B6">
          <w:rPr>
            <w:rStyle w:val="Hyperlink"/>
            <w:rFonts w:ascii="Times New Roman Bold" w:hAnsi="Times New Roman Bold"/>
            <w:noProof/>
          </w:rPr>
          <w:t>4.3</w:t>
        </w:r>
        <w:r w:rsidR="005A051F">
          <w:rPr>
            <w:rFonts w:asciiTheme="minorHAnsi" w:eastAsiaTheme="minorEastAsia" w:hAnsiTheme="minorHAnsi" w:cstheme="minorBidi"/>
            <w:noProof/>
            <w:sz w:val="22"/>
            <w:szCs w:val="22"/>
          </w:rPr>
          <w:tab/>
        </w:r>
        <w:r w:rsidR="005A051F" w:rsidRPr="001376B6">
          <w:rPr>
            <w:rStyle w:val="Hyperlink"/>
            <w:noProof/>
          </w:rPr>
          <w:t>Procedures for Radioactive and Hazardous Material Transportation</w:t>
        </w:r>
        <w:r w:rsidR="005A051F">
          <w:rPr>
            <w:noProof/>
            <w:webHidden/>
          </w:rPr>
          <w:tab/>
        </w:r>
        <w:r w:rsidR="005A051F">
          <w:rPr>
            <w:noProof/>
            <w:webHidden/>
          </w:rPr>
          <w:fldChar w:fldCharType="begin"/>
        </w:r>
        <w:r w:rsidR="005A051F">
          <w:rPr>
            <w:noProof/>
            <w:webHidden/>
          </w:rPr>
          <w:instrText xml:space="preserve"> PAGEREF _Toc117505018 \h </w:instrText>
        </w:r>
        <w:r w:rsidR="005A051F">
          <w:rPr>
            <w:noProof/>
            <w:webHidden/>
          </w:rPr>
        </w:r>
        <w:r w:rsidR="005A051F">
          <w:rPr>
            <w:noProof/>
            <w:webHidden/>
          </w:rPr>
          <w:fldChar w:fldCharType="separate"/>
        </w:r>
        <w:r w:rsidR="005A051F">
          <w:rPr>
            <w:noProof/>
            <w:webHidden/>
          </w:rPr>
          <w:t>4</w:t>
        </w:r>
        <w:r w:rsidR="005A051F">
          <w:rPr>
            <w:noProof/>
            <w:webHidden/>
          </w:rPr>
          <w:fldChar w:fldCharType="end"/>
        </w:r>
      </w:hyperlink>
    </w:p>
    <w:p w14:paraId="72DD3CC4" w14:textId="3595941C" w:rsidR="005A051F" w:rsidRDefault="003D58AE">
      <w:pPr>
        <w:pStyle w:val="TOC3"/>
        <w:tabs>
          <w:tab w:val="left" w:pos="1930"/>
        </w:tabs>
        <w:rPr>
          <w:rFonts w:asciiTheme="minorHAnsi" w:eastAsiaTheme="minorEastAsia" w:hAnsiTheme="minorHAnsi" w:cstheme="minorBidi"/>
          <w:noProof/>
          <w:sz w:val="22"/>
          <w:szCs w:val="22"/>
        </w:rPr>
      </w:pPr>
      <w:hyperlink w:anchor="_Toc117505019" w:history="1">
        <w:r w:rsidR="005A051F" w:rsidRPr="001376B6">
          <w:rPr>
            <w:rStyle w:val="Hyperlink"/>
            <w:rFonts w:ascii="Times New Roman Bold" w:hAnsi="Times New Roman Bold"/>
            <w:noProof/>
          </w:rPr>
          <w:t>4.3.1.</w:t>
        </w:r>
        <w:r w:rsidR="005A051F">
          <w:rPr>
            <w:rFonts w:asciiTheme="minorHAnsi" w:eastAsiaTheme="minorEastAsia" w:hAnsiTheme="minorHAnsi" w:cstheme="minorBidi"/>
            <w:noProof/>
            <w:sz w:val="22"/>
            <w:szCs w:val="22"/>
          </w:rPr>
          <w:tab/>
        </w:r>
        <w:r w:rsidR="005A051F" w:rsidRPr="001376B6">
          <w:rPr>
            <w:rStyle w:val="Hyperlink"/>
            <w:noProof/>
          </w:rPr>
          <w:t>Hazardous Materials</w:t>
        </w:r>
        <w:r w:rsidR="005A051F">
          <w:rPr>
            <w:noProof/>
            <w:webHidden/>
          </w:rPr>
          <w:tab/>
        </w:r>
        <w:r w:rsidR="005A051F">
          <w:rPr>
            <w:noProof/>
            <w:webHidden/>
          </w:rPr>
          <w:fldChar w:fldCharType="begin"/>
        </w:r>
        <w:r w:rsidR="005A051F">
          <w:rPr>
            <w:noProof/>
            <w:webHidden/>
          </w:rPr>
          <w:instrText xml:space="preserve"> PAGEREF _Toc117505019 \h </w:instrText>
        </w:r>
        <w:r w:rsidR="005A051F">
          <w:rPr>
            <w:noProof/>
            <w:webHidden/>
          </w:rPr>
        </w:r>
        <w:r w:rsidR="005A051F">
          <w:rPr>
            <w:noProof/>
            <w:webHidden/>
          </w:rPr>
          <w:fldChar w:fldCharType="separate"/>
        </w:r>
        <w:r w:rsidR="005A051F">
          <w:rPr>
            <w:noProof/>
            <w:webHidden/>
          </w:rPr>
          <w:t>5</w:t>
        </w:r>
        <w:r w:rsidR="005A051F">
          <w:rPr>
            <w:noProof/>
            <w:webHidden/>
          </w:rPr>
          <w:fldChar w:fldCharType="end"/>
        </w:r>
      </w:hyperlink>
    </w:p>
    <w:p w14:paraId="2C7127A9" w14:textId="00ECEB3A" w:rsidR="005A051F" w:rsidRDefault="003D58AE">
      <w:pPr>
        <w:pStyle w:val="TOC3"/>
        <w:tabs>
          <w:tab w:val="left" w:pos="1930"/>
        </w:tabs>
        <w:rPr>
          <w:rFonts w:asciiTheme="minorHAnsi" w:eastAsiaTheme="minorEastAsia" w:hAnsiTheme="minorHAnsi" w:cstheme="minorBidi"/>
          <w:noProof/>
          <w:sz w:val="22"/>
          <w:szCs w:val="22"/>
        </w:rPr>
      </w:pPr>
      <w:hyperlink w:anchor="_Toc117505020" w:history="1">
        <w:r w:rsidR="005A051F" w:rsidRPr="001376B6">
          <w:rPr>
            <w:rStyle w:val="Hyperlink"/>
            <w:rFonts w:ascii="Times New Roman Bold" w:hAnsi="Times New Roman Bold"/>
            <w:noProof/>
          </w:rPr>
          <w:t>4.3.2.</w:t>
        </w:r>
        <w:r w:rsidR="005A051F">
          <w:rPr>
            <w:rFonts w:asciiTheme="minorHAnsi" w:eastAsiaTheme="minorEastAsia" w:hAnsiTheme="minorHAnsi" w:cstheme="minorBidi"/>
            <w:noProof/>
            <w:sz w:val="22"/>
            <w:szCs w:val="22"/>
          </w:rPr>
          <w:tab/>
        </w:r>
        <w:r w:rsidR="005A051F" w:rsidRPr="001376B6">
          <w:rPr>
            <w:rStyle w:val="Hyperlink"/>
            <w:noProof/>
          </w:rPr>
          <w:t>Radioactive Materials</w:t>
        </w:r>
        <w:r w:rsidR="005A051F">
          <w:rPr>
            <w:noProof/>
            <w:webHidden/>
          </w:rPr>
          <w:tab/>
        </w:r>
        <w:r w:rsidR="005A051F">
          <w:rPr>
            <w:noProof/>
            <w:webHidden/>
          </w:rPr>
          <w:fldChar w:fldCharType="begin"/>
        </w:r>
        <w:r w:rsidR="005A051F">
          <w:rPr>
            <w:noProof/>
            <w:webHidden/>
          </w:rPr>
          <w:instrText xml:space="preserve"> PAGEREF _Toc117505020 \h </w:instrText>
        </w:r>
        <w:r w:rsidR="005A051F">
          <w:rPr>
            <w:noProof/>
            <w:webHidden/>
          </w:rPr>
        </w:r>
        <w:r w:rsidR="005A051F">
          <w:rPr>
            <w:noProof/>
            <w:webHidden/>
          </w:rPr>
          <w:fldChar w:fldCharType="separate"/>
        </w:r>
        <w:r w:rsidR="005A051F">
          <w:rPr>
            <w:noProof/>
            <w:webHidden/>
          </w:rPr>
          <w:t>5</w:t>
        </w:r>
        <w:r w:rsidR="005A051F">
          <w:rPr>
            <w:noProof/>
            <w:webHidden/>
          </w:rPr>
          <w:fldChar w:fldCharType="end"/>
        </w:r>
      </w:hyperlink>
    </w:p>
    <w:p w14:paraId="0C0B4CFF" w14:textId="3239448D" w:rsidR="005A051F" w:rsidRDefault="003D58AE">
      <w:pPr>
        <w:pStyle w:val="TOC3"/>
        <w:tabs>
          <w:tab w:val="left" w:pos="1930"/>
        </w:tabs>
        <w:rPr>
          <w:rFonts w:asciiTheme="minorHAnsi" w:eastAsiaTheme="minorEastAsia" w:hAnsiTheme="minorHAnsi" w:cstheme="minorBidi"/>
          <w:noProof/>
          <w:sz w:val="22"/>
          <w:szCs w:val="22"/>
        </w:rPr>
      </w:pPr>
      <w:hyperlink w:anchor="_Toc117505021" w:history="1">
        <w:r w:rsidR="005A051F" w:rsidRPr="001376B6">
          <w:rPr>
            <w:rStyle w:val="Hyperlink"/>
            <w:rFonts w:ascii="Times New Roman Bold" w:hAnsi="Times New Roman Bold"/>
            <w:noProof/>
          </w:rPr>
          <w:t>4.3.3.</w:t>
        </w:r>
        <w:r w:rsidR="005A051F">
          <w:rPr>
            <w:rFonts w:asciiTheme="minorHAnsi" w:eastAsiaTheme="minorEastAsia" w:hAnsiTheme="minorHAnsi" w:cstheme="minorBidi"/>
            <w:noProof/>
            <w:sz w:val="22"/>
            <w:szCs w:val="22"/>
          </w:rPr>
          <w:tab/>
        </w:r>
        <w:r w:rsidR="005A051F" w:rsidRPr="001376B6">
          <w:rPr>
            <w:rStyle w:val="Hyperlink"/>
            <w:noProof/>
          </w:rPr>
          <w:t>Hazardous Waste</w:t>
        </w:r>
        <w:r w:rsidR="005A051F">
          <w:rPr>
            <w:noProof/>
            <w:webHidden/>
          </w:rPr>
          <w:tab/>
        </w:r>
        <w:r w:rsidR="005A051F">
          <w:rPr>
            <w:noProof/>
            <w:webHidden/>
          </w:rPr>
          <w:fldChar w:fldCharType="begin"/>
        </w:r>
        <w:r w:rsidR="005A051F">
          <w:rPr>
            <w:noProof/>
            <w:webHidden/>
          </w:rPr>
          <w:instrText xml:space="preserve"> PAGEREF _Toc117505021 \h </w:instrText>
        </w:r>
        <w:r w:rsidR="005A051F">
          <w:rPr>
            <w:noProof/>
            <w:webHidden/>
          </w:rPr>
        </w:r>
        <w:r w:rsidR="005A051F">
          <w:rPr>
            <w:noProof/>
            <w:webHidden/>
          </w:rPr>
          <w:fldChar w:fldCharType="separate"/>
        </w:r>
        <w:r w:rsidR="005A051F">
          <w:rPr>
            <w:noProof/>
            <w:webHidden/>
          </w:rPr>
          <w:t>5</w:t>
        </w:r>
        <w:r w:rsidR="005A051F">
          <w:rPr>
            <w:noProof/>
            <w:webHidden/>
          </w:rPr>
          <w:fldChar w:fldCharType="end"/>
        </w:r>
      </w:hyperlink>
    </w:p>
    <w:p w14:paraId="28959ADF" w14:textId="7D85EF97" w:rsidR="005A051F" w:rsidRDefault="003D58AE">
      <w:pPr>
        <w:pStyle w:val="TOC3"/>
        <w:tabs>
          <w:tab w:val="left" w:pos="1930"/>
        </w:tabs>
        <w:rPr>
          <w:rFonts w:asciiTheme="minorHAnsi" w:eastAsiaTheme="minorEastAsia" w:hAnsiTheme="minorHAnsi" w:cstheme="minorBidi"/>
          <w:noProof/>
          <w:sz w:val="22"/>
          <w:szCs w:val="22"/>
        </w:rPr>
      </w:pPr>
      <w:hyperlink w:anchor="_Toc117505022" w:history="1">
        <w:r w:rsidR="005A051F" w:rsidRPr="001376B6">
          <w:rPr>
            <w:rStyle w:val="Hyperlink"/>
            <w:rFonts w:ascii="Times New Roman Bold" w:hAnsi="Times New Roman Bold"/>
            <w:noProof/>
          </w:rPr>
          <w:t>4.3.4.</w:t>
        </w:r>
        <w:r w:rsidR="005A051F">
          <w:rPr>
            <w:rFonts w:asciiTheme="minorHAnsi" w:eastAsiaTheme="minorEastAsia" w:hAnsiTheme="minorHAnsi" w:cstheme="minorBidi"/>
            <w:noProof/>
            <w:sz w:val="22"/>
            <w:szCs w:val="22"/>
          </w:rPr>
          <w:tab/>
        </w:r>
        <w:r w:rsidR="005A051F" w:rsidRPr="001376B6">
          <w:rPr>
            <w:rStyle w:val="Hyperlink"/>
            <w:noProof/>
          </w:rPr>
          <w:t>Radioactive Waste</w:t>
        </w:r>
        <w:r w:rsidR="005A051F">
          <w:rPr>
            <w:noProof/>
            <w:webHidden/>
          </w:rPr>
          <w:tab/>
        </w:r>
        <w:r w:rsidR="005A051F">
          <w:rPr>
            <w:noProof/>
            <w:webHidden/>
          </w:rPr>
          <w:fldChar w:fldCharType="begin"/>
        </w:r>
        <w:r w:rsidR="005A051F">
          <w:rPr>
            <w:noProof/>
            <w:webHidden/>
          </w:rPr>
          <w:instrText xml:space="preserve"> PAGEREF _Toc117505022 \h </w:instrText>
        </w:r>
        <w:r w:rsidR="005A051F">
          <w:rPr>
            <w:noProof/>
            <w:webHidden/>
          </w:rPr>
        </w:r>
        <w:r w:rsidR="005A051F">
          <w:rPr>
            <w:noProof/>
            <w:webHidden/>
          </w:rPr>
          <w:fldChar w:fldCharType="separate"/>
        </w:r>
        <w:r w:rsidR="005A051F">
          <w:rPr>
            <w:noProof/>
            <w:webHidden/>
          </w:rPr>
          <w:t>5</w:t>
        </w:r>
        <w:r w:rsidR="005A051F">
          <w:rPr>
            <w:noProof/>
            <w:webHidden/>
          </w:rPr>
          <w:fldChar w:fldCharType="end"/>
        </w:r>
      </w:hyperlink>
    </w:p>
    <w:p w14:paraId="0E631463" w14:textId="2A875386" w:rsidR="005A051F" w:rsidRDefault="003D58AE">
      <w:pPr>
        <w:pStyle w:val="TOC3"/>
        <w:tabs>
          <w:tab w:val="left" w:pos="1930"/>
        </w:tabs>
        <w:rPr>
          <w:rFonts w:asciiTheme="minorHAnsi" w:eastAsiaTheme="minorEastAsia" w:hAnsiTheme="minorHAnsi" w:cstheme="minorBidi"/>
          <w:noProof/>
          <w:sz w:val="22"/>
          <w:szCs w:val="22"/>
        </w:rPr>
      </w:pPr>
      <w:hyperlink w:anchor="_Toc117505023" w:history="1">
        <w:r w:rsidR="005A051F" w:rsidRPr="001376B6">
          <w:rPr>
            <w:rStyle w:val="Hyperlink"/>
            <w:rFonts w:ascii="Times New Roman Bold" w:hAnsi="Times New Roman Bold"/>
            <w:noProof/>
          </w:rPr>
          <w:t>4.3.5.</w:t>
        </w:r>
        <w:r w:rsidR="005A051F">
          <w:rPr>
            <w:rFonts w:asciiTheme="minorHAnsi" w:eastAsiaTheme="minorEastAsia" w:hAnsiTheme="minorHAnsi" w:cstheme="minorBidi"/>
            <w:noProof/>
            <w:sz w:val="22"/>
            <w:szCs w:val="22"/>
          </w:rPr>
          <w:tab/>
        </w:r>
        <w:r w:rsidR="005A051F" w:rsidRPr="001376B6">
          <w:rPr>
            <w:rStyle w:val="Hyperlink"/>
            <w:noProof/>
          </w:rPr>
          <w:t>Mixed Waste</w:t>
        </w:r>
        <w:r w:rsidR="005A051F">
          <w:rPr>
            <w:noProof/>
            <w:webHidden/>
          </w:rPr>
          <w:tab/>
        </w:r>
        <w:r w:rsidR="005A051F">
          <w:rPr>
            <w:noProof/>
            <w:webHidden/>
          </w:rPr>
          <w:fldChar w:fldCharType="begin"/>
        </w:r>
        <w:r w:rsidR="005A051F">
          <w:rPr>
            <w:noProof/>
            <w:webHidden/>
          </w:rPr>
          <w:instrText xml:space="preserve"> PAGEREF _Toc117505023 \h </w:instrText>
        </w:r>
        <w:r w:rsidR="005A051F">
          <w:rPr>
            <w:noProof/>
            <w:webHidden/>
          </w:rPr>
        </w:r>
        <w:r w:rsidR="005A051F">
          <w:rPr>
            <w:noProof/>
            <w:webHidden/>
          </w:rPr>
          <w:fldChar w:fldCharType="separate"/>
        </w:r>
        <w:r w:rsidR="005A051F">
          <w:rPr>
            <w:noProof/>
            <w:webHidden/>
          </w:rPr>
          <w:t>5</w:t>
        </w:r>
        <w:r w:rsidR="005A051F">
          <w:rPr>
            <w:noProof/>
            <w:webHidden/>
          </w:rPr>
          <w:fldChar w:fldCharType="end"/>
        </w:r>
      </w:hyperlink>
    </w:p>
    <w:p w14:paraId="0A11D65C" w14:textId="1ED30CCC" w:rsidR="005A051F" w:rsidRDefault="003D58AE">
      <w:pPr>
        <w:pStyle w:val="TOC2"/>
        <w:rPr>
          <w:rFonts w:asciiTheme="minorHAnsi" w:eastAsiaTheme="minorEastAsia" w:hAnsiTheme="minorHAnsi" w:cstheme="minorBidi"/>
          <w:noProof/>
          <w:sz w:val="22"/>
          <w:szCs w:val="22"/>
        </w:rPr>
      </w:pPr>
      <w:hyperlink w:anchor="_Toc117505024" w:history="1">
        <w:r w:rsidR="005A051F" w:rsidRPr="001376B6">
          <w:rPr>
            <w:rStyle w:val="Hyperlink"/>
            <w:rFonts w:ascii="Times New Roman Bold" w:hAnsi="Times New Roman Bold"/>
            <w:noProof/>
          </w:rPr>
          <w:t>4.4</w:t>
        </w:r>
        <w:r w:rsidR="005A051F">
          <w:rPr>
            <w:rFonts w:asciiTheme="minorHAnsi" w:eastAsiaTheme="minorEastAsia" w:hAnsiTheme="minorHAnsi" w:cstheme="minorBidi"/>
            <w:noProof/>
            <w:sz w:val="22"/>
            <w:szCs w:val="22"/>
          </w:rPr>
          <w:tab/>
        </w:r>
        <w:r w:rsidR="005A051F" w:rsidRPr="001376B6">
          <w:rPr>
            <w:rStyle w:val="Hyperlink"/>
            <w:noProof/>
          </w:rPr>
          <w:t>Reporting Hazardous Material Transportation Incidents</w:t>
        </w:r>
        <w:r w:rsidR="005A051F">
          <w:rPr>
            <w:noProof/>
            <w:webHidden/>
          </w:rPr>
          <w:tab/>
        </w:r>
        <w:r w:rsidR="005A051F">
          <w:rPr>
            <w:noProof/>
            <w:webHidden/>
          </w:rPr>
          <w:fldChar w:fldCharType="begin"/>
        </w:r>
        <w:r w:rsidR="005A051F">
          <w:rPr>
            <w:noProof/>
            <w:webHidden/>
          </w:rPr>
          <w:instrText xml:space="preserve"> PAGEREF _Toc117505024 \h </w:instrText>
        </w:r>
        <w:r w:rsidR="005A051F">
          <w:rPr>
            <w:noProof/>
            <w:webHidden/>
          </w:rPr>
        </w:r>
        <w:r w:rsidR="005A051F">
          <w:rPr>
            <w:noProof/>
            <w:webHidden/>
          </w:rPr>
          <w:fldChar w:fldCharType="separate"/>
        </w:r>
        <w:r w:rsidR="005A051F">
          <w:rPr>
            <w:noProof/>
            <w:webHidden/>
          </w:rPr>
          <w:t>5</w:t>
        </w:r>
        <w:r w:rsidR="005A051F">
          <w:rPr>
            <w:noProof/>
            <w:webHidden/>
          </w:rPr>
          <w:fldChar w:fldCharType="end"/>
        </w:r>
      </w:hyperlink>
    </w:p>
    <w:p w14:paraId="69594A55" w14:textId="3A25FAD9" w:rsidR="005A051F" w:rsidRDefault="003D58AE">
      <w:pPr>
        <w:pStyle w:val="TOC2"/>
        <w:rPr>
          <w:rFonts w:asciiTheme="minorHAnsi" w:eastAsiaTheme="minorEastAsia" w:hAnsiTheme="minorHAnsi" w:cstheme="minorBidi"/>
          <w:noProof/>
          <w:sz w:val="22"/>
          <w:szCs w:val="22"/>
        </w:rPr>
      </w:pPr>
      <w:hyperlink w:anchor="_Toc117505025" w:history="1">
        <w:r w:rsidR="005A051F" w:rsidRPr="001376B6">
          <w:rPr>
            <w:rStyle w:val="Hyperlink"/>
            <w:rFonts w:ascii="Times New Roman Bold" w:hAnsi="Times New Roman Bold"/>
            <w:noProof/>
          </w:rPr>
          <w:t>4.5</w:t>
        </w:r>
        <w:r w:rsidR="005A051F">
          <w:rPr>
            <w:rFonts w:asciiTheme="minorHAnsi" w:eastAsiaTheme="minorEastAsia" w:hAnsiTheme="minorHAnsi" w:cstheme="minorBidi"/>
            <w:noProof/>
            <w:sz w:val="22"/>
            <w:szCs w:val="22"/>
          </w:rPr>
          <w:tab/>
        </w:r>
        <w:r w:rsidR="005A051F" w:rsidRPr="001376B6">
          <w:rPr>
            <w:rStyle w:val="Hyperlink"/>
            <w:noProof/>
          </w:rPr>
          <w:t>Packaging</w:t>
        </w:r>
        <w:r w:rsidR="005A051F">
          <w:rPr>
            <w:noProof/>
            <w:webHidden/>
          </w:rPr>
          <w:tab/>
        </w:r>
        <w:r w:rsidR="005A051F">
          <w:rPr>
            <w:noProof/>
            <w:webHidden/>
          </w:rPr>
          <w:fldChar w:fldCharType="begin"/>
        </w:r>
        <w:r w:rsidR="005A051F">
          <w:rPr>
            <w:noProof/>
            <w:webHidden/>
          </w:rPr>
          <w:instrText xml:space="preserve"> PAGEREF _Toc117505025 \h </w:instrText>
        </w:r>
        <w:r w:rsidR="005A051F">
          <w:rPr>
            <w:noProof/>
            <w:webHidden/>
          </w:rPr>
        </w:r>
        <w:r w:rsidR="005A051F">
          <w:rPr>
            <w:noProof/>
            <w:webHidden/>
          </w:rPr>
          <w:fldChar w:fldCharType="separate"/>
        </w:r>
        <w:r w:rsidR="005A051F">
          <w:rPr>
            <w:noProof/>
            <w:webHidden/>
          </w:rPr>
          <w:t>5</w:t>
        </w:r>
        <w:r w:rsidR="005A051F">
          <w:rPr>
            <w:noProof/>
            <w:webHidden/>
          </w:rPr>
          <w:fldChar w:fldCharType="end"/>
        </w:r>
      </w:hyperlink>
    </w:p>
    <w:p w14:paraId="21858096" w14:textId="2CBC9C61" w:rsidR="005A051F" w:rsidRDefault="003D58AE">
      <w:pPr>
        <w:pStyle w:val="TOC3"/>
        <w:tabs>
          <w:tab w:val="left" w:pos="1930"/>
        </w:tabs>
        <w:rPr>
          <w:rFonts w:asciiTheme="minorHAnsi" w:eastAsiaTheme="minorEastAsia" w:hAnsiTheme="minorHAnsi" w:cstheme="minorBidi"/>
          <w:noProof/>
          <w:sz w:val="22"/>
          <w:szCs w:val="22"/>
        </w:rPr>
      </w:pPr>
      <w:hyperlink w:anchor="_Toc117505026" w:history="1">
        <w:r w:rsidR="005A051F" w:rsidRPr="001376B6">
          <w:rPr>
            <w:rStyle w:val="Hyperlink"/>
            <w:rFonts w:ascii="Times New Roman Bold" w:hAnsi="Times New Roman Bold"/>
            <w:noProof/>
          </w:rPr>
          <w:t>4.5.1.</w:t>
        </w:r>
        <w:r w:rsidR="005A051F">
          <w:rPr>
            <w:rFonts w:asciiTheme="minorHAnsi" w:eastAsiaTheme="minorEastAsia" w:hAnsiTheme="minorHAnsi" w:cstheme="minorBidi"/>
            <w:noProof/>
            <w:sz w:val="22"/>
            <w:szCs w:val="22"/>
          </w:rPr>
          <w:tab/>
        </w:r>
        <w:r w:rsidR="005A051F" w:rsidRPr="001376B6">
          <w:rPr>
            <w:rStyle w:val="Hyperlink"/>
            <w:noProof/>
          </w:rPr>
          <w:t>Onsite Transportation</w:t>
        </w:r>
        <w:r w:rsidR="005A051F">
          <w:rPr>
            <w:noProof/>
            <w:webHidden/>
          </w:rPr>
          <w:tab/>
        </w:r>
        <w:r w:rsidR="005A051F">
          <w:rPr>
            <w:noProof/>
            <w:webHidden/>
          </w:rPr>
          <w:fldChar w:fldCharType="begin"/>
        </w:r>
        <w:r w:rsidR="005A051F">
          <w:rPr>
            <w:noProof/>
            <w:webHidden/>
          </w:rPr>
          <w:instrText xml:space="preserve"> PAGEREF _Toc117505026 \h </w:instrText>
        </w:r>
        <w:r w:rsidR="005A051F">
          <w:rPr>
            <w:noProof/>
            <w:webHidden/>
          </w:rPr>
        </w:r>
        <w:r w:rsidR="005A051F">
          <w:rPr>
            <w:noProof/>
            <w:webHidden/>
          </w:rPr>
          <w:fldChar w:fldCharType="separate"/>
        </w:r>
        <w:r w:rsidR="005A051F">
          <w:rPr>
            <w:noProof/>
            <w:webHidden/>
          </w:rPr>
          <w:t>5</w:t>
        </w:r>
        <w:r w:rsidR="005A051F">
          <w:rPr>
            <w:noProof/>
            <w:webHidden/>
          </w:rPr>
          <w:fldChar w:fldCharType="end"/>
        </w:r>
      </w:hyperlink>
    </w:p>
    <w:p w14:paraId="19A2CEF0" w14:textId="50FFE962" w:rsidR="005A051F" w:rsidRDefault="003D58AE">
      <w:pPr>
        <w:pStyle w:val="TOC3"/>
        <w:tabs>
          <w:tab w:val="left" w:pos="1930"/>
        </w:tabs>
        <w:rPr>
          <w:rFonts w:asciiTheme="minorHAnsi" w:eastAsiaTheme="minorEastAsia" w:hAnsiTheme="minorHAnsi" w:cstheme="minorBidi"/>
          <w:noProof/>
          <w:sz w:val="22"/>
          <w:szCs w:val="22"/>
        </w:rPr>
      </w:pPr>
      <w:hyperlink w:anchor="_Toc117505027" w:history="1">
        <w:r w:rsidR="005A051F" w:rsidRPr="001376B6">
          <w:rPr>
            <w:rStyle w:val="Hyperlink"/>
            <w:rFonts w:ascii="Times New Roman Bold" w:hAnsi="Times New Roman Bold"/>
            <w:noProof/>
          </w:rPr>
          <w:t>4.5.2.</w:t>
        </w:r>
        <w:r w:rsidR="005A051F">
          <w:rPr>
            <w:rFonts w:asciiTheme="minorHAnsi" w:eastAsiaTheme="minorEastAsia" w:hAnsiTheme="minorHAnsi" w:cstheme="minorBidi"/>
            <w:noProof/>
            <w:sz w:val="22"/>
            <w:szCs w:val="22"/>
          </w:rPr>
          <w:tab/>
        </w:r>
        <w:r w:rsidR="005A051F" w:rsidRPr="001376B6">
          <w:rPr>
            <w:rStyle w:val="Hyperlink"/>
            <w:noProof/>
          </w:rPr>
          <w:t>Single Packaging</w:t>
        </w:r>
        <w:r w:rsidR="005A051F">
          <w:rPr>
            <w:noProof/>
            <w:webHidden/>
          </w:rPr>
          <w:tab/>
        </w:r>
        <w:r w:rsidR="005A051F">
          <w:rPr>
            <w:noProof/>
            <w:webHidden/>
          </w:rPr>
          <w:fldChar w:fldCharType="begin"/>
        </w:r>
        <w:r w:rsidR="005A051F">
          <w:rPr>
            <w:noProof/>
            <w:webHidden/>
          </w:rPr>
          <w:instrText xml:space="preserve"> PAGEREF _Toc117505027 \h </w:instrText>
        </w:r>
        <w:r w:rsidR="005A051F">
          <w:rPr>
            <w:noProof/>
            <w:webHidden/>
          </w:rPr>
        </w:r>
        <w:r w:rsidR="005A051F">
          <w:rPr>
            <w:noProof/>
            <w:webHidden/>
          </w:rPr>
          <w:fldChar w:fldCharType="separate"/>
        </w:r>
        <w:r w:rsidR="005A051F">
          <w:rPr>
            <w:noProof/>
            <w:webHidden/>
          </w:rPr>
          <w:t>5</w:t>
        </w:r>
        <w:r w:rsidR="005A051F">
          <w:rPr>
            <w:noProof/>
            <w:webHidden/>
          </w:rPr>
          <w:fldChar w:fldCharType="end"/>
        </w:r>
      </w:hyperlink>
    </w:p>
    <w:p w14:paraId="15E99BDD" w14:textId="27978055" w:rsidR="005A051F" w:rsidRDefault="003D58AE">
      <w:pPr>
        <w:pStyle w:val="TOC3"/>
        <w:tabs>
          <w:tab w:val="left" w:pos="1930"/>
        </w:tabs>
        <w:rPr>
          <w:rFonts w:asciiTheme="minorHAnsi" w:eastAsiaTheme="minorEastAsia" w:hAnsiTheme="minorHAnsi" w:cstheme="minorBidi"/>
          <w:noProof/>
          <w:sz w:val="22"/>
          <w:szCs w:val="22"/>
        </w:rPr>
      </w:pPr>
      <w:hyperlink w:anchor="_Toc117505028" w:history="1">
        <w:r w:rsidR="005A051F" w:rsidRPr="001376B6">
          <w:rPr>
            <w:rStyle w:val="Hyperlink"/>
            <w:rFonts w:ascii="Times New Roman Bold" w:hAnsi="Times New Roman Bold"/>
            <w:noProof/>
          </w:rPr>
          <w:t>4.5.3.</w:t>
        </w:r>
        <w:r w:rsidR="005A051F">
          <w:rPr>
            <w:rFonts w:asciiTheme="minorHAnsi" w:eastAsiaTheme="minorEastAsia" w:hAnsiTheme="minorHAnsi" w:cstheme="minorBidi"/>
            <w:noProof/>
            <w:sz w:val="22"/>
            <w:szCs w:val="22"/>
          </w:rPr>
          <w:tab/>
        </w:r>
        <w:r w:rsidR="005A051F" w:rsidRPr="001376B6">
          <w:rPr>
            <w:rStyle w:val="Hyperlink"/>
            <w:noProof/>
          </w:rPr>
          <w:t>Combination Packaging</w:t>
        </w:r>
        <w:r w:rsidR="005A051F">
          <w:rPr>
            <w:noProof/>
            <w:webHidden/>
          </w:rPr>
          <w:tab/>
        </w:r>
        <w:r w:rsidR="005A051F">
          <w:rPr>
            <w:noProof/>
            <w:webHidden/>
          </w:rPr>
          <w:fldChar w:fldCharType="begin"/>
        </w:r>
        <w:r w:rsidR="005A051F">
          <w:rPr>
            <w:noProof/>
            <w:webHidden/>
          </w:rPr>
          <w:instrText xml:space="preserve"> PAGEREF _Toc117505028 \h </w:instrText>
        </w:r>
        <w:r w:rsidR="005A051F">
          <w:rPr>
            <w:noProof/>
            <w:webHidden/>
          </w:rPr>
        </w:r>
        <w:r w:rsidR="005A051F">
          <w:rPr>
            <w:noProof/>
            <w:webHidden/>
          </w:rPr>
          <w:fldChar w:fldCharType="separate"/>
        </w:r>
        <w:r w:rsidR="005A051F">
          <w:rPr>
            <w:noProof/>
            <w:webHidden/>
          </w:rPr>
          <w:t>6</w:t>
        </w:r>
        <w:r w:rsidR="005A051F">
          <w:rPr>
            <w:noProof/>
            <w:webHidden/>
          </w:rPr>
          <w:fldChar w:fldCharType="end"/>
        </w:r>
      </w:hyperlink>
    </w:p>
    <w:p w14:paraId="3E0D3C7C" w14:textId="11900ADE" w:rsidR="005A051F" w:rsidRDefault="003D58AE">
      <w:pPr>
        <w:pStyle w:val="TOC2"/>
        <w:rPr>
          <w:rFonts w:asciiTheme="minorHAnsi" w:eastAsiaTheme="minorEastAsia" w:hAnsiTheme="minorHAnsi" w:cstheme="minorBidi"/>
          <w:noProof/>
          <w:sz w:val="22"/>
          <w:szCs w:val="22"/>
        </w:rPr>
      </w:pPr>
      <w:hyperlink w:anchor="_Toc117505029" w:history="1">
        <w:r w:rsidR="005A051F" w:rsidRPr="001376B6">
          <w:rPr>
            <w:rStyle w:val="Hyperlink"/>
            <w:rFonts w:ascii="Times New Roman Bold" w:hAnsi="Times New Roman Bold"/>
            <w:noProof/>
          </w:rPr>
          <w:t>4.6</w:t>
        </w:r>
        <w:r w:rsidR="005A051F">
          <w:rPr>
            <w:rFonts w:asciiTheme="minorHAnsi" w:eastAsiaTheme="minorEastAsia" w:hAnsiTheme="minorHAnsi" w:cstheme="minorBidi"/>
            <w:noProof/>
            <w:sz w:val="22"/>
            <w:szCs w:val="22"/>
          </w:rPr>
          <w:tab/>
        </w:r>
        <w:r w:rsidR="005A051F" w:rsidRPr="001376B6">
          <w:rPr>
            <w:rStyle w:val="Hyperlink"/>
            <w:noProof/>
          </w:rPr>
          <w:t>Separation &amp; Segregation of Hazardous Materials</w:t>
        </w:r>
        <w:r w:rsidR="005A051F">
          <w:rPr>
            <w:noProof/>
            <w:webHidden/>
          </w:rPr>
          <w:tab/>
        </w:r>
        <w:r w:rsidR="005A051F">
          <w:rPr>
            <w:noProof/>
            <w:webHidden/>
          </w:rPr>
          <w:fldChar w:fldCharType="begin"/>
        </w:r>
        <w:r w:rsidR="005A051F">
          <w:rPr>
            <w:noProof/>
            <w:webHidden/>
          </w:rPr>
          <w:instrText xml:space="preserve"> PAGEREF _Toc117505029 \h </w:instrText>
        </w:r>
        <w:r w:rsidR="005A051F">
          <w:rPr>
            <w:noProof/>
            <w:webHidden/>
          </w:rPr>
        </w:r>
        <w:r w:rsidR="005A051F">
          <w:rPr>
            <w:noProof/>
            <w:webHidden/>
          </w:rPr>
          <w:fldChar w:fldCharType="separate"/>
        </w:r>
        <w:r w:rsidR="005A051F">
          <w:rPr>
            <w:noProof/>
            <w:webHidden/>
          </w:rPr>
          <w:t>6</w:t>
        </w:r>
        <w:r w:rsidR="005A051F">
          <w:rPr>
            <w:noProof/>
            <w:webHidden/>
          </w:rPr>
          <w:fldChar w:fldCharType="end"/>
        </w:r>
      </w:hyperlink>
    </w:p>
    <w:p w14:paraId="1CD63AAA" w14:textId="39152C71" w:rsidR="005A051F" w:rsidRDefault="003D58AE">
      <w:pPr>
        <w:pStyle w:val="TOC2"/>
        <w:rPr>
          <w:rFonts w:asciiTheme="minorHAnsi" w:eastAsiaTheme="minorEastAsia" w:hAnsiTheme="minorHAnsi" w:cstheme="minorBidi"/>
          <w:noProof/>
          <w:sz w:val="22"/>
          <w:szCs w:val="22"/>
        </w:rPr>
      </w:pPr>
      <w:hyperlink w:anchor="_Toc117505030" w:history="1">
        <w:r w:rsidR="005A051F" w:rsidRPr="001376B6">
          <w:rPr>
            <w:rStyle w:val="Hyperlink"/>
            <w:rFonts w:ascii="Times New Roman Bold" w:hAnsi="Times New Roman Bold"/>
            <w:noProof/>
          </w:rPr>
          <w:t>4.7</w:t>
        </w:r>
        <w:r w:rsidR="005A051F">
          <w:rPr>
            <w:rFonts w:asciiTheme="minorHAnsi" w:eastAsiaTheme="minorEastAsia" w:hAnsiTheme="minorHAnsi" w:cstheme="minorBidi"/>
            <w:noProof/>
            <w:sz w:val="22"/>
            <w:szCs w:val="22"/>
          </w:rPr>
          <w:tab/>
        </w:r>
        <w:r w:rsidR="005A051F" w:rsidRPr="001376B6">
          <w:rPr>
            <w:rStyle w:val="Hyperlink"/>
            <w:noProof/>
          </w:rPr>
          <w:t>Driver Requirements</w:t>
        </w:r>
        <w:r w:rsidR="005A051F">
          <w:rPr>
            <w:noProof/>
            <w:webHidden/>
          </w:rPr>
          <w:tab/>
        </w:r>
        <w:r w:rsidR="005A051F">
          <w:rPr>
            <w:noProof/>
            <w:webHidden/>
          </w:rPr>
          <w:fldChar w:fldCharType="begin"/>
        </w:r>
        <w:r w:rsidR="005A051F">
          <w:rPr>
            <w:noProof/>
            <w:webHidden/>
          </w:rPr>
          <w:instrText xml:space="preserve"> PAGEREF _Toc117505030 \h </w:instrText>
        </w:r>
        <w:r w:rsidR="005A051F">
          <w:rPr>
            <w:noProof/>
            <w:webHidden/>
          </w:rPr>
        </w:r>
        <w:r w:rsidR="005A051F">
          <w:rPr>
            <w:noProof/>
            <w:webHidden/>
          </w:rPr>
          <w:fldChar w:fldCharType="separate"/>
        </w:r>
        <w:r w:rsidR="005A051F">
          <w:rPr>
            <w:noProof/>
            <w:webHidden/>
          </w:rPr>
          <w:t>6</w:t>
        </w:r>
        <w:r w:rsidR="005A051F">
          <w:rPr>
            <w:noProof/>
            <w:webHidden/>
          </w:rPr>
          <w:fldChar w:fldCharType="end"/>
        </w:r>
      </w:hyperlink>
    </w:p>
    <w:p w14:paraId="61954886" w14:textId="265711A1" w:rsidR="005A051F" w:rsidRDefault="003D58AE">
      <w:pPr>
        <w:pStyle w:val="TOC3"/>
        <w:tabs>
          <w:tab w:val="left" w:pos="1930"/>
        </w:tabs>
        <w:rPr>
          <w:rFonts w:asciiTheme="minorHAnsi" w:eastAsiaTheme="minorEastAsia" w:hAnsiTheme="minorHAnsi" w:cstheme="minorBidi"/>
          <w:noProof/>
          <w:sz w:val="22"/>
          <w:szCs w:val="22"/>
        </w:rPr>
      </w:pPr>
      <w:hyperlink w:anchor="_Toc117505031" w:history="1">
        <w:r w:rsidR="005A051F" w:rsidRPr="001376B6">
          <w:rPr>
            <w:rStyle w:val="Hyperlink"/>
            <w:rFonts w:ascii="Times New Roman Bold" w:hAnsi="Times New Roman Bold"/>
            <w:noProof/>
          </w:rPr>
          <w:t>4.7.1.</w:t>
        </w:r>
        <w:r w:rsidR="005A051F">
          <w:rPr>
            <w:rFonts w:asciiTheme="minorHAnsi" w:eastAsiaTheme="minorEastAsia" w:hAnsiTheme="minorHAnsi" w:cstheme="minorBidi"/>
            <w:noProof/>
            <w:sz w:val="22"/>
            <w:szCs w:val="22"/>
          </w:rPr>
          <w:tab/>
        </w:r>
        <w:r w:rsidR="005A051F" w:rsidRPr="001376B6">
          <w:rPr>
            <w:rStyle w:val="Hyperlink"/>
            <w:noProof/>
          </w:rPr>
          <w:t>Commercial Driver's License (CDL)</w:t>
        </w:r>
        <w:r w:rsidR="005A051F">
          <w:rPr>
            <w:noProof/>
            <w:webHidden/>
          </w:rPr>
          <w:tab/>
        </w:r>
        <w:r w:rsidR="005A051F">
          <w:rPr>
            <w:noProof/>
            <w:webHidden/>
          </w:rPr>
          <w:fldChar w:fldCharType="begin"/>
        </w:r>
        <w:r w:rsidR="005A051F">
          <w:rPr>
            <w:noProof/>
            <w:webHidden/>
          </w:rPr>
          <w:instrText xml:space="preserve"> PAGEREF _Toc117505031 \h </w:instrText>
        </w:r>
        <w:r w:rsidR="005A051F">
          <w:rPr>
            <w:noProof/>
            <w:webHidden/>
          </w:rPr>
        </w:r>
        <w:r w:rsidR="005A051F">
          <w:rPr>
            <w:noProof/>
            <w:webHidden/>
          </w:rPr>
          <w:fldChar w:fldCharType="separate"/>
        </w:r>
        <w:r w:rsidR="005A051F">
          <w:rPr>
            <w:noProof/>
            <w:webHidden/>
          </w:rPr>
          <w:t>6</w:t>
        </w:r>
        <w:r w:rsidR="005A051F">
          <w:rPr>
            <w:noProof/>
            <w:webHidden/>
          </w:rPr>
          <w:fldChar w:fldCharType="end"/>
        </w:r>
      </w:hyperlink>
    </w:p>
    <w:p w14:paraId="370C226F" w14:textId="21305F1C" w:rsidR="005A051F" w:rsidRDefault="003D58AE">
      <w:pPr>
        <w:pStyle w:val="TOC3"/>
        <w:tabs>
          <w:tab w:val="left" w:pos="1930"/>
        </w:tabs>
        <w:rPr>
          <w:rFonts w:asciiTheme="minorHAnsi" w:eastAsiaTheme="minorEastAsia" w:hAnsiTheme="minorHAnsi" w:cstheme="minorBidi"/>
          <w:noProof/>
          <w:sz w:val="22"/>
          <w:szCs w:val="22"/>
        </w:rPr>
      </w:pPr>
      <w:hyperlink w:anchor="_Toc117505032" w:history="1">
        <w:r w:rsidR="005A051F" w:rsidRPr="001376B6">
          <w:rPr>
            <w:rStyle w:val="Hyperlink"/>
            <w:rFonts w:ascii="Times New Roman Bold" w:hAnsi="Times New Roman Bold"/>
            <w:noProof/>
          </w:rPr>
          <w:t>4.7.2.</w:t>
        </w:r>
        <w:r w:rsidR="005A051F">
          <w:rPr>
            <w:rFonts w:asciiTheme="minorHAnsi" w:eastAsiaTheme="minorEastAsia" w:hAnsiTheme="minorHAnsi" w:cstheme="minorBidi"/>
            <w:noProof/>
            <w:sz w:val="22"/>
            <w:szCs w:val="22"/>
          </w:rPr>
          <w:tab/>
        </w:r>
        <w:r w:rsidR="005A051F" w:rsidRPr="001376B6">
          <w:rPr>
            <w:rStyle w:val="Hyperlink"/>
            <w:noProof/>
          </w:rPr>
          <w:t>Prolonged Periods of Driving</w:t>
        </w:r>
        <w:r w:rsidR="005A051F">
          <w:rPr>
            <w:noProof/>
            <w:webHidden/>
          </w:rPr>
          <w:tab/>
        </w:r>
        <w:r w:rsidR="005A051F">
          <w:rPr>
            <w:noProof/>
            <w:webHidden/>
          </w:rPr>
          <w:fldChar w:fldCharType="begin"/>
        </w:r>
        <w:r w:rsidR="005A051F">
          <w:rPr>
            <w:noProof/>
            <w:webHidden/>
          </w:rPr>
          <w:instrText xml:space="preserve"> PAGEREF _Toc117505032 \h </w:instrText>
        </w:r>
        <w:r w:rsidR="005A051F">
          <w:rPr>
            <w:noProof/>
            <w:webHidden/>
          </w:rPr>
        </w:r>
        <w:r w:rsidR="005A051F">
          <w:rPr>
            <w:noProof/>
            <w:webHidden/>
          </w:rPr>
          <w:fldChar w:fldCharType="separate"/>
        </w:r>
        <w:r w:rsidR="005A051F">
          <w:rPr>
            <w:noProof/>
            <w:webHidden/>
          </w:rPr>
          <w:t>6</w:t>
        </w:r>
        <w:r w:rsidR="005A051F">
          <w:rPr>
            <w:noProof/>
            <w:webHidden/>
          </w:rPr>
          <w:fldChar w:fldCharType="end"/>
        </w:r>
      </w:hyperlink>
    </w:p>
    <w:p w14:paraId="6791C96C" w14:textId="4FE14C62" w:rsidR="005A051F" w:rsidRDefault="003D58AE">
      <w:pPr>
        <w:pStyle w:val="TOC3"/>
        <w:tabs>
          <w:tab w:val="left" w:pos="1930"/>
        </w:tabs>
        <w:rPr>
          <w:rFonts w:asciiTheme="minorHAnsi" w:eastAsiaTheme="minorEastAsia" w:hAnsiTheme="minorHAnsi" w:cstheme="minorBidi"/>
          <w:noProof/>
          <w:sz w:val="22"/>
          <w:szCs w:val="22"/>
        </w:rPr>
      </w:pPr>
      <w:hyperlink w:anchor="_Toc117505033" w:history="1">
        <w:r w:rsidR="005A051F" w:rsidRPr="001376B6">
          <w:rPr>
            <w:rStyle w:val="Hyperlink"/>
            <w:rFonts w:ascii="Times New Roman Bold" w:hAnsi="Times New Roman Bold"/>
            <w:noProof/>
          </w:rPr>
          <w:t>4.7.3.</w:t>
        </w:r>
        <w:r w:rsidR="005A051F">
          <w:rPr>
            <w:rFonts w:asciiTheme="minorHAnsi" w:eastAsiaTheme="minorEastAsia" w:hAnsiTheme="minorHAnsi" w:cstheme="minorBidi"/>
            <w:noProof/>
            <w:sz w:val="22"/>
            <w:szCs w:val="22"/>
          </w:rPr>
          <w:tab/>
        </w:r>
        <w:r w:rsidR="005A051F" w:rsidRPr="001376B6">
          <w:rPr>
            <w:rStyle w:val="Hyperlink"/>
            <w:noProof/>
          </w:rPr>
          <w:t>Drug &amp; Alcohol Testing</w:t>
        </w:r>
        <w:r w:rsidR="005A051F">
          <w:rPr>
            <w:noProof/>
            <w:webHidden/>
          </w:rPr>
          <w:tab/>
        </w:r>
        <w:r w:rsidR="005A051F">
          <w:rPr>
            <w:noProof/>
            <w:webHidden/>
          </w:rPr>
          <w:fldChar w:fldCharType="begin"/>
        </w:r>
        <w:r w:rsidR="005A051F">
          <w:rPr>
            <w:noProof/>
            <w:webHidden/>
          </w:rPr>
          <w:instrText xml:space="preserve"> PAGEREF _Toc117505033 \h </w:instrText>
        </w:r>
        <w:r w:rsidR="005A051F">
          <w:rPr>
            <w:noProof/>
            <w:webHidden/>
          </w:rPr>
        </w:r>
        <w:r w:rsidR="005A051F">
          <w:rPr>
            <w:noProof/>
            <w:webHidden/>
          </w:rPr>
          <w:fldChar w:fldCharType="separate"/>
        </w:r>
        <w:r w:rsidR="005A051F">
          <w:rPr>
            <w:noProof/>
            <w:webHidden/>
          </w:rPr>
          <w:t>6</w:t>
        </w:r>
        <w:r w:rsidR="005A051F">
          <w:rPr>
            <w:noProof/>
            <w:webHidden/>
          </w:rPr>
          <w:fldChar w:fldCharType="end"/>
        </w:r>
      </w:hyperlink>
    </w:p>
    <w:p w14:paraId="5EE930EA" w14:textId="5911A139" w:rsidR="005A051F" w:rsidRDefault="003D58AE">
      <w:pPr>
        <w:pStyle w:val="TOC3"/>
        <w:tabs>
          <w:tab w:val="left" w:pos="1930"/>
        </w:tabs>
        <w:rPr>
          <w:rFonts w:asciiTheme="minorHAnsi" w:eastAsiaTheme="minorEastAsia" w:hAnsiTheme="minorHAnsi" w:cstheme="minorBidi"/>
          <w:noProof/>
          <w:sz w:val="22"/>
          <w:szCs w:val="22"/>
        </w:rPr>
      </w:pPr>
      <w:hyperlink w:anchor="_Toc117505034" w:history="1">
        <w:r w:rsidR="005A051F" w:rsidRPr="001376B6">
          <w:rPr>
            <w:rStyle w:val="Hyperlink"/>
            <w:rFonts w:ascii="Times New Roman Bold" w:hAnsi="Times New Roman Bold"/>
            <w:noProof/>
          </w:rPr>
          <w:t>4.7.4.</w:t>
        </w:r>
        <w:r w:rsidR="005A051F">
          <w:rPr>
            <w:rFonts w:asciiTheme="minorHAnsi" w:eastAsiaTheme="minorEastAsia" w:hAnsiTheme="minorHAnsi" w:cstheme="minorBidi"/>
            <w:noProof/>
            <w:sz w:val="22"/>
            <w:szCs w:val="22"/>
          </w:rPr>
          <w:tab/>
        </w:r>
        <w:r w:rsidR="005A051F" w:rsidRPr="001376B6">
          <w:rPr>
            <w:rStyle w:val="Hyperlink"/>
            <w:noProof/>
          </w:rPr>
          <w:t>Training Requirements</w:t>
        </w:r>
        <w:r w:rsidR="005A051F">
          <w:rPr>
            <w:noProof/>
            <w:webHidden/>
          </w:rPr>
          <w:tab/>
        </w:r>
        <w:r w:rsidR="005A051F">
          <w:rPr>
            <w:noProof/>
            <w:webHidden/>
          </w:rPr>
          <w:fldChar w:fldCharType="begin"/>
        </w:r>
        <w:r w:rsidR="005A051F">
          <w:rPr>
            <w:noProof/>
            <w:webHidden/>
          </w:rPr>
          <w:instrText xml:space="preserve"> PAGEREF _Toc117505034 \h </w:instrText>
        </w:r>
        <w:r w:rsidR="005A051F">
          <w:rPr>
            <w:noProof/>
            <w:webHidden/>
          </w:rPr>
        </w:r>
        <w:r w:rsidR="005A051F">
          <w:rPr>
            <w:noProof/>
            <w:webHidden/>
          </w:rPr>
          <w:fldChar w:fldCharType="separate"/>
        </w:r>
        <w:r w:rsidR="005A051F">
          <w:rPr>
            <w:noProof/>
            <w:webHidden/>
          </w:rPr>
          <w:t>6</w:t>
        </w:r>
        <w:r w:rsidR="005A051F">
          <w:rPr>
            <w:noProof/>
            <w:webHidden/>
          </w:rPr>
          <w:fldChar w:fldCharType="end"/>
        </w:r>
      </w:hyperlink>
    </w:p>
    <w:p w14:paraId="33066470" w14:textId="7F98BDC4" w:rsidR="005A051F" w:rsidRDefault="003D58AE">
      <w:pPr>
        <w:pStyle w:val="TOC1"/>
        <w:rPr>
          <w:rFonts w:asciiTheme="minorHAnsi" w:eastAsiaTheme="minorEastAsia" w:hAnsiTheme="minorHAnsi" w:cstheme="minorBidi"/>
          <w:noProof/>
          <w:sz w:val="22"/>
          <w:szCs w:val="22"/>
        </w:rPr>
      </w:pPr>
      <w:hyperlink w:anchor="_Toc117505035" w:history="1">
        <w:r w:rsidR="005A051F" w:rsidRPr="001376B6">
          <w:rPr>
            <w:rStyle w:val="Hyperlink"/>
            <w:noProof/>
          </w:rPr>
          <w:t>5.0</w:t>
        </w:r>
        <w:r w:rsidR="005A051F">
          <w:rPr>
            <w:rFonts w:asciiTheme="minorHAnsi" w:eastAsiaTheme="minorEastAsia" w:hAnsiTheme="minorHAnsi" w:cstheme="minorBidi"/>
            <w:noProof/>
            <w:sz w:val="22"/>
            <w:szCs w:val="22"/>
          </w:rPr>
          <w:tab/>
        </w:r>
        <w:r w:rsidR="005A051F" w:rsidRPr="001376B6">
          <w:rPr>
            <w:rStyle w:val="Hyperlink"/>
            <w:noProof/>
          </w:rPr>
          <w:t>Material Move Request</w:t>
        </w:r>
        <w:r w:rsidR="005A051F">
          <w:rPr>
            <w:noProof/>
            <w:webHidden/>
          </w:rPr>
          <w:tab/>
        </w:r>
        <w:r w:rsidR="005A051F">
          <w:rPr>
            <w:noProof/>
            <w:webHidden/>
          </w:rPr>
          <w:fldChar w:fldCharType="begin"/>
        </w:r>
        <w:r w:rsidR="005A051F">
          <w:rPr>
            <w:noProof/>
            <w:webHidden/>
          </w:rPr>
          <w:instrText xml:space="preserve"> PAGEREF _Toc117505035 \h </w:instrText>
        </w:r>
        <w:r w:rsidR="005A051F">
          <w:rPr>
            <w:noProof/>
            <w:webHidden/>
          </w:rPr>
        </w:r>
        <w:r w:rsidR="005A051F">
          <w:rPr>
            <w:noProof/>
            <w:webHidden/>
          </w:rPr>
          <w:fldChar w:fldCharType="separate"/>
        </w:r>
        <w:r w:rsidR="005A051F">
          <w:rPr>
            <w:noProof/>
            <w:webHidden/>
          </w:rPr>
          <w:t>7</w:t>
        </w:r>
        <w:r w:rsidR="005A051F">
          <w:rPr>
            <w:noProof/>
            <w:webHidden/>
          </w:rPr>
          <w:fldChar w:fldCharType="end"/>
        </w:r>
      </w:hyperlink>
    </w:p>
    <w:p w14:paraId="2D5A569E" w14:textId="1747F7F4" w:rsidR="00A96FFC" w:rsidRDefault="0092672F" w:rsidP="003559A3">
      <w:pPr>
        <w:tabs>
          <w:tab w:val="right" w:leader="dot" w:pos="9720"/>
        </w:tabs>
        <w:jc w:val="left"/>
        <w:rPr>
          <w:bCs/>
        </w:rPr>
      </w:pPr>
      <w:r>
        <w:rPr>
          <w:bCs/>
        </w:rPr>
        <w:fldChar w:fldCharType="end"/>
      </w:r>
    </w:p>
    <w:p w14:paraId="7DB9BC8B" w14:textId="77777777" w:rsidR="00084E8E" w:rsidRPr="00FA370A" w:rsidRDefault="00084E8E" w:rsidP="002441F5">
      <w:pPr>
        <w:jc w:val="left"/>
        <w:rPr>
          <w:bCs/>
        </w:rPr>
      </w:pPr>
    </w:p>
    <w:p w14:paraId="598315D5" w14:textId="1EA7976B" w:rsidR="00CE5B8A" w:rsidRPr="00774629" w:rsidRDefault="00C67525" w:rsidP="007C26B3">
      <w:pPr>
        <w:pStyle w:val="Heading1"/>
      </w:pPr>
      <w:r>
        <w:br w:type="page"/>
      </w:r>
      <w:bookmarkStart w:id="0" w:name="_Toc117505005"/>
      <w:r w:rsidR="008A311F">
        <w:lastRenderedPageBreak/>
        <w:t>1.0</w:t>
      </w:r>
      <w:r w:rsidR="008A311F">
        <w:tab/>
      </w:r>
      <w:r w:rsidR="007D5A75">
        <w:t>INTRODUCTION</w:t>
      </w:r>
      <w:r w:rsidR="007D1D5E">
        <w:t xml:space="preserve"> AND SCOPE</w:t>
      </w:r>
      <w:bookmarkEnd w:id="0"/>
    </w:p>
    <w:p w14:paraId="14E9779B" w14:textId="77777777" w:rsidR="00D435EC" w:rsidRPr="00F7209F" w:rsidRDefault="00D435EC">
      <w:pPr>
        <w:rPr>
          <w:sz w:val="18"/>
        </w:rPr>
      </w:pPr>
    </w:p>
    <w:p w14:paraId="3580E4E3" w14:textId="63EFA5B2" w:rsidR="00C23E17" w:rsidRPr="00A66EB0" w:rsidRDefault="00E87F47" w:rsidP="00C23E17">
      <w:r w:rsidRPr="001050AB">
        <w:t>Fermilab is a res</w:t>
      </w:r>
      <w:r w:rsidR="00DB097C">
        <w:t>tricted-access site so</w:t>
      </w:r>
      <w:r w:rsidRPr="001050AB">
        <w:t xml:space="preserve"> transportation of hazardous materials on Fermilab</w:t>
      </w:r>
      <w:r w:rsidR="00DB097C">
        <w:t xml:space="preserve"> roads is exempt from State/</w:t>
      </w:r>
      <w:r w:rsidRPr="001050AB">
        <w:t>Federal Department of Transportation (DOT) regulations.</w:t>
      </w:r>
      <w:r w:rsidR="007C26B3">
        <w:t xml:space="preserve"> </w:t>
      </w:r>
      <w:r w:rsidRPr="001050AB">
        <w:t>T</w:t>
      </w:r>
      <w:r w:rsidR="00DB097C">
        <w:t>his chapter describes</w:t>
      </w:r>
      <w:r w:rsidRPr="001050AB">
        <w:t xml:space="preserve"> Fermilab's hazardous material packaging and transportation policies and procedures for </w:t>
      </w:r>
      <w:r w:rsidRPr="001050AB">
        <w:rPr>
          <w:u w:val="single"/>
        </w:rPr>
        <w:t>onsite</w:t>
      </w:r>
      <w:r w:rsidR="00A66EB0">
        <w:t xml:space="preserve"> transfe</w:t>
      </w:r>
      <w:r w:rsidR="00A66EB0" w:rsidRPr="00A66EB0">
        <w:t>rs</w:t>
      </w:r>
      <w:r w:rsidR="00C23E17" w:rsidRPr="00A66EB0">
        <w:rPr>
          <w:szCs w:val="22"/>
        </w:rPr>
        <w:t xml:space="preserve"> </w:t>
      </w:r>
      <w:r w:rsidR="00DB097C">
        <w:rPr>
          <w:szCs w:val="22"/>
        </w:rPr>
        <w:t xml:space="preserve">only </w:t>
      </w:r>
      <w:r w:rsidR="00C23E17" w:rsidRPr="00A66EB0">
        <w:rPr>
          <w:szCs w:val="22"/>
        </w:rPr>
        <w:t xml:space="preserve">at </w:t>
      </w:r>
      <w:r w:rsidR="00A66EB0" w:rsidRPr="00A66EB0">
        <w:rPr>
          <w:szCs w:val="22"/>
        </w:rPr>
        <w:t xml:space="preserve">Fermilab </w:t>
      </w:r>
      <w:r w:rsidR="00DB097C">
        <w:rPr>
          <w:szCs w:val="22"/>
        </w:rPr>
        <w:t>in Batavia, IL</w:t>
      </w:r>
      <w:r w:rsidR="00F942C2" w:rsidRPr="00A66EB0">
        <w:rPr>
          <w:szCs w:val="22"/>
        </w:rPr>
        <w:t>.</w:t>
      </w:r>
      <w:r w:rsidR="00DB097C">
        <w:rPr>
          <w:szCs w:val="22"/>
        </w:rPr>
        <w:t xml:space="preserve"> </w:t>
      </w:r>
      <w:r w:rsidR="00C23E17" w:rsidRPr="00A66EB0">
        <w:rPr>
          <w:szCs w:val="22"/>
        </w:rPr>
        <w:t xml:space="preserve">It includes all hazardous material transfers conducted via: </w:t>
      </w:r>
    </w:p>
    <w:p w14:paraId="2CD995FC" w14:textId="044C2E40" w:rsidR="00C23E17" w:rsidRPr="00C81794" w:rsidRDefault="00BC51AA" w:rsidP="007C26B3">
      <w:pPr>
        <w:pStyle w:val="Default"/>
        <w:numPr>
          <w:ilvl w:val="0"/>
          <w:numId w:val="35"/>
        </w:numPr>
        <w:rPr>
          <w:szCs w:val="22"/>
        </w:rPr>
      </w:pPr>
      <w:r>
        <w:rPr>
          <w:szCs w:val="22"/>
        </w:rPr>
        <w:t>M</w:t>
      </w:r>
      <w:r w:rsidR="00C23E17" w:rsidRPr="00C81794">
        <w:rPr>
          <w:szCs w:val="22"/>
        </w:rPr>
        <w:t>otorized vehicle</w:t>
      </w:r>
      <w:r>
        <w:rPr>
          <w:szCs w:val="22"/>
        </w:rPr>
        <w:t>s</w:t>
      </w:r>
      <w:r w:rsidR="00C23E17" w:rsidRPr="00C81794">
        <w:rPr>
          <w:szCs w:val="22"/>
        </w:rPr>
        <w:t xml:space="preserve">, </w:t>
      </w:r>
    </w:p>
    <w:p w14:paraId="325B9CE5" w14:textId="10A41B2B" w:rsidR="00C23E17" w:rsidRPr="00C81794" w:rsidRDefault="00BC51AA" w:rsidP="007C26B3">
      <w:pPr>
        <w:pStyle w:val="Default"/>
        <w:numPr>
          <w:ilvl w:val="0"/>
          <w:numId w:val="35"/>
        </w:numPr>
        <w:rPr>
          <w:szCs w:val="22"/>
        </w:rPr>
      </w:pPr>
      <w:r>
        <w:rPr>
          <w:szCs w:val="22"/>
        </w:rPr>
        <w:t>T</w:t>
      </w:r>
      <w:r w:rsidR="00C23E17" w:rsidRPr="00C81794">
        <w:rPr>
          <w:szCs w:val="22"/>
        </w:rPr>
        <w:t xml:space="preserve">railers towed by motorized vehicles, </w:t>
      </w:r>
    </w:p>
    <w:p w14:paraId="7F9EC771" w14:textId="3AC2D537" w:rsidR="00C23E17" w:rsidRPr="00C81794" w:rsidRDefault="00BC51AA" w:rsidP="007C26B3">
      <w:pPr>
        <w:pStyle w:val="Default"/>
        <w:numPr>
          <w:ilvl w:val="0"/>
          <w:numId w:val="35"/>
        </w:numPr>
        <w:rPr>
          <w:szCs w:val="22"/>
        </w:rPr>
      </w:pPr>
      <w:r>
        <w:rPr>
          <w:szCs w:val="22"/>
        </w:rPr>
        <w:t>P</w:t>
      </w:r>
      <w:r w:rsidR="00C23E17" w:rsidRPr="00C81794">
        <w:rPr>
          <w:szCs w:val="22"/>
        </w:rPr>
        <w:t>ortable tanks t</w:t>
      </w:r>
      <w:r>
        <w:rPr>
          <w:szCs w:val="22"/>
        </w:rPr>
        <w:t>owed by motorized vehicles, or</w:t>
      </w:r>
    </w:p>
    <w:p w14:paraId="09563A7B" w14:textId="44F54819" w:rsidR="00C23E17" w:rsidRDefault="00BC51AA" w:rsidP="007C26B3">
      <w:pPr>
        <w:pStyle w:val="ListParagraph"/>
        <w:numPr>
          <w:ilvl w:val="0"/>
          <w:numId w:val="35"/>
        </w:numPr>
        <w:rPr>
          <w:color w:val="000000"/>
          <w:szCs w:val="22"/>
        </w:rPr>
      </w:pPr>
      <w:r>
        <w:rPr>
          <w:color w:val="000000"/>
          <w:szCs w:val="22"/>
        </w:rPr>
        <w:t>C</w:t>
      </w:r>
      <w:r w:rsidR="00C23E17" w:rsidRPr="007C26B3">
        <w:rPr>
          <w:color w:val="000000"/>
          <w:szCs w:val="22"/>
        </w:rPr>
        <w:t>argo tanks towed by motorized vehicles.</w:t>
      </w:r>
    </w:p>
    <w:p w14:paraId="2E057492" w14:textId="4926720B" w:rsidR="00F7209F" w:rsidRDefault="00F7209F" w:rsidP="00C23E17">
      <w:pPr>
        <w:pStyle w:val="Default"/>
        <w:rPr>
          <w:szCs w:val="22"/>
        </w:rPr>
      </w:pPr>
    </w:p>
    <w:p w14:paraId="59E24452" w14:textId="4D7C5B44" w:rsidR="00C23E17" w:rsidRPr="00C81794" w:rsidRDefault="00BC51AA" w:rsidP="00C23E17">
      <w:pPr>
        <w:pStyle w:val="Default"/>
        <w:rPr>
          <w:szCs w:val="22"/>
        </w:rPr>
      </w:pPr>
      <w:r w:rsidRPr="00DB097C">
        <w:rPr>
          <w:szCs w:val="22"/>
          <w:u w:val="single"/>
        </w:rPr>
        <w:t>It does not apply</w:t>
      </w:r>
      <w:r>
        <w:rPr>
          <w:szCs w:val="22"/>
        </w:rPr>
        <w:t xml:space="preserve"> to the following items or situations</w:t>
      </w:r>
      <w:r w:rsidR="00C23E17" w:rsidRPr="00C81794">
        <w:rPr>
          <w:szCs w:val="22"/>
        </w:rPr>
        <w:t xml:space="preserve">: </w:t>
      </w:r>
    </w:p>
    <w:p w14:paraId="5863EB42" w14:textId="62ACBE0C" w:rsidR="00C23E17" w:rsidRPr="00A66EB0" w:rsidRDefault="00C23E17" w:rsidP="004F5769">
      <w:pPr>
        <w:pStyle w:val="Default"/>
        <w:numPr>
          <w:ilvl w:val="0"/>
          <w:numId w:val="38"/>
        </w:numPr>
        <w:rPr>
          <w:color w:val="auto"/>
          <w:szCs w:val="22"/>
        </w:rPr>
      </w:pPr>
      <w:r w:rsidRPr="00A66EB0">
        <w:rPr>
          <w:color w:val="auto"/>
          <w:szCs w:val="22"/>
        </w:rPr>
        <w:t xml:space="preserve">Items </w:t>
      </w:r>
      <w:r w:rsidR="00DE3125">
        <w:rPr>
          <w:color w:val="auto"/>
          <w:szCs w:val="22"/>
        </w:rPr>
        <w:t>eligible</w:t>
      </w:r>
      <w:r w:rsidR="007E0E8C">
        <w:rPr>
          <w:color w:val="auto"/>
          <w:szCs w:val="22"/>
        </w:rPr>
        <w:t xml:space="preserve"> for the Consumer Commodity E</w:t>
      </w:r>
      <w:r w:rsidRPr="00A66EB0">
        <w:rPr>
          <w:color w:val="auto"/>
          <w:szCs w:val="22"/>
        </w:rPr>
        <w:t>xception to t</w:t>
      </w:r>
      <w:r w:rsidR="006D7074">
        <w:rPr>
          <w:color w:val="auto"/>
          <w:szCs w:val="22"/>
        </w:rPr>
        <w:t>he Hazard Materials Regulations,</w:t>
      </w:r>
    </w:p>
    <w:p w14:paraId="1AD58AD2" w14:textId="3318317D" w:rsidR="00C23E17" w:rsidRPr="006D7074" w:rsidRDefault="00C23E17" w:rsidP="006D7074">
      <w:pPr>
        <w:pStyle w:val="Default"/>
        <w:numPr>
          <w:ilvl w:val="0"/>
          <w:numId w:val="38"/>
        </w:numPr>
        <w:rPr>
          <w:szCs w:val="22"/>
        </w:rPr>
      </w:pPr>
      <w:r w:rsidRPr="00A66EB0">
        <w:rPr>
          <w:color w:val="auto"/>
          <w:szCs w:val="22"/>
        </w:rPr>
        <w:t>Movements of h</w:t>
      </w:r>
      <w:r w:rsidRPr="00C81794">
        <w:rPr>
          <w:szCs w:val="22"/>
        </w:rPr>
        <w:t xml:space="preserve">azardous materials within a division that do not require </w:t>
      </w:r>
      <w:r w:rsidR="00012C29">
        <w:rPr>
          <w:szCs w:val="22"/>
        </w:rPr>
        <w:t>Distribution</w:t>
      </w:r>
      <w:r w:rsidRPr="00C81794">
        <w:rPr>
          <w:szCs w:val="22"/>
        </w:rPr>
        <w:t xml:space="preserve"> </w:t>
      </w:r>
      <w:r w:rsidR="006D7074">
        <w:rPr>
          <w:szCs w:val="22"/>
        </w:rPr>
        <w:t>Services assistance,</w:t>
      </w:r>
    </w:p>
    <w:p w14:paraId="0D3B4A8C" w14:textId="18340DF9" w:rsidR="00C23E17" w:rsidRPr="00C81794" w:rsidRDefault="00C23E17" w:rsidP="004F5769">
      <w:pPr>
        <w:pStyle w:val="Default"/>
        <w:numPr>
          <w:ilvl w:val="0"/>
          <w:numId w:val="38"/>
        </w:numPr>
        <w:rPr>
          <w:szCs w:val="22"/>
        </w:rPr>
      </w:pPr>
      <w:r w:rsidRPr="00C81794">
        <w:rPr>
          <w:szCs w:val="22"/>
        </w:rPr>
        <w:t>Compressed Gas cylinders m</w:t>
      </w:r>
      <w:r w:rsidR="006D7074">
        <w:rPr>
          <w:szCs w:val="22"/>
        </w:rPr>
        <w:t>oved by</w:t>
      </w:r>
      <w:r w:rsidR="00DB097C">
        <w:rPr>
          <w:szCs w:val="22"/>
        </w:rPr>
        <w:t xml:space="preserve"> </w:t>
      </w:r>
      <w:r w:rsidR="00012C29">
        <w:rPr>
          <w:szCs w:val="22"/>
        </w:rPr>
        <w:t>Distribution</w:t>
      </w:r>
      <w:r w:rsidR="00DB097C">
        <w:rPr>
          <w:szCs w:val="22"/>
        </w:rPr>
        <w:t xml:space="preserve"> Services,</w:t>
      </w:r>
    </w:p>
    <w:p w14:paraId="36A78F70" w14:textId="344EA606" w:rsidR="00C23E17" w:rsidRPr="00DB097C" w:rsidRDefault="00C23E17" w:rsidP="004F5769">
      <w:pPr>
        <w:pStyle w:val="ListParagraph"/>
        <w:numPr>
          <w:ilvl w:val="0"/>
          <w:numId w:val="38"/>
        </w:numPr>
        <w:rPr>
          <w:color w:val="000000"/>
          <w:szCs w:val="22"/>
        </w:rPr>
      </w:pPr>
      <w:r w:rsidRPr="004F5769">
        <w:rPr>
          <w:szCs w:val="22"/>
        </w:rPr>
        <w:t xml:space="preserve">Hazardous materials distribution by </w:t>
      </w:r>
      <w:r w:rsidR="00012C29">
        <w:rPr>
          <w:szCs w:val="22"/>
        </w:rPr>
        <w:t>Distribution</w:t>
      </w:r>
      <w:r w:rsidRPr="004F5769">
        <w:rPr>
          <w:szCs w:val="22"/>
        </w:rPr>
        <w:t xml:space="preserve"> Services from outside vendors</w:t>
      </w:r>
      <w:r w:rsidR="00DB097C">
        <w:rPr>
          <w:szCs w:val="22"/>
        </w:rPr>
        <w:t>, or</w:t>
      </w:r>
    </w:p>
    <w:p w14:paraId="4DCA3DAC" w14:textId="777F3D6D" w:rsidR="00DB097C" w:rsidRPr="004F5769" w:rsidRDefault="00DB097C" w:rsidP="004F5769">
      <w:pPr>
        <w:pStyle w:val="ListParagraph"/>
        <w:numPr>
          <w:ilvl w:val="0"/>
          <w:numId w:val="38"/>
        </w:numPr>
        <w:rPr>
          <w:color w:val="000000"/>
          <w:szCs w:val="22"/>
        </w:rPr>
      </w:pPr>
      <w:r>
        <w:rPr>
          <w:szCs w:val="22"/>
        </w:rPr>
        <w:t>Fermilab leased spaces.</w:t>
      </w:r>
    </w:p>
    <w:p w14:paraId="1CA2CB0C" w14:textId="5D6DDC96" w:rsidR="006A7918" w:rsidRPr="006A7918" w:rsidRDefault="006A7918" w:rsidP="00E00D72"/>
    <w:p w14:paraId="2C545C82" w14:textId="1005133E" w:rsidR="00554664" w:rsidRDefault="007D1D5E" w:rsidP="007C26B3">
      <w:pPr>
        <w:pStyle w:val="Heading1"/>
      </w:pPr>
      <w:bookmarkStart w:id="1" w:name="_Toc117505006"/>
      <w:r>
        <w:t>2</w:t>
      </w:r>
      <w:r w:rsidR="008A311F">
        <w:t xml:space="preserve">.0 </w:t>
      </w:r>
      <w:r w:rsidR="008A311F">
        <w:tab/>
      </w:r>
      <w:r w:rsidR="00E87F47">
        <w:t>DEFINITIONS</w:t>
      </w:r>
      <w:bookmarkEnd w:id="1"/>
    </w:p>
    <w:p w14:paraId="3B6DB634" w14:textId="77777777" w:rsidR="00554664" w:rsidRPr="00263F3B" w:rsidRDefault="00554664" w:rsidP="00E00D72"/>
    <w:p w14:paraId="7AF3AD99" w14:textId="77777777" w:rsidR="00E87F47" w:rsidRPr="001050AB" w:rsidRDefault="00E87F47" w:rsidP="00E87F47">
      <w:r w:rsidRPr="001050AB">
        <w:rPr>
          <w:b/>
        </w:rPr>
        <w:t>Combination Packaging</w:t>
      </w:r>
      <w:r w:rsidRPr="001050AB">
        <w:t>:  An outer packaging containing one or more inner packaging.  For example: a fiberboard box containing a 2-gallon bottle of Isopropyl Alcohol.</w:t>
      </w:r>
    </w:p>
    <w:p w14:paraId="7157B613" w14:textId="77777777" w:rsidR="00E87F47" w:rsidRPr="001050AB" w:rsidRDefault="00E87F47" w:rsidP="00E87F47">
      <w:pPr>
        <w:pStyle w:val="Footer"/>
      </w:pPr>
    </w:p>
    <w:p w14:paraId="4CF0DB88" w14:textId="77777777" w:rsidR="00E87F47" w:rsidRPr="001050AB" w:rsidRDefault="00E87F47" w:rsidP="00E87F47">
      <w:r w:rsidRPr="001050AB">
        <w:rPr>
          <w:b/>
        </w:rPr>
        <w:t>Hazardous Material</w:t>
      </w:r>
      <w:r w:rsidRPr="001050AB">
        <w:t xml:space="preserve">:  Any material listed on the "Hazardous Materials Table" in 49 CFR 172.101.  </w:t>
      </w:r>
      <w:r w:rsidRPr="001050AB">
        <w:rPr>
          <w:i/>
        </w:rPr>
        <w:t>(NOTE:  use this table only to determine if the material to be transported is hazardous for transportation -- DO NOT attempt to track the references to other parts of the CFR as contained in the table.  Only reference other parts of the CFR when specifically required by this chapter.)</w:t>
      </w:r>
    </w:p>
    <w:p w14:paraId="4F22C826" w14:textId="77777777" w:rsidR="00E87F47" w:rsidRPr="001050AB" w:rsidRDefault="00E87F47" w:rsidP="00E87F47"/>
    <w:p w14:paraId="0465282F" w14:textId="2F379EA4" w:rsidR="00E87F47" w:rsidRDefault="00E87F47" w:rsidP="00E87F47">
      <w:pPr>
        <w:rPr>
          <w:i/>
        </w:rPr>
      </w:pPr>
      <w:r w:rsidRPr="001050AB">
        <w:rPr>
          <w:b/>
        </w:rPr>
        <w:t>Hazardous Waste</w:t>
      </w:r>
      <w:r w:rsidRPr="001050AB">
        <w:t>:  Any hazardous material that is being transp</w:t>
      </w:r>
      <w:r w:rsidR="00861AAD">
        <w:t>orted for disposal purposes.</w:t>
      </w:r>
      <w:r w:rsidRPr="001050AB">
        <w:t xml:space="preserve"> It includes any material that is subject to the Hazardous Waste Manifest Requirements of the U.S. Environmental Protection Agency specified in 40 CFR 262.  </w:t>
      </w:r>
      <w:r w:rsidRPr="001050AB">
        <w:rPr>
          <w:i/>
        </w:rPr>
        <w:t>(Note: if a Hazardous Waste Manifest is not required -- follow the transportation requirements contained in this chapter.)</w:t>
      </w:r>
    </w:p>
    <w:p w14:paraId="03CDD67E" w14:textId="054358D8" w:rsidR="00BB655D" w:rsidRDefault="00BB655D" w:rsidP="00E87F47">
      <w:pPr>
        <w:rPr>
          <w:i/>
        </w:rPr>
      </w:pPr>
    </w:p>
    <w:p w14:paraId="308FD135" w14:textId="2C39AB31" w:rsidR="00BB655D" w:rsidRPr="00EF4B10" w:rsidRDefault="00BB655D" w:rsidP="00BB655D">
      <w:pPr>
        <w:rPr>
          <w:i/>
        </w:rPr>
      </w:pPr>
      <w:r w:rsidRPr="00EF4B10">
        <w:rPr>
          <w:b/>
        </w:rPr>
        <w:t>Radioactive Waste</w:t>
      </w:r>
      <w:r w:rsidRPr="00EF4B10">
        <w:t xml:space="preserve">:  Any </w:t>
      </w:r>
      <w:r w:rsidR="00301B79" w:rsidRPr="00EF4B10">
        <w:t>radioactive</w:t>
      </w:r>
      <w:r w:rsidRPr="00EF4B10">
        <w:t xml:space="preserve"> material that is being transported for disposal purposes. </w:t>
      </w:r>
      <w:r w:rsidR="00301B79" w:rsidRPr="00EF4B10">
        <w:t>Radioactive waste is a type of hazardous waste</w:t>
      </w:r>
      <w:r w:rsidR="00EF4B10" w:rsidRPr="00EF4B10">
        <w:t xml:space="preserve"> that </w:t>
      </w:r>
      <w:r w:rsidRPr="00EF4B10">
        <w:t xml:space="preserve">includes any material that is subject to the Hazardous Waste Manifest Requirements of the U.S. Environmental Protection Agency specified in 40 CFR 262.  </w:t>
      </w:r>
      <w:r w:rsidRPr="00EF4B10">
        <w:rPr>
          <w:i/>
        </w:rPr>
        <w:t>(Note: if a Hazardous Waste Manifest is not required -- follow the transportation requirements contained in this chapter.)</w:t>
      </w:r>
    </w:p>
    <w:p w14:paraId="03B40F45" w14:textId="77777777" w:rsidR="00BB655D" w:rsidRPr="00BB655D" w:rsidRDefault="00BB655D" w:rsidP="00E87F47">
      <w:pPr>
        <w:rPr>
          <w:i/>
          <w:highlight w:val="yellow"/>
        </w:rPr>
      </w:pPr>
    </w:p>
    <w:p w14:paraId="65A486AE" w14:textId="23CC951F" w:rsidR="00BB655D" w:rsidRDefault="00BB655D" w:rsidP="00BB655D">
      <w:pPr>
        <w:rPr>
          <w:i/>
        </w:rPr>
      </w:pPr>
      <w:r w:rsidRPr="00EF4B10">
        <w:rPr>
          <w:b/>
        </w:rPr>
        <w:t>Mixed Waste</w:t>
      </w:r>
      <w:r w:rsidRPr="00EF4B10">
        <w:t xml:space="preserve">:  </w:t>
      </w:r>
      <w:r w:rsidR="00EF4B10" w:rsidRPr="00EF4B10">
        <w:t>Waste containing both radioactive and hazardous components as defined by the Atomic Energy Act of 1954 and the Resources Conservation and Recovery Act, respectively</w:t>
      </w:r>
      <w:r w:rsidRPr="00EF4B10">
        <w:t xml:space="preserve"> that is being transported for disposal purposes. It includes any material that is subject to the Hazardous Waste Manifest Requirements of the U.S. Environmental Protection Agency specified in 40 CFR 262.  </w:t>
      </w:r>
      <w:r w:rsidRPr="00EF4B10">
        <w:rPr>
          <w:i/>
        </w:rPr>
        <w:t xml:space="preserve">(Note: </w:t>
      </w:r>
      <w:r w:rsidRPr="00EF4B10">
        <w:rPr>
          <w:i/>
        </w:rPr>
        <w:lastRenderedPageBreak/>
        <w:t>if a Hazardous Waste Manifest is not required -- follow the transportation requirements contained in this chapter.)</w:t>
      </w:r>
    </w:p>
    <w:p w14:paraId="37C34667" w14:textId="77777777" w:rsidR="00E87F47" w:rsidRPr="001050AB" w:rsidRDefault="00E87F47" w:rsidP="00E87F47">
      <w:pPr>
        <w:rPr>
          <w:i/>
        </w:rPr>
      </w:pPr>
    </w:p>
    <w:p w14:paraId="5970A127" w14:textId="5705382E" w:rsidR="00E87F47" w:rsidRPr="001050AB" w:rsidRDefault="00E87F47" w:rsidP="00E87F47">
      <w:r w:rsidRPr="001050AB">
        <w:rPr>
          <w:b/>
        </w:rPr>
        <w:t xml:space="preserve">Requestor:  </w:t>
      </w:r>
      <w:r w:rsidRPr="001050AB">
        <w:t>Person requesting the transportation of goods from one location to another location. Person requesting such transportation of goods that are hazardous, going off-site, or going into</w:t>
      </w:r>
      <w:r w:rsidR="00F362C5">
        <w:t xml:space="preserve"> or out of</w:t>
      </w:r>
      <w:r w:rsidRPr="001050AB">
        <w:t xml:space="preserve"> the property management system (storage, excess, scrap, etc.) must complete a material move request. </w:t>
      </w:r>
    </w:p>
    <w:p w14:paraId="50E336CC" w14:textId="77777777" w:rsidR="00E87F47" w:rsidRPr="001050AB" w:rsidRDefault="00E87F47" w:rsidP="00E87F47">
      <w:pPr>
        <w:pStyle w:val="Footer"/>
      </w:pPr>
    </w:p>
    <w:p w14:paraId="7B01F412" w14:textId="14437621" w:rsidR="00C552C0" w:rsidRPr="00BB335B" w:rsidRDefault="00E87F47" w:rsidP="00E00D72">
      <w:r w:rsidRPr="001050AB">
        <w:rPr>
          <w:b/>
        </w:rPr>
        <w:t>Single Packaging</w:t>
      </w:r>
      <w:r w:rsidRPr="001050AB">
        <w:t>:  One container that does NOT contai</w:t>
      </w:r>
      <w:r w:rsidR="004F5769">
        <w:t>n any inner or outer packaging.</w:t>
      </w:r>
      <w:r w:rsidRPr="001050AB">
        <w:t xml:space="preserve"> For example: a 5-gallon can of gasoline.</w:t>
      </w:r>
    </w:p>
    <w:p w14:paraId="0C091763" w14:textId="77777777" w:rsidR="00244E31" w:rsidRDefault="00244E31" w:rsidP="00E00D72"/>
    <w:p w14:paraId="4FD5B86C" w14:textId="0C336347" w:rsidR="00903FB9" w:rsidRDefault="00903FB9" w:rsidP="007C26B3">
      <w:pPr>
        <w:pStyle w:val="Heading1"/>
      </w:pPr>
      <w:bookmarkStart w:id="2" w:name="_Toc117505007"/>
      <w:r>
        <w:t xml:space="preserve">3.0 </w:t>
      </w:r>
      <w:r>
        <w:tab/>
        <w:t>RESPONSIBILITIES</w:t>
      </w:r>
      <w:bookmarkEnd w:id="2"/>
    </w:p>
    <w:p w14:paraId="5510EBDD" w14:textId="77777777" w:rsidR="00903FB9" w:rsidRPr="00263F3B" w:rsidRDefault="00903FB9" w:rsidP="00903FB9"/>
    <w:p w14:paraId="43CF8F54" w14:textId="77777777" w:rsidR="00B04301" w:rsidRPr="00B04301" w:rsidRDefault="00B04301" w:rsidP="00B04301">
      <w:pPr>
        <w:pStyle w:val="ListParagraph"/>
        <w:keepNext/>
        <w:numPr>
          <w:ilvl w:val="0"/>
          <w:numId w:val="8"/>
        </w:numPr>
        <w:ind w:left="72"/>
        <w:contextualSpacing w:val="0"/>
        <w:jc w:val="left"/>
        <w:outlineLvl w:val="0"/>
        <w:rPr>
          <w:b/>
          <w:bCs/>
          <w:vanish/>
          <w:kern w:val="32"/>
          <w:sz w:val="28"/>
          <w:szCs w:val="32"/>
        </w:rPr>
      </w:pPr>
      <w:bookmarkStart w:id="3" w:name="_Toc504382138"/>
      <w:bookmarkStart w:id="4" w:name="_Toc504383106"/>
      <w:bookmarkStart w:id="5" w:name="_Toc504391723"/>
      <w:bookmarkStart w:id="6" w:name="_Toc504397381"/>
      <w:bookmarkStart w:id="7" w:name="_Toc117505008"/>
      <w:bookmarkEnd w:id="3"/>
      <w:bookmarkEnd w:id="4"/>
      <w:bookmarkEnd w:id="5"/>
      <w:bookmarkEnd w:id="6"/>
      <w:bookmarkEnd w:id="7"/>
    </w:p>
    <w:p w14:paraId="63ED1DF7" w14:textId="77777777" w:rsidR="00B04301" w:rsidRPr="00B04301" w:rsidRDefault="00B04301" w:rsidP="00B04301">
      <w:pPr>
        <w:pStyle w:val="ListParagraph"/>
        <w:keepNext/>
        <w:numPr>
          <w:ilvl w:val="0"/>
          <w:numId w:val="8"/>
        </w:numPr>
        <w:ind w:left="72"/>
        <w:contextualSpacing w:val="0"/>
        <w:jc w:val="left"/>
        <w:outlineLvl w:val="0"/>
        <w:rPr>
          <w:b/>
          <w:bCs/>
          <w:vanish/>
          <w:kern w:val="32"/>
          <w:sz w:val="28"/>
          <w:szCs w:val="32"/>
        </w:rPr>
      </w:pPr>
      <w:bookmarkStart w:id="8" w:name="_Toc504382139"/>
      <w:bookmarkStart w:id="9" w:name="_Toc504383107"/>
      <w:bookmarkStart w:id="10" w:name="_Toc504391724"/>
      <w:bookmarkStart w:id="11" w:name="_Toc504397382"/>
      <w:bookmarkStart w:id="12" w:name="_Toc117505009"/>
      <w:bookmarkEnd w:id="8"/>
      <w:bookmarkEnd w:id="9"/>
      <w:bookmarkEnd w:id="10"/>
      <w:bookmarkEnd w:id="11"/>
      <w:bookmarkEnd w:id="12"/>
    </w:p>
    <w:p w14:paraId="0A6917CA" w14:textId="77777777" w:rsidR="00B04301" w:rsidRPr="00B04301" w:rsidRDefault="00B04301" w:rsidP="00B04301">
      <w:pPr>
        <w:pStyle w:val="ListParagraph"/>
        <w:keepNext/>
        <w:numPr>
          <w:ilvl w:val="0"/>
          <w:numId w:val="8"/>
        </w:numPr>
        <w:ind w:left="72"/>
        <w:contextualSpacing w:val="0"/>
        <w:jc w:val="left"/>
        <w:outlineLvl w:val="0"/>
        <w:rPr>
          <w:b/>
          <w:bCs/>
          <w:vanish/>
          <w:kern w:val="32"/>
          <w:sz w:val="28"/>
          <w:szCs w:val="32"/>
        </w:rPr>
      </w:pPr>
      <w:bookmarkStart w:id="13" w:name="_Toc504382140"/>
      <w:bookmarkStart w:id="14" w:name="_Toc504383108"/>
      <w:bookmarkStart w:id="15" w:name="_Toc504391725"/>
      <w:bookmarkStart w:id="16" w:name="_Toc504397383"/>
      <w:bookmarkStart w:id="17" w:name="_Toc117505010"/>
      <w:bookmarkEnd w:id="13"/>
      <w:bookmarkEnd w:id="14"/>
      <w:bookmarkEnd w:id="15"/>
      <w:bookmarkEnd w:id="16"/>
      <w:bookmarkEnd w:id="17"/>
    </w:p>
    <w:p w14:paraId="46A3F6B5" w14:textId="2C388865" w:rsidR="00B04301" w:rsidRDefault="00D349E4" w:rsidP="00B04301">
      <w:pPr>
        <w:pStyle w:val="Heading2"/>
      </w:pPr>
      <w:bookmarkStart w:id="18" w:name="_Toc117505011"/>
      <w:r>
        <w:t>Infrastructure Services Division</w:t>
      </w:r>
      <w:r w:rsidR="00FB5B24">
        <w:t xml:space="preserve"> (ISD)</w:t>
      </w:r>
      <w:r>
        <w:t>,</w:t>
      </w:r>
      <w:r w:rsidR="00B04301" w:rsidRPr="007D1E56">
        <w:t xml:space="preserve"> </w:t>
      </w:r>
      <w:r w:rsidR="0034678F">
        <w:t>Distribution</w:t>
      </w:r>
      <w:r w:rsidR="00B04301" w:rsidRPr="007D1E56">
        <w:t xml:space="preserve"> Services</w:t>
      </w:r>
      <w:bookmarkEnd w:id="18"/>
      <w:r w:rsidR="00903FB9" w:rsidRPr="001050AB">
        <w:t xml:space="preserve">  </w:t>
      </w:r>
    </w:p>
    <w:p w14:paraId="7C00F196" w14:textId="780E8965" w:rsidR="00B04301" w:rsidRPr="001050AB" w:rsidRDefault="00A06079" w:rsidP="00B04301">
      <w:pPr>
        <w:pStyle w:val="ListParagraph"/>
        <w:numPr>
          <w:ilvl w:val="0"/>
          <w:numId w:val="32"/>
        </w:numPr>
        <w:ind w:left="720" w:right="720"/>
      </w:pPr>
      <w:r>
        <w:t>T</w:t>
      </w:r>
      <w:r w:rsidR="00B04301" w:rsidRPr="001050AB">
        <w:t>ransporting incoming hazardous material from the receiving dock to its end-user, and</w:t>
      </w:r>
    </w:p>
    <w:p w14:paraId="4B410512" w14:textId="4A123207" w:rsidR="00B04301" w:rsidRPr="001050AB" w:rsidRDefault="00A06079" w:rsidP="00B04301">
      <w:pPr>
        <w:pStyle w:val="ListParagraph"/>
        <w:numPr>
          <w:ilvl w:val="0"/>
          <w:numId w:val="32"/>
        </w:numPr>
        <w:ind w:left="720" w:right="720"/>
      </w:pPr>
      <w:r>
        <w:t>O</w:t>
      </w:r>
      <w:r w:rsidR="00B04301" w:rsidRPr="001050AB">
        <w:t xml:space="preserve">peration and inspection of </w:t>
      </w:r>
      <w:r w:rsidR="0034678F">
        <w:t>Distribution</w:t>
      </w:r>
      <w:r w:rsidR="00B04301" w:rsidRPr="001050AB">
        <w:t xml:space="preserve"> Services' vehicles used for onsite transfers of hazardous </w:t>
      </w:r>
      <w:r w:rsidR="003E371B" w:rsidRPr="001050AB">
        <w:t>material and</w:t>
      </w:r>
      <w:r w:rsidR="00B04301" w:rsidRPr="001050AB">
        <w:t xml:space="preserve"> maintaining them in a safe operating condition.</w:t>
      </w:r>
    </w:p>
    <w:p w14:paraId="186C6DDD" w14:textId="6240DD40" w:rsidR="00B04301" w:rsidRPr="001050AB" w:rsidRDefault="00A06079" w:rsidP="00B04301">
      <w:pPr>
        <w:pStyle w:val="ListParagraph"/>
        <w:numPr>
          <w:ilvl w:val="0"/>
          <w:numId w:val="32"/>
        </w:numPr>
        <w:ind w:left="720" w:right="720"/>
      </w:pPr>
      <w:r>
        <w:t>M</w:t>
      </w:r>
      <w:r w:rsidR="00B04301" w:rsidRPr="001050AB">
        <w:t>oving hazardous materials onsite as requested by other divisions and sections, and</w:t>
      </w:r>
    </w:p>
    <w:p w14:paraId="12BF8776" w14:textId="7214F860" w:rsidR="00B04301" w:rsidRPr="006155E5" w:rsidRDefault="00A06079" w:rsidP="00B04301">
      <w:pPr>
        <w:pStyle w:val="ListParagraph"/>
        <w:numPr>
          <w:ilvl w:val="0"/>
          <w:numId w:val="32"/>
        </w:numPr>
        <w:ind w:left="720" w:right="720"/>
      </w:pPr>
      <w:r w:rsidRPr="0033008F">
        <w:t>M</w:t>
      </w:r>
      <w:r w:rsidR="00B04301" w:rsidRPr="0033008F">
        <w:t xml:space="preserve">aintaining Material Move Request (MMR) forms for a minimum of </w:t>
      </w:r>
      <w:r w:rsidR="00847072" w:rsidRPr="006155E5">
        <w:t>two</w:t>
      </w:r>
      <w:r w:rsidR="00B04301" w:rsidRPr="006155E5">
        <w:t xml:space="preserve"> (</w:t>
      </w:r>
      <w:r w:rsidR="00847072" w:rsidRPr="006155E5">
        <w:t>2</w:t>
      </w:r>
      <w:r w:rsidR="00B04301" w:rsidRPr="006155E5">
        <w:t>) year</w:t>
      </w:r>
      <w:r w:rsidR="00847072" w:rsidRPr="006155E5">
        <w:t xml:space="preserve">s in accordance with Administrative </w:t>
      </w:r>
      <w:r w:rsidR="000B6A9B" w:rsidRPr="006155E5">
        <w:t>R</w:t>
      </w:r>
      <w:r w:rsidR="00847072" w:rsidRPr="006155E5">
        <w:t xml:space="preserve">ecords </w:t>
      </w:r>
      <w:r w:rsidR="000B6A9B" w:rsidRPr="006155E5">
        <w:t>S</w:t>
      </w:r>
      <w:r w:rsidR="00847072" w:rsidRPr="006155E5">
        <w:t>chedule 9</w:t>
      </w:r>
      <w:r w:rsidR="000B6A9B" w:rsidRPr="006155E5">
        <w:t>, Travel and Transportation Records, S</w:t>
      </w:r>
      <w:r w:rsidR="00847072" w:rsidRPr="006155E5">
        <w:t>ection 4</w:t>
      </w:r>
      <w:r w:rsidR="00B04301" w:rsidRPr="006155E5">
        <w:t>.</w:t>
      </w:r>
      <w:r w:rsidR="00847072" w:rsidRPr="006155E5">
        <w:t xml:space="preserve"> </w:t>
      </w:r>
    </w:p>
    <w:p w14:paraId="79C95F0C" w14:textId="69C9A3F2" w:rsidR="00B04301" w:rsidRDefault="00B04301" w:rsidP="00B04301">
      <w:pPr>
        <w:ind w:right="720"/>
      </w:pPr>
    </w:p>
    <w:p w14:paraId="77A36682" w14:textId="12178E15" w:rsidR="00B04301" w:rsidRDefault="00B04301" w:rsidP="00B04301">
      <w:pPr>
        <w:pStyle w:val="Heading2"/>
      </w:pPr>
      <w:bookmarkStart w:id="19" w:name="_Toc117505012"/>
      <w:r>
        <w:t>Environment, Safety</w:t>
      </w:r>
      <w:r w:rsidR="00D349E4">
        <w:t xml:space="preserve"> and</w:t>
      </w:r>
      <w:r>
        <w:t xml:space="preserve"> </w:t>
      </w:r>
      <w:r w:rsidR="00FB5B24">
        <w:t>Health (</w:t>
      </w:r>
      <w:r>
        <w:t>ESH)</w:t>
      </w:r>
      <w:r w:rsidR="00D349E4">
        <w:t xml:space="preserve"> Division </w:t>
      </w:r>
      <w:bookmarkEnd w:id="19"/>
    </w:p>
    <w:p w14:paraId="235473F5" w14:textId="6FB7BC1A" w:rsidR="00B04301" w:rsidRDefault="00B04301" w:rsidP="00B04301">
      <w:r>
        <w:t>The ESH</w:t>
      </w:r>
      <w:r w:rsidR="00D349E4">
        <w:t xml:space="preserve"> Division</w:t>
      </w:r>
      <w:r w:rsidRPr="001050AB">
        <w:t xml:space="preserve"> is responsible for programmatic oversight of onsite transportation of radioactive and regulated hazardous waste</w:t>
      </w:r>
      <w:r>
        <w:t>s.</w:t>
      </w:r>
      <w:r w:rsidR="004F5769">
        <w:t xml:space="preserve"> </w:t>
      </w:r>
      <w:r>
        <w:t>T</w:t>
      </w:r>
      <w:r w:rsidRPr="001050AB">
        <w:t>hese responsibilities are carried out by the Hazard Control Technology Team (HCTT).</w:t>
      </w:r>
    </w:p>
    <w:p w14:paraId="241D6000" w14:textId="15F89859" w:rsidR="00B04301" w:rsidRDefault="00B04301" w:rsidP="00B04301"/>
    <w:p w14:paraId="7CF95895" w14:textId="3065A18A" w:rsidR="00B04301" w:rsidRDefault="00B04301" w:rsidP="00B04301">
      <w:pPr>
        <w:pStyle w:val="Heading2"/>
      </w:pPr>
      <w:bookmarkStart w:id="20" w:name="_Toc117505013"/>
      <w:r>
        <w:t>Division/</w:t>
      </w:r>
      <w:r w:rsidR="00A06079">
        <w:t>Project (D/P) Heads</w:t>
      </w:r>
      <w:bookmarkEnd w:id="20"/>
    </w:p>
    <w:p w14:paraId="6A220595" w14:textId="10DC8342" w:rsidR="00B04301" w:rsidRPr="00B04301" w:rsidRDefault="00B04301" w:rsidP="00B04301">
      <w:r>
        <w:t>D</w:t>
      </w:r>
      <w:r w:rsidR="009127B9">
        <w:t>ocumenting D/</w:t>
      </w:r>
      <w:r w:rsidR="00FB5B24">
        <w:t>P</w:t>
      </w:r>
      <w:r w:rsidR="009127B9">
        <w:t xml:space="preserve"> procedures </w:t>
      </w:r>
      <w:r w:rsidRPr="001050AB">
        <w:t>for hazardous material transported by th</w:t>
      </w:r>
      <w:r w:rsidR="00F33E7D">
        <w:t>eir</w:t>
      </w:r>
      <w:r>
        <w:t xml:space="preserve"> personnel</w:t>
      </w:r>
      <w:r w:rsidR="00F33E7D">
        <w:t xml:space="preserve"> </w:t>
      </w:r>
      <w:r w:rsidR="00F33E7D" w:rsidRPr="001050AB">
        <w:t xml:space="preserve">when </w:t>
      </w:r>
      <w:r w:rsidR="00F33E7D">
        <w:t xml:space="preserve">those procedures are </w:t>
      </w:r>
      <w:r w:rsidR="00F33E7D" w:rsidRPr="001050AB">
        <w:t>more stringent than t</w:t>
      </w:r>
      <w:r w:rsidR="00F33E7D">
        <w:t>he requirements of this chapter</w:t>
      </w:r>
      <w:r>
        <w:t>.</w:t>
      </w:r>
      <w:r w:rsidR="00F33E7D">
        <w:t xml:space="preserve"> </w:t>
      </w:r>
      <w:r w:rsidRPr="001050AB">
        <w:t>If transportation involve</w:t>
      </w:r>
      <w:r w:rsidR="00A06079">
        <w:t>s more than one D/P</w:t>
      </w:r>
      <w:r w:rsidRPr="001050AB">
        <w:t>, the movement shall be performed according to the requ</w:t>
      </w:r>
      <w:r w:rsidR="00A06079">
        <w:t>irements of the D/P</w:t>
      </w:r>
      <w:r w:rsidRPr="001050AB">
        <w:t xml:space="preserve"> physica</w:t>
      </w:r>
      <w:r w:rsidR="00F33E7D">
        <w:t>lly transporting the material.</w:t>
      </w:r>
    </w:p>
    <w:p w14:paraId="569714F1" w14:textId="0769C62A" w:rsidR="003E371B" w:rsidRDefault="003E371B" w:rsidP="00903FB9">
      <w:r>
        <w:br w:type="page"/>
      </w:r>
    </w:p>
    <w:p w14:paraId="7FE3F1C0" w14:textId="77777777" w:rsidR="00903FB9" w:rsidRPr="001050AB" w:rsidRDefault="00903FB9" w:rsidP="00903FB9"/>
    <w:p w14:paraId="544EFBB5" w14:textId="4F75AFA8" w:rsidR="00E47427" w:rsidRDefault="008A311F" w:rsidP="007C26B3">
      <w:pPr>
        <w:pStyle w:val="Heading1"/>
      </w:pPr>
      <w:bookmarkStart w:id="21" w:name="_Toc117505014"/>
      <w:r>
        <w:t>4.0</w:t>
      </w:r>
      <w:r>
        <w:tab/>
      </w:r>
      <w:r w:rsidR="00021BF3">
        <w:t xml:space="preserve">PROGRAM </w:t>
      </w:r>
      <w:r w:rsidR="00865177">
        <w:t>DESCRIPTION</w:t>
      </w:r>
      <w:bookmarkEnd w:id="21"/>
    </w:p>
    <w:p w14:paraId="751B2020" w14:textId="77777777" w:rsidR="00E47427" w:rsidRDefault="00E47427" w:rsidP="00E00D72"/>
    <w:p w14:paraId="30FDB85C" w14:textId="77777777" w:rsidR="00B04301" w:rsidRPr="00B04301" w:rsidRDefault="00B04301" w:rsidP="00B04301">
      <w:pPr>
        <w:pStyle w:val="ListParagraph"/>
        <w:keepNext/>
        <w:numPr>
          <w:ilvl w:val="0"/>
          <w:numId w:val="8"/>
        </w:numPr>
        <w:ind w:left="72"/>
        <w:contextualSpacing w:val="0"/>
        <w:jc w:val="left"/>
        <w:outlineLvl w:val="0"/>
        <w:rPr>
          <w:b/>
          <w:bCs/>
          <w:vanish/>
          <w:kern w:val="32"/>
          <w:sz w:val="28"/>
          <w:szCs w:val="32"/>
        </w:rPr>
      </w:pPr>
      <w:bookmarkStart w:id="22" w:name="_Toc504382145"/>
      <w:bookmarkStart w:id="23" w:name="_Toc504383113"/>
      <w:bookmarkStart w:id="24" w:name="_Toc504391730"/>
      <w:bookmarkStart w:id="25" w:name="_Toc504397388"/>
      <w:bookmarkStart w:id="26" w:name="_Toc117505015"/>
      <w:bookmarkEnd w:id="22"/>
      <w:bookmarkEnd w:id="23"/>
      <w:bookmarkEnd w:id="24"/>
      <w:bookmarkEnd w:id="25"/>
      <w:bookmarkEnd w:id="26"/>
    </w:p>
    <w:p w14:paraId="6972E6A5" w14:textId="283EC9D4" w:rsidR="00E87F47" w:rsidRPr="007C26B3" w:rsidRDefault="00E87F47" w:rsidP="007C26B3">
      <w:pPr>
        <w:pStyle w:val="Heading2"/>
      </w:pPr>
      <w:bookmarkStart w:id="27" w:name="_Toc117505016"/>
      <w:r w:rsidRPr="00B04301">
        <w:t>Policy</w:t>
      </w:r>
      <w:bookmarkEnd w:id="27"/>
    </w:p>
    <w:p w14:paraId="1B81CB3C" w14:textId="72B2E6BB" w:rsidR="00E87F47" w:rsidRDefault="00E87F47" w:rsidP="00865177">
      <w:pPr>
        <w:tabs>
          <w:tab w:val="left" w:pos="9620"/>
        </w:tabs>
        <w:ind w:left="720"/>
      </w:pPr>
      <w:r w:rsidRPr="001050AB">
        <w:t xml:space="preserve">It is Fermilab's policy </w:t>
      </w:r>
      <w:r w:rsidR="00BB335B" w:rsidRPr="001050AB">
        <w:t>to ensure that</w:t>
      </w:r>
      <w:r w:rsidRPr="001050AB">
        <w:t xml:space="preserve"> all hazardous material and waste is</w:t>
      </w:r>
      <w:r w:rsidRPr="001050AB">
        <w:rPr>
          <w:color w:val="000000"/>
        </w:rPr>
        <w:t xml:space="preserve"> </w:t>
      </w:r>
      <w:r w:rsidR="00865177">
        <w:t>packaged, identified, loaded,</w:t>
      </w:r>
      <w:r w:rsidRPr="001050AB">
        <w:t xml:space="preserve"> unloaded, and tr</w:t>
      </w:r>
      <w:r w:rsidR="00865177">
        <w:t xml:space="preserve">ansported in a manner to assure </w:t>
      </w:r>
      <w:r w:rsidRPr="001050AB">
        <w:t xml:space="preserve">the safety and health of Fermilab </w:t>
      </w:r>
      <w:r w:rsidR="00865177">
        <w:t>employees, subcontractor</w:t>
      </w:r>
      <w:r w:rsidRPr="001050AB">
        <w:t>s, the general public, and the environment are protected.</w:t>
      </w:r>
      <w:r w:rsidR="00341D6E">
        <w:t xml:space="preserve">  Transportation of all hazardous material shall be carried out utilizing a government vehicle.  Personnel vehicles are prohibited for use in transport of hazardous materials. </w:t>
      </w:r>
    </w:p>
    <w:p w14:paraId="45734D58" w14:textId="77777777" w:rsidR="00B04301" w:rsidRPr="00B04301" w:rsidRDefault="00B04301" w:rsidP="00B04301">
      <w:pPr>
        <w:pStyle w:val="BodyTextIndent3"/>
        <w:spacing w:after="0"/>
        <w:ind w:left="1080"/>
        <w:rPr>
          <w:sz w:val="24"/>
          <w:szCs w:val="24"/>
        </w:rPr>
      </w:pPr>
    </w:p>
    <w:p w14:paraId="0D870244" w14:textId="0D2E377D" w:rsidR="00E87F47" w:rsidRPr="001050AB" w:rsidRDefault="00E87F47" w:rsidP="007C26B3">
      <w:pPr>
        <w:pStyle w:val="Heading2"/>
      </w:pPr>
      <w:bookmarkStart w:id="28" w:name="_Toc117505017"/>
      <w:r w:rsidRPr="00B04301">
        <w:t>Training</w:t>
      </w:r>
      <w:bookmarkEnd w:id="28"/>
    </w:p>
    <w:p w14:paraId="21E7FA30" w14:textId="44AB90C5" w:rsidR="00E87F47" w:rsidRPr="001050AB" w:rsidRDefault="00E87F47" w:rsidP="00865177">
      <w:pPr>
        <w:ind w:left="720"/>
      </w:pPr>
      <w:r w:rsidRPr="001050AB">
        <w:t>Each employee involved in hazardous material transportation covered by this section shall receive Hazard Communication and either DOT Hazardous Materials Regulations for Transportation Personnel or Hazardous Materials/Waste Transportation training</w:t>
      </w:r>
      <w:r w:rsidR="00865177">
        <w:t xml:space="preserve"> prior to performing such work.</w:t>
      </w:r>
      <w:r w:rsidRPr="001050AB">
        <w:t xml:space="preserve"> This includes those who:</w:t>
      </w:r>
    </w:p>
    <w:p w14:paraId="5B75BD22" w14:textId="7C9ED608" w:rsidR="00E87F47" w:rsidRPr="001050AB" w:rsidRDefault="00E87F47" w:rsidP="004F5769">
      <w:pPr>
        <w:pStyle w:val="ListParagraph"/>
        <w:numPr>
          <w:ilvl w:val="1"/>
          <w:numId w:val="41"/>
        </w:numPr>
        <w:ind w:left="1080"/>
      </w:pPr>
      <w:r w:rsidRPr="001050AB">
        <w:t>load, unload, or handle hazardous material,</w:t>
      </w:r>
    </w:p>
    <w:p w14:paraId="4EE595F2" w14:textId="5C06B110" w:rsidR="00E87F47" w:rsidRPr="001050AB" w:rsidRDefault="00E87F47" w:rsidP="004F5769">
      <w:pPr>
        <w:pStyle w:val="ListParagraph"/>
        <w:numPr>
          <w:ilvl w:val="1"/>
          <w:numId w:val="41"/>
        </w:numPr>
        <w:ind w:left="1080"/>
      </w:pPr>
      <w:r w:rsidRPr="001050AB">
        <w:t>test, recondition, repair, modify, mark, or otherwise represent containers, drums, or packaging as qualified for use in the transportation of hazardous material,</w:t>
      </w:r>
    </w:p>
    <w:p w14:paraId="58B64186" w14:textId="6E19CED0" w:rsidR="00E87F47" w:rsidRPr="001050AB" w:rsidRDefault="00E87F47" w:rsidP="004F5769">
      <w:pPr>
        <w:pStyle w:val="ListParagraph"/>
        <w:numPr>
          <w:ilvl w:val="1"/>
          <w:numId w:val="41"/>
        </w:numPr>
        <w:ind w:left="1080"/>
      </w:pPr>
      <w:r w:rsidRPr="001050AB">
        <w:t>prepare hazardous material for transportation, or</w:t>
      </w:r>
    </w:p>
    <w:p w14:paraId="62FC9F00" w14:textId="55A332FC" w:rsidR="00E87F47" w:rsidRPr="004F5769" w:rsidRDefault="00E87F47" w:rsidP="004F5769">
      <w:pPr>
        <w:pStyle w:val="ListParagraph"/>
        <w:numPr>
          <w:ilvl w:val="1"/>
          <w:numId w:val="41"/>
        </w:numPr>
        <w:ind w:left="1080"/>
        <w:rPr>
          <w:u w:val="single"/>
        </w:rPr>
      </w:pPr>
      <w:r w:rsidRPr="001050AB">
        <w:t>operate a vehicle used to transport hazardous material.</w:t>
      </w:r>
    </w:p>
    <w:p w14:paraId="106C9D5E" w14:textId="77777777" w:rsidR="00E87F47" w:rsidRPr="001050AB" w:rsidRDefault="00E87F47" w:rsidP="00E87F47">
      <w:pPr>
        <w:pStyle w:val="Footer"/>
      </w:pPr>
    </w:p>
    <w:p w14:paraId="263C51EB" w14:textId="2D36E9C8" w:rsidR="00E87F47" w:rsidRPr="001050AB" w:rsidRDefault="00E87F47" w:rsidP="007C26B3">
      <w:pPr>
        <w:pStyle w:val="Heading2"/>
      </w:pPr>
      <w:bookmarkStart w:id="29" w:name="_Toc117505018"/>
      <w:r w:rsidRPr="00B04301">
        <w:t xml:space="preserve">Procedures </w:t>
      </w:r>
      <w:r w:rsidR="00675B41" w:rsidRPr="00B04301">
        <w:t>for Radioactive</w:t>
      </w:r>
      <w:r w:rsidR="00165337" w:rsidRPr="00B04301">
        <w:t xml:space="preserve"> and </w:t>
      </w:r>
      <w:r w:rsidRPr="00B04301">
        <w:t>Hazardous Material Transportation</w:t>
      </w:r>
      <w:bookmarkEnd w:id="29"/>
    </w:p>
    <w:p w14:paraId="731F7537" w14:textId="4744883F" w:rsidR="00E87F47" w:rsidRPr="001050AB" w:rsidRDefault="00E87F47" w:rsidP="00E87F47">
      <w:pPr>
        <w:ind w:left="720"/>
      </w:pPr>
      <w:r w:rsidRPr="001050AB">
        <w:t>Each division</w:t>
      </w:r>
      <w:r w:rsidR="005C3485">
        <w:t xml:space="preserve"> </w:t>
      </w:r>
      <w:r w:rsidRPr="001050AB">
        <w:t>is responsible for ensuring that hazardous material is transported i</w:t>
      </w:r>
      <w:r w:rsidR="004F5769">
        <w:t>n accordance with this chapter.</w:t>
      </w:r>
      <w:r w:rsidRPr="001050AB">
        <w:t xml:space="preserve"> The </w:t>
      </w:r>
      <w:r w:rsidR="005C3485">
        <w:t>Infrastructure</w:t>
      </w:r>
      <w:r w:rsidRPr="001050AB">
        <w:t xml:space="preserve"> Services </w:t>
      </w:r>
      <w:r w:rsidR="005C3485">
        <w:t>Division</w:t>
      </w:r>
      <w:r w:rsidRPr="001050AB">
        <w:t xml:space="preserve">, </w:t>
      </w:r>
      <w:r w:rsidR="005C3485">
        <w:t>Distribution</w:t>
      </w:r>
      <w:r w:rsidRPr="001050AB">
        <w:t xml:space="preserve"> Services Department is available for division assistance.</w:t>
      </w:r>
    </w:p>
    <w:p w14:paraId="18E0BED0" w14:textId="77777777" w:rsidR="00E87F47" w:rsidRPr="001050AB" w:rsidRDefault="00E87F47" w:rsidP="00E87F47">
      <w:pPr>
        <w:ind w:left="720"/>
      </w:pPr>
    </w:p>
    <w:p w14:paraId="33270A11" w14:textId="58ABDC97" w:rsidR="00A4496F" w:rsidRPr="007C26B3" w:rsidRDefault="00E87F47" w:rsidP="007C26B3">
      <w:pPr>
        <w:pStyle w:val="Heading3"/>
      </w:pPr>
      <w:bookmarkStart w:id="30" w:name="_Toc117505019"/>
      <w:r w:rsidRPr="007C26B3">
        <w:t xml:space="preserve">Hazardous </w:t>
      </w:r>
      <w:r w:rsidR="00A4496F" w:rsidRPr="007C26B3">
        <w:t>Materials</w:t>
      </w:r>
      <w:bookmarkEnd w:id="30"/>
    </w:p>
    <w:p w14:paraId="66EE9D99" w14:textId="696E9C8C" w:rsidR="00DD6AD0" w:rsidRDefault="00A4496F" w:rsidP="00DD6AD0">
      <w:pPr>
        <w:ind w:left="1440"/>
      </w:pPr>
      <w:r w:rsidRPr="001050AB">
        <w:t xml:space="preserve">All on-site movement of hazardous materials transported by the </w:t>
      </w:r>
      <w:r w:rsidR="0034678F">
        <w:t>Distribution</w:t>
      </w:r>
      <w:r w:rsidRPr="001050AB">
        <w:t xml:space="preserve"> Services </w:t>
      </w:r>
      <w:r>
        <w:t>department</w:t>
      </w:r>
      <w:r w:rsidRPr="001050AB">
        <w:t xml:space="preserve">, </w:t>
      </w:r>
      <w:r w:rsidR="00675B41">
        <w:t>except</w:t>
      </w:r>
      <w:r w:rsidRPr="001050AB">
        <w:t xml:space="preserve"> </w:t>
      </w:r>
      <w:r w:rsidR="00675B41">
        <w:t>r</w:t>
      </w:r>
      <w:r>
        <w:t xml:space="preserve">adioactive </w:t>
      </w:r>
      <w:r w:rsidRPr="001050AB">
        <w:t>waste</w:t>
      </w:r>
      <w:r>
        <w:t xml:space="preserve">, </w:t>
      </w:r>
      <w:r w:rsidR="00675B41">
        <w:t>h</w:t>
      </w:r>
      <w:r>
        <w:t>azardous waste,</w:t>
      </w:r>
      <w:r w:rsidRPr="001050AB">
        <w:t xml:space="preserve"> and items being received from offsite, shall be </w:t>
      </w:r>
      <w:r w:rsidR="00675B41" w:rsidRPr="001050AB">
        <w:t xml:space="preserve">initiated </w:t>
      </w:r>
      <w:r w:rsidR="00675B41">
        <w:t>using</w:t>
      </w:r>
      <w:r w:rsidR="00173225">
        <w:t xml:space="preserve"> </w:t>
      </w:r>
      <w:r w:rsidR="00173225" w:rsidRPr="001050AB">
        <w:t>the</w:t>
      </w:r>
      <w:r w:rsidRPr="001050AB">
        <w:t xml:space="preserve"> MMR form</w:t>
      </w:r>
      <w:r w:rsidR="00DD6AD0">
        <w:t>.</w:t>
      </w:r>
      <w:r w:rsidR="00DD6AD0" w:rsidRPr="00DD6AD0">
        <w:t xml:space="preserve"> </w:t>
      </w:r>
      <w:r w:rsidR="00DD6AD0">
        <w:t>A link to the MMR form in Service Now can be found in Section 5</w:t>
      </w:r>
      <w:r w:rsidR="00DD6AD0" w:rsidRPr="001050AB">
        <w:t xml:space="preserve"> of this Chapter</w:t>
      </w:r>
      <w:r w:rsidR="00DD6AD0">
        <w:t>.</w:t>
      </w:r>
    </w:p>
    <w:p w14:paraId="5378905C" w14:textId="77777777" w:rsidR="00DD6AD0" w:rsidRPr="001050AB" w:rsidRDefault="00DD6AD0" w:rsidP="00DD6AD0">
      <w:pPr>
        <w:ind w:left="1440"/>
      </w:pPr>
    </w:p>
    <w:p w14:paraId="1D41C173" w14:textId="5346FA4E" w:rsidR="00E87F47" w:rsidRPr="007C26B3" w:rsidRDefault="00E87F47" w:rsidP="007C26B3">
      <w:pPr>
        <w:pStyle w:val="Heading3"/>
      </w:pPr>
      <w:bookmarkStart w:id="31" w:name="_Toc117505020"/>
      <w:r w:rsidRPr="007C26B3">
        <w:t>Radioactive Materials</w:t>
      </w:r>
      <w:bookmarkEnd w:id="31"/>
    </w:p>
    <w:p w14:paraId="5EDFD235" w14:textId="0CF90780" w:rsidR="00E87F47" w:rsidRPr="001050AB" w:rsidRDefault="00A4496F" w:rsidP="00E87F47">
      <w:pPr>
        <w:ind w:left="1440"/>
      </w:pPr>
      <w:r>
        <w:t xml:space="preserve">All on-site movement of </w:t>
      </w:r>
      <w:r w:rsidR="00675B41" w:rsidRPr="001050AB">
        <w:t>radioactive</w:t>
      </w:r>
      <w:r w:rsidR="00E87F47" w:rsidRPr="001050AB">
        <w:t xml:space="preserve"> materials transported by the </w:t>
      </w:r>
      <w:r w:rsidR="0034678F">
        <w:t>Distribution</w:t>
      </w:r>
      <w:r w:rsidR="00E87F47" w:rsidRPr="001050AB">
        <w:t xml:space="preserve"> Services </w:t>
      </w:r>
      <w:r>
        <w:t xml:space="preserve">department </w:t>
      </w:r>
      <w:r w:rsidR="008B4F4A" w:rsidRPr="001050AB">
        <w:t xml:space="preserve">other than </w:t>
      </w:r>
      <w:r w:rsidR="00675B41">
        <w:t>r</w:t>
      </w:r>
      <w:r w:rsidR="008B4F4A">
        <w:t xml:space="preserve">adioactive </w:t>
      </w:r>
      <w:r w:rsidR="008B4F4A" w:rsidRPr="001050AB">
        <w:t>waste</w:t>
      </w:r>
      <w:r w:rsidR="008B4F4A">
        <w:t>,</w:t>
      </w:r>
      <w:r w:rsidR="0034678F">
        <w:t xml:space="preserve"> </w:t>
      </w:r>
      <w:r w:rsidR="008B4F4A" w:rsidRPr="001050AB">
        <w:t>and items being received from</w:t>
      </w:r>
      <w:r w:rsidR="00F32AF2">
        <w:t xml:space="preserve"> offsite,</w:t>
      </w:r>
      <w:r w:rsidR="008B4F4A" w:rsidRPr="001050AB">
        <w:t xml:space="preserve"> </w:t>
      </w:r>
      <w:r w:rsidR="00E87F47" w:rsidRPr="001050AB">
        <w:t xml:space="preserve">shall be initiated using the MMR form in accordance with </w:t>
      </w:r>
      <w:hyperlink r:id="rId8" w:history="1">
        <w:r w:rsidR="00E87F47" w:rsidRPr="001050AB">
          <w:rPr>
            <w:rStyle w:val="Hyperlink"/>
          </w:rPr>
          <w:t>Article 423</w:t>
        </w:r>
      </w:hyperlink>
      <w:r w:rsidR="00E87F47" w:rsidRPr="001050AB">
        <w:t xml:space="preserve"> of the Fermilab Radiological Control Manual.</w:t>
      </w:r>
      <w:r w:rsidR="00F33E7D">
        <w:t xml:space="preserve"> A link to the MMR form in Service Now can be found in Section 5</w:t>
      </w:r>
      <w:r w:rsidR="00E87F47" w:rsidRPr="001050AB">
        <w:t xml:space="preserve"> of this Chapter</w:t>
      </w:r>
      <w:r w:rsidR="00FD5948">
        <w:t>.</w:t>
      </w:r>
    </w:p>
    <w:p w14:paraId="4B902820" w14:textId="77777777" w:rsidR="00E87F47" w:rsidRPr="001050AB" w:rsidRDefault="00E87F47" w:rsidP="00E87F47">
      <w:pPr>
        <w:ind w:left="1440"/>
      </w:pPr>
    </w:p>
    <w:p w14:paraId="284CE4F3" w14:textId="24DFE3C2" w:rsidR="00E87F47" w:rsidRPr="007C26B3" w:rsidRDefault="00E87F47" w:rsidP="007C26B3">
      <w:pPr>
        <w:pStyle w:val="Heading3"/>
      </w:pPr>
      <w:bookmarkStart w:id="32" w:name="_Toc117505021"/>
      <w:r w:rsidRPr="007C26B3">
        <w:t xml:space="preserve">Hazardous </w:t>
      </w:r>
      <w:r w:rsidR="00A4496F" w:rsidRPr="007C26B3">
        <w:t>Waste</w:t>
      </w:r>
      <w:bookmarkEnd w:id="32"/>
    </w:p>
    <w:p w14:paraId="199C874F" w14:textId="479CC502" w:rsidR="00954123" w:rsidRPr="00954123" w:rsidRDefault="00954123" w:rsidP="00954123">
      <w:pPr>
        <w:ind w:left="1440"/>
      </w:pPr>
      <w:r w:rsidRPr="00954123">
        <w:t xml:space="preserve">All on site movement of hazardous waste is </w:t>
      </w:r>
      <w:r w:rsidR="004F5769">
        <w:t>the responsibility of the HCTT.</w:t>
      </w:r>
      <w:r w:rsidRPr="00954123">
        <w:t xml:space="preserve"> You must contact a member of the HCTT to initiate the transportation of hazardous waste.</w:t>
      </w:r>
    </w:p>
    <w:p w14:paraId="55638F06" w14:textId="77777777" w:rsidR="00E87F47" w:rsidRPr="001050AB" w:rsidRDefault="00E87F47" w:rsidP="00954123">
      <w:pPr>
        <w:ind w:left="1440" w:right="630"/>
      </w:pPr>
    </w:p>
    <w:p w14:paraId="375E8C13" w14:textId="7DD185A8" w:rsidR="00E87F47" w:rsidRPr="007C26B3" w:rsidRDefault="00E87F47" w:rsidP="007C26B3">
      <w:pPr>
        <w:pStyle w:val="Heading3"/>
      </w:pPr>
      <w:bookmarkStart w:id="33" w:name="_Toc117505022"/>
      <w:r w:rsidRPr="007C26B3">
        <w:lastRenderedPageBreak/>
        <w:t>Radioactive Waste</w:t>
      </w:r>
      <w:bookmarkEnd w:id="33"/>
    </w:p>
    <w:p w14:paraId="4130824E" w14:textId="1F215E5E" w:rsidR="00F32AF2" w:rsidRDefault="00B45D2F" w:rsidP="00F32AF2">
      <w:pPr>
        <w:ind w:left="1440"/>
      </w:pPr>
      <w:r>
        <w:t xml:space="preserve">All on site movement of radioactive waste is the responsibility of the HCTT. You must contact a member of the HCTT to initiate the transportation of radioactive waste. </w:t>
      </w:r>
    </w:p>
    <w:p w14:paraId="7D03B629" w14:textId="77777777" w:rsidR="00165337" w:rsidRDefault="00165337" w:rsidP="00F32AF2">
      <w:pPr>
        <w:ind w:left="1440"/>
      </w:pPr>
    </w:p>
    <w:p w14:paraId="76C273B9" w14:textId="584F2E65" w:rsidR="00165337" w:rsidRPr="007C26B3" w:rsidRDefault="00165337" w:rsidP="007C26B3">
      <w:pPr>
        <w:pStyle w:val="Heading3"/>
      </w:pPr>
      <w:bookmarkStart w:id="34" w:name="_Toc117505023"/>
      <w:r w:rsidRPr="007C26B3">
        <w:t>Mixed Waste</w:t>
      </w:r>
      <w:bookmarkEnd w:id="34"/>
    </w:p>
    <w:p w14:paraId="1CDE826F" w14:textId="273411EC" w:rsidR="00165337" w:rsidRPr="00675B41" w:rsidRDefault="00B45D2F" w:rsidP="00165337">
      <w:pPr>
        <w:ind w:left="1440"/>
        <w:rPr>
          <w:strike/>
        </w:rPr>
      </w:pPr>
      <w:r>
        <w:t xml:space="preserve">All on site movement of mixed waste is the responsibility of the HCTT. You must contact a member of the HCTT to initiate the transportation of mixed waste. </w:t>
      </w:r>
    </w:p>
    <w:p w14:paraId="421ECF1B" w14:textId="690D9C4C" w:rsidR="00E87F47" w:rsidRPr="001050AB" w:rsidRDefault="00E87F47" w:rsidP="00E87F47">
      <w:pPr>
        <w:ind w:right="630"/>
      </w:pPr>
    </w:p>
    <w:p w14:paraId="0AD4BACB" w14:textId="3E21C492" w:rsidR="00E87F47" w:rsidRPr="001050AB" w:rsidRDefault="00E87F47" w:rsidP="007C26B3">
      <w:pPr>
        <w:pStyle w:val="Heading2"/>
      </w:pPr>
      <w:bookmarkStart w:id="35" w:name="_Toc117505024"/>
      <w:r w:rsidRPr="00B04301">
        <w:t>Reporting Hazardous Material Transportation Incidents</w:t>
      </w:r>
      <w:bookmarkEnd w:id="35"/>
    </w:p>
    <w:p w14:paraId="1E0EAF6D" w14:textId="77777777" w:rsidR="00E87F47" w:rsidRPr="001050AB" w:rsidRDefault="00E87F47" w:rsidP="00E87F47">
      <w:pPr>
        <w:ind w:left="720" w:right="630"/>
      </w:pPr>
      <w:r w:rsidRPr="001050AB">
        <w:t>Incident reporting and emergency response for hazardous material and transportation incidents shall be done by immediately calling the Communication Center at x3131.</w:t>
      </w:r>
    </w:p>
    <w:p w14:paraId="346CAC7C" w14:textId="77777777" w:rsidR="00E87F47" w:rsidRPr="001050AB" w:rsidRDefault="00E87F47" w:rsidP="00E87F47">
      <w:pPr>
        <w:ind w:left="720" w:right="630" w:hanging="720"/>
      </w:pPr>
    </w:p>
    <w:p w14:paraId="4821DA40" w14:textId="00AB9E8E" w:rsidR="00E87F47" w:rsidRPr="00B04301" w:rsidRDefault="00E87F47" w:rsidP="00B04301">
      <w:pPr>
        <w:pStyle w:val="Heading2"/>
      </w:pPr>
      <w:bookmarkStart w:id="36" w:name="_Toc117505025"/>
      <w:r w:rsidRPr="00B04301">
        <w:t>Packaging</w:t>
      </w:r>
      <w:bookmarkEnd w:id="36"/>
    </w:p>
    <w:p w14:paraId="55BEB4D9" w14:textId="77777777" w:rsidR="00E87F47" w:rsidRPr="001050AB" w:rsidRDefault="00E87F47" w:rsidP="00E87F47">
      <w:pPr>
        <w:ind w:left="720" w:right="630" w:hanging="720"/>
      </w:pPr>
    </w:p>
    <w:p w14:paraId="1F439D06" w14:textId="48AF0BF9" w:rsidR="00E87F47" w:rsidRPr="007C26B3" w:rsidRDefault="00E87F47" w:rsidP="007C26B3">
      <w:pPr>
        <w:pStyle w:val="Heading3"/>
      </w:pPr>
      <w:bookmarkStart w:id="37" w:name="_Toc117505026"/>
      <w:r w:rsidRPr="007C26B3">
        <w:t>Onsite Transportation</w:t>
      </w:r>
      <w:bookmarkEnd w:id="37"/>
    </w:p>
    <w:p w14:paraId="7FEBA31A" w14:textId="77777777" w:rsidR="00E87F47" w:rsidRPr="001050AB" w:rsidRDefault="00E87F47" w:rsidP="00ED50DE">
      <w:pPr>
        <w:pStyle w:val="BodyTextIndent"/>
        <w:ind w:left="1440"/>
      </w:pPr>
      <w:r w:rsidRPr="001050AB">
        <w:t>Packaging of hazardous material for vehicular transportation within the Fermilab site boundaries shall be conducted in accordance with the procedures provided below.</w:t>
      </w:r>
    </w:p>
    <w:p w14:paraId="0DDD17EE" w14:textId="77777777" w:rsidR="00E87F47" w:rsidRPr="001050AB" w:rsidRDefault="00E87F47" w:rsidP="00E87F47">
      <w:pPr>
        <w:ind w:left="720"/>
      </w:pPr>
    </w:p>
    <w:p w14:paraId="711C8A18" w14:textId="5CC2211D" w:rsidR="00E87F47" w:rsidRPr="007C26B3" w:rsidRDefault="00E87F47" w:rsidP="007C26B3">
      <w:pPr>
        <w:pStyle w:val="Heading3"/>
      </w:pPr>
      <w:bookmarkStart w:id="38" w:name="_Toc117505027"/>
      <w:r w:rsidRPr="007C26B3">
        <w:t>Single Packaging</w:t>
      </w:r>
      <w:bookmarkEnd w:id="38"/>
    </w:p>
    <w:p w14:paraId="3E903BCB" w14:textId="337E04F0" w:rsidR="00E87F47" w:rsidRPr="001050AB" w:rsidRDefault="00706514" w:rsidP="00011721">
      <w:pPr>
        <w:ind w:left="1440" w:hanging="720"/>
      </w:pPr>
      <w:r>
        <w:tab/>
      </w:r>
      <w:r w:rsidR="00E87F47" w:rsidRPr="001050AB">
        <w:t>All single packaging shall:</w:t>
      </w:r>
    </w:p>
    <w:p w14:paraId="3E529F4E" w14:textId="4F6DD9EA" w:rsidR="00E87F47" w:rsidRPr="001050AB" w:rsidRDefault="00E87F47" w:rsidP="004F5769">
      <w:pPr>
        <w:pStyle w:val="ListParagraph"/>
        <w:numPr>
          <w:ilvl w:val="1"/>
          <w:numId w:val="43"/>
        </w:numPr>
        <w:tabs>
          <w:tab w:val="left" w:pos="2160"/>
          <w:tab w:val="left" w:pos="2610"/>
        </w:tabs>
        <w:ind w:left="1800"/>
      </w:pPr>
      <w:r w:rsidRPr="004F5769">
        <w:rPr>
          <w:position w:val="6"/>
        </w:rPr>
        <w:t>be identified,</w:t>
      </w:r>
    </w:p>
    <w:p w14:paraId="02B654E6" w14:textId="2D27E45B" w:rsidR="00E87F47" w:rsidRPr="004F5769" w:rsidRDefault="00E87F47" w:rsidP="004F5769">
      <w:pPr>
        <w:pStyle w:val="ListParagraph"/>
        <w:numPr>
          <w:ilvl w:val="1"/>
          <w:numId w:val="43"/>
        </w:numPr>
        <w:ind w:left="1800"/>
        <w:rPr>
          <w:position w:val="6"/>
        </w:rPr>
      </w:pPr>
      <w:r w:rsidRPr="004F5769">
        <w:rPr>
          <w:position w:val="6"/>
        </w:rPr>
        <w:t>be chemically compatible with their contents, and</w:t>
      </w:r>
    </w:p>
    <w:p w14:paraId="27E39BB3" w14:textId="68E96793" w:rsidR="00E87F47" w:rsidRPr="004F5769" w:rsidRDefault="00E87F47" w:rsidP="004F5769">
      <w:pPr>
        <w:pStyle w:val="ListParagraph"/>
        <w:numPr>
          <w:ilvl w:val="1"/>
          <w:numId w:val="43"/>
        </w:numPr>
        <w:ind w:left="1800"/>
        <w:rPr>
          <w:i/>
          <w:position w:val="6"/>
        </w:rPr>
      </w:pPr>
      <w:r w:rsidRPr="004F5769">
        <w:rPr>
          <w:position w:val="6"/>
        </w:rPr>
        <w:t xml:space="preserve">not be used for transportation if damaged; damage includes rust, holes, dents, creases, crushed or compacted areas, wet spots or stains, improper closures, general corrosion, and any other condition that could pose a hazard during transportation.  </w:t>
      </w:r>
      <w:r w:rsidRPr="004F5769">
        <w:rPr>
          <w:i/>
          <w:position w:val="6"/>
        </w:rPr>
        <w:t>NOTE</w:t>
      </w:r>
      <w:r w:rsidRPr="00B172BB">
        <w:rPr>
          <w:i/>
          <w:position w:val="6"/>
        </w:rPr>
        <w:t xml:space="preserve">: </w:t>
      </w:r>
      <w:r w:rsidR="0034678F" w:rsidRPr="00B172BB">
        <w:rPr>
          <w:i/>
          <w:position w:val="6"/>
        </w:rPr>
        <w:t>E</w:t>
      </w:r>
      <w:r w:rsidRPr="00B172BB">
        <w:rPr>
          <w:i/>
          <w:position w:val="6"/>
        </w:rPr>
        <w:t xml:space="preserve">ach division shall be responsible for determining if a package is </w:t>
      </w:r>
      <w:r w:rsidR="0034678F" w:rsidRPr="00B172BB">
        <w:rPr>
          <w:i/>
          <w:position w:val="6"/>
        </w:rPr>
        <w:t>prepared</w:t>
      </w:r>
      <w:r w:rsidRPr="00B172BB">
        <w:rPr>
          <w:i/>
          <w:position w:val="6"/>
        </w:rPr>
        <w:t xml:space="preserve"> for transportation</w:t>
      </w:r>
      <w:r w:rsidR="00B172BB">
        <w:rPr>
          <w:i/>
          <w:position w:val="6"/>
        </w:rPr>
        <w:t>.</w:t>
      </w:r>
      <w:r w:rsidR="0034678F">
        <w:rPr>
          <w:i/>
          <w:position w:val="6"/>
        </w:rPr>
        <w:t xml:space="preserve"> The Distribution services team member performing the transportation will determine if the package is in fact suitable for transportation. </w:t>
      </w:r>
    </w:p>
    <w:p w14:paraId="61D8F8F2" w14:textId="77777777" w:rsidR="00E87F47" w:rsidRPr="001050AB" w:rsidRDefault="00E87F47" w:rsidP="00E87F47">
      <w:pPr>
        <w:ind w:left="2600" w:hanging="440"/>
        <w:rPr>
          <w:color w:val="000000"/>
        </w:rPr>
      </w:pPr>
    </w:p>
    <w:p w14:paraId="527F8ABD" w14:textId="5BEFE183" w:rsidR="00E87F47" w:rsidRPr="007C26B3" w:rsidRDefault="00E87F47" w:rsidP="007C26B3">
      <w:pPr>
        <w:pStyle w:val="Heading3"/>
      </w:pPr>
      <w:bookmarkStart w:id="39" w:name="_Toc117505028"/>
      <w:r w:rsidRPr="007C26B3">
        <w:t>Combination Packaging</w:t>
      </w:r>
      <w:bookmarkEnd w:id="39"/>
    </w:p>
    <w:p w14:paraId="7C939FCC" w14:textId="6455FA16" w:rsidR="00E87F47" w:rsidRPr="001050AB" w:rsidRDefault="00E87F47" w:rsidP="004F5769">
      <w:pPr>
        <w:ind w:right="-260"/>
      </w:pPr>
      <w:r w:rsidRPr="001050AB">
        <w:tab/>
      </w:r>
      <w:r w:rsidRPr="001050AB">
        <w:tab/>
        <w:t>The following types of containers may only be used as inner receptacles:</w:t>
      </w:r>
    </w:p>
    <w:p w14:paraId="46663E76" w14:textId="3388ADD6" w:rsidR="00E87F47" w:rsidRPr="001050AB" w:rsidRDefault="00E87F47" w:rsidP="004F5769">
      <w:pPr>
        <w:pStyle w:val="ListParagraph"/>
        <w:numPr>
          <w:ilvl w:val="1"/>
          <w:numId w:val="47"/>
        </w:numPr>
        <w:ind w:left="1800"/>
      </w:pPr>
      <w:r w:rsidRPr="001050AB">
        <w:t>glass or earthenware receptacles, and</w:t>
      </w:r>
    </w:p>
    <w:p w14:paraId="5B770E41" w14:textId="5E2C19EC" w:rsidR="00E87F47" w:rsidRPr="001050AB" w:rsidRDefault="00E87F47" w:rsidP="004F5769">
      <w:pPr>
        <w:pStyle w:val="ListParagraph"/>
        <w:numPr>
          <w:ilvl w:val="1"/>
          <w:numId w:val="47"/>
        </w:numPr>
        <w:ind w:left="1800"/>
      </w:pPr>
      <w:r w:rsidRPr="001050AB">
        <w:t>glass ampoules</w:t>
      </w:r>
    </w:p>
    <w:p w14:paraId="016AC835" w14:textId="77777777" w:rsidR="00E87F47" w:rsidRPr="001050AB" w:rsidRDefault="00E87F47" w:rsidP="00E87F47">
      <w:pPr>
        <w:ind w:left="1440" w:hanging="360"/>
      </w:pPr>
    </w:p>
    <w:p w14:paraId="2A630BEC" w14:textId="3B7C2F20" w:rsidR="00E87F47" w:rsidRPr="001050AB" w:rsidRDefault="00E87F47" w:rsidP="004F5769">
      <w:pPr>
        <w:ind w:left="1440"/>
      </w:pPr>
      <w:r w:rsidRPr="001050AB">
        <w:t>All inner receptacles must:</w:t>
      </w:r>
    </w:p>
    <w:p w14:paraId="34CD22CB" w14:textId="1C38C4F1" w:rsidR="00E87F47" w:rsidRPr="001050AB" w:rsidRDefault="00E87F47" w:rsidP="004F5769">
      <w:pPr>
        <w:pStyle w:val="ListParagraph"/>
        <w:numPr>
          <w:ilvl w:val="1"/>
          <w:numId w:val="45"/>
        </w:numPr>
        <w:ind w:left="1800"/>
      </w:pPr>
      <w:r w:rsidRPr="001050AB">
        <w:t>be packed so that closures are positioned upright,</w:t>
      </w:r>
    </w:p>
    <w:p w14:paraId="3CBC9937" w14:textId="6A4F5174" w:rsidR="00E87F47" w:rsidRPr="001050AB" w:rsidRDefault="00E87F47" w:rsidP="004F5769">
      <w:pPr>
        <w:pStyle w:val="ListParagraph"/>
        <w:numPr>
          <w:ilvl w:val="1"/>
          <w:numId w:val="45"/>
        </w:numPr>
        <w:ind w:left="1800"/>
      </w:pPr>
      <w:r w:rsidRPr="001050AB">
        <w:t>be secured and surrounded by cushioning materials,</w:t>
      </w:r>
    </w:p>
    <w:p w14:paraId="2A4EBA29" w14:textId="73EDD259" w:rsidR="00E87F47" w:rsidRPr="001050AB" w:rsidRDefault="00E87F47" w:rsidP="004F5769">
      <w:pPr>
        <w:pStyle w:val="ListParagraph"/>
        <w:numPr>
          <w:ilvl w:val="1"/>
          <w:numId w:val="45"/>
        </w:numPr>
        <w:ind w:left="1800"/>
      </w:pPr>
      <w:r w:rsidRPr="001050AB">
        <w:t>be packed within an outer packaging that does not contain sharp objects such as nails or staples protruding into the interior of the outer packaging,</w:t>
      </w:r>
    </w:p>
    <w:p w14:paraId="29486EF1" w14:textId="372315D0" w:rsidR="00E87F47" w:rsidRPr="004F5769" w:rsidRDefault="00E87F47" w:rsidP="004F5769">
      <w:pPr>
        <w:pStyle w:val="ListParagraph"/>
        <w:numPr>
          <w:ilvl w:val="1"/>
          <w:numId w:val="45"/>
        </w:numPr>
        <w:ind w:left="1800"/>
        <w:rPr>
          <w:strike/>
        </w:rPr>
      </w:pPr>
      <w:r w:rsidRPr="001050AB">
        <w:t>be chemically compatible with their contents,</w:t>
      </w:r>
    </w:p>
    <w:p w14:paraId="5AD4E84B" w14:textId="5D5EC950" w:rsidR="00E87F47" w:rsidRPr="004F5769" w:rsidRDefault="00E87F47" w:rsidP="004F5769">
      <w:pPr>
        <w:pStyle w:val="ListParagraph"/>
        <w:numPr>
          <w:ilvl w:val="1"/>
          <w:numId w:val="45"/>
        </w:numPr>
        <w:ind w:left="1800"/>
        <w:rPr>
          <w:color w:val="000000"/>
        </w:rPr>
      </w:pPr>
      <w:r w:rsidRPr="001050AB">
        <w:t>contain only mixed contents that are compatible,</w:t>
      </w:r>
    </w:p>
    <w:p w14:paraId="34E06FCC" w14:textId="2E29F392" w:rsidR="00E87F47" w:rsidRPr="001050AB" w:rsidRDefault="00E87F47" w:rsidP="004F5769">
      <w:pPr>
        <w:pStyle w:val="ListParagraph"/>
        <w:numPr>
          <w:ilvl w:val="1"/>
          <w:numId w:val="45"/>
        </w:numPr>
        <w:ind w:left="1800"/>
      </w:pPr>
      <w:r w:rsidRPr="001050AB">
        <w:t>be identified.</w:t>
      </w:r>
    </w:p>
    <w:p w14:paraId="212DA3D4" w14:textId="77777777" w:rsidR="00E87F47" w:rsidRPr="001050AB" w:rsidRDefault="00E87F47" w:rsidP="00E87F47">
      <w:pPr>
        <w:rPr>
          <w:u w:val="single"/>
        </w:rPr>
      </w:pPr>
    </w:p>
    <w:p w14:paraId="6F74243F" w14:textId="77EEC2EF" w:rsidR="00E87F47" w:rsidRPr="001050AB" w:rsidRDefault="00E87F47" w:rsidP="00E87F47">
      <w:pPr>
        <w:pStyle w:val="Heading2"/>
      </w:pPr>
      <w:bookmarkStart w:id="40" w:name="_Toc117505029"/>
      <w:r w:rsidRPr="00B04301">
        <w:lastRenderedPageBreak/>
        <w:t>Separation &amp; Segregation of Hazardous Materials</w:t>
      </w:r>
      <w:bookmarkEnd w:id="40"/>
    </w:p>
    <w:p w14:paraId="559F6505" w14:textId="77777777" w:rsidR="00E87F47" w:rsidRPr="001050AB" w:rsidRDefault="00E87F47" w:rsidP="00E87F47">
      <w:pPr>
        <w:ind w:left="720"/>
      </w:pPr>
      <w:r w:rsidRPr="001050AB">
        <w:t>During storage in preparation of transportation, and during transportation, hazardous material shall be separated/segregated as prescribed by 49 CFR - 177.848 (Segregation Table For Hazardous Material).</w:t>
      </w:r>
    </w:p>
    <w:p w14:paraId="5EF34C74" w14:textId="77777777" w:rsidR="00E87F47" w:rsidRPr="001050AB" w:rsidRDefault="00E87F47" w:rsidP="00E87F47">
      <w:pPr>
        <w:ind w:left="720"/>
      </w:pPr>
    </w:p>
    <w:p w14:paraId="36C8DD9A" w14:textId="25118D08" w:rsidR="00E87F47" w:rsidRPr="00B04301" w:rsidRDefault="00E87F47" w:rsidP="00B04301">
      <w:pPr>
        <w:pStyle w:val="Heading2"/>
      </w:pPr>
      <w:bookmarkStart w:id="41" w:name="_Toc117505030"/>
      <w:r w:rsidRPr="00B04301">
        <w:t>Driver Requirements</w:t>
      </w:r>
      <w:bookmarkEnd w:id="41"/>
    </w:p>
    <w:p w14:paraId="52EA2028" w14:textId="77777777" w:rsidR="00E87F47" w:rsidRPr="001050AB" w:rsidRDefault="00E87F47" w:rsidP="00E87F47">
      <w:pPr>
        <w:ind w:left="720" w:hanging="720"/>
      </w:pPr>
    </w:p>
    <w:p w14:paraId="10120AB7" w14:textId="7D9B231B" w:rsidR="00E87F47" w:rsidRPr="007C26B3" w:rsidRDefault="00E87F47" w:rsidP="007C26B3">
      <w:pPr>
        <w:pStyle w:val="Heading3"/>
      </w:pPr>
      <w:bookmarkStart w:id="42" w:name="_Toc117505031"/>
      <w:r w:rsidRPr="007C26B3">
        <w:t>Commercial Driver's License (CDL)</w:t>
      </w:r>
      <w:bookmarkEnd w:id="42"/>
    </w:p>
    <w:p w14:paraId="1F31B85E" w14:textId="210337FF" w:rsidR="00E87F47" w:rsidRPr="001050AB" w:rsidRDefault="00E87F47" w:rsidP="00E87F47">
      <w:pPr>
        <w:ind w:left="1440"/>
      </w:pPr>
      <w:r w:rsidRPr="001050AB">
        <w:t xml:space="preserve">Employees shall possess a valid CDL if their job duties require driving a vehicle transporting hazardous material in quantities </w:t>
      </w:r>
      <w:r w:rsidRPr="001050AB">
        <w:rPr>
          <w:u w:val="single"/>
        </w:rPr>
        <w:t>&gt;</w:t>
      </w:r>
      <w:r w:rsidRPr="001050AB">
        <w:t xml:space="preserve"> 1,000 lbs., includi</w:t>
      </w:r>
      <w:r w:rsidR="00687D2D">
        <w:t>ng the weight of the packaging.</w:t>
      </w:r>
      <w:r w:rsidRPr="001050AB">
        <w:t xml:space="preserve"> This requirement applies only to </w:t>
      </w:r>
      <w:r w:rsidR="005C3485">
        <w:t>Infrastructure</w:t>
      </w:r>
      <w:r w:rsidR="00C15584">
        <w:t xml:space="preserve"> Services </w:t>
      </w:r>
      <w:r w:rsidR="005C3485">
        <w:t>Division</w:t>
      </w:r>
      <w:r w:rsidR="00C15584">
        <w:t xml:space="preserve"> </w:t>
      </w:r>
      <w:r w:rsidRPr="001050AB">
        <w:t>personnel.  All other employees are prohibited from transporting hazardous material in quantities greater than 1000 lbs.</w:t>
      </w:r>
    </w:p>
    <w:p w14:paraId="517AB63B" w14:textId="77777777" w:rsidR="00E87F47" w:rsidRPr="001050AB" w:rsidRDefault="00E87F47" w:rsidP="00E87F47">
      <w:pPr>
        <w:ind w:left="1160" w:hanging="440"/>
      </w:pPr>
    </w:p>
    <w:p w14:paraId="0474536F" w14:textId="28996B7F" w:rsidR="00E87F47" w:rsidRPr="007C26B3" w:rsidRDefault="00E87F47" w:rsidP="007C26B3">
      <w:pPr>
        <w:pStyle w:val="Heading3"/>
      </w:pPr>
      <w:bookmarkStart w:id="43" w:name="_Toc117505032"/>
      <w:r w:rsidRPr="007C26B3">
        <w:t>Prolonged Periods of Driving</w:t>
      </w:r>
      <w:bookmarkEnd w:id="43"/>
    </w:p>
    <w:p w14:paraId="7DB18B7C" w14:textId="77777777" w:rsidR="00E87F47" w:rsidRPr="001050AB" w:rsidRDefault="00E87F47" w:rsidP="00E87F47">
      <w:pPr>
        <w:ind w:left="1440"/>
      </w:pPr>
      <w:r w:rsidRPr="001050AB">
        <w:t>Employees transporting hazardous material shall follow DOT prescribed hours of work rules.</w:t>
      </w:r>
    </w:p>
    <w:p w14:paraId="1F40FCCD" w14:textId="77777777" w:rsidR="00E87F47" w:rsidRPr="001050AB" w:rsidRDefault="00E87F47" w:rsidP="00E87F47">
      <w:pPr>
        <w:ind w:left="1800" w:hanging="360"/>
      </w:pPr>
    </w:p>
    <w:p w14:paraId="738EFB16" w14:textId="5D8B439A" w:rsidR="00E87F47" w:rsidRPr="007C26B3" w:rsidRDefault="00E87F47" w:rsidP="007C26B3">
      <w:pPr>
        <w:pStyle w:val="Heading3"/>
      </w:pPr>
      <w:bookmarkStart w:id="44" w:name="_Toc117505033"/>
      <w:r w:rsidRPr="007C26B3">
        <w:t>Drug &amp; Alcohol Testing</w:t>
      </w:r>
      <w:bookmarkEnd w:id="44"/>
    </w:p>
    <w:p w14:paraId="4F43652A" w14:textId="7095C6D4" w:rsidR="00E87F47" w:rsidRPr="001050AB" w:rsidRDefault="00E87F47" w:rsidP="00E87F47">
      <w:pPr>
        <w:ind w:left="1440" w:right="-80"/>
      </w:pPr>
      <w:r w:rsidRPr="001050AB">
        <w:t>Employees possessing a CDL as required by this chapter shall receive drug &amp; alcohol testing as prescribed in the Fermilab Drug</w:t>
      </w:r>
      <w:r w:rsidR="00391895">
        <w:t xml:space="preserve"> &amp; Alcohol Program as administered by</w:t>
      </w:r>
      <w:r w:rsidRPr="001050AB">
        <w:t xml:space="preserve"> the </w:t>
      </w:r>
      <w:r w:rsidR="00391895">
        <w:t xml:space="preserve">Occupational </w:t>
      </w:r>
      <w:r w:rsidRPr="001050AB">
        <w:t xml:space="preserve">Medical </w:t>
      </w:r>
      <w:r w:rsidR="00391895">
        <w:t>Office</w:t>
      </w:r>
      <w:r w:rsidRPr="001050AB">
        <w:t xml:space="preserve"> (Wilson Hall, GF-West).</w:t>
      </w:r>
    </w:p>
    <w:p w14:paraId="678CE4EE" w14:textId="77777777" w:rsidR="00E87F47" w:rsidRPr="001050AB" w:rsidRDefault="00E87F47" w:rsidP="00E87F47">
      <w:pPr>
        <w:ind w:left="1440" w:right="-80"/>
      </w:pPr>
    </w:p>
    <w:p w14:paraId="219601DB" w14:textId="65E32327" w:rsidR="00E87F47" w:rsidRPr="007C26B3" w:rsidRDefault="00E87F47" w:rsidP="007C26B3">
      <w:pPr>
        <w:pStyle w:val="Heading3"/>
      </w:pPr>
      <w:bookmarkStart w:id="45" w:name="_Toc117505034"/>
      <w:r w:rsidRPr="007C26B3">
        <w:t>Training Requirements</w:t>
      </w:r>
      <w:bookmarkEnd w:id="45"/>
    </w:p>
    <w:p w14:paraId="12D1FA3D" w14:textId="77777777" w:rsidR="00E87F47" w:rsidRPr="001050AB" w:rsidRDefault="00E87F47" w:rsidP="00E87F47">
      <w:pPr>
        <w:pStyle w:val="BlockText"/>
        <w:rPr>
          <w:rFonts w:ascii="Times New Roman" w:hAnsi="Times New Roman"/>
          <w:color w:val="auto"/>
          <w:szCs w:val="24"/>
        </w:rPr>
      </w:pPr>
      <w:r w:rsidRPr="001050AB">
        <w:rPr>
          <w:rFonts w:ascii="Times New Roman" w:hAnsi="Times New Roman"/>
          <w:color w:val="auto"/>
          <w:szCs w:val="24"/>
        </w:rPr>
        <w:t>In addition to Hazard Communication, employees shall receive any additional training identified through the Individual Training Needs Assessment (ITNA) process.</w:t>
      </w:r>
    </w:p>
    <w:p w14:paraId="1C79BB2C" w14:textId="77777777" w:rsidR="00743B17" w:rsidRDefault="00743B17" w:rsidP="00E00D72"/>
    <w:p w14:paraId="3E631553" w14:textId="4DAFBA6B" w:rsidR="00954123" w:rsidRDefault="00954123" w:rsidP="007C26B3">
      <w:pPr>
        <w:pStyle w:val="Heading1"/>
      </w:pPr>
      <w:bookmarkStart w:id="46" w:name="_Toc117505035"/>
      <w:r>
        <w:t>5.0</w:t>
      </w:r>
      <w:r>
        <w:tab/>
        <w:t>Material Move Request</w:t>
      </w:r>
      <w:bookmarkEnd w:id="46"/>
    </w:p>
    <w:p w14:paraId="698F771B" w14:textId="77777777" w:rsidR="00954123" w:rsidRDefault="00954123" w:rsidP="002B45B0">
      <w:pPr>
        <w:ind w:firstLine="720"/>
      </w:pPr>
    </w:p>
    <w:p w14:paraId="047E671D" w14:textId="7ED34866" w:rsidR="00743B17" w:rsidRDefault="00954123" w:rsidP="00D259F5">
      <w:pPr>
        <w:ind w:left="720"/>
      </w:pPr>
      <w:r>
        <w:t>The Material Move Request (MMR) is an electronic form which can be found on-line</w:t>
      </w:r>
      <w:r w:rsidR="009D2C61">
        <w:t xml:space="preserve"> </w:t>
      </w:r>
      <w:r w:rsidR="00785CF7">
        <w:t>at</w:t>
      </w:r>
      <w:r>
        <w:t xml:space="preserve"> </w:t>
      </w:r>
      <w:hyperlink r:id="rId9" w:history="1">
        <w:r w:rsidRPr="00785CF7">
          <w:rPr>
            <w:rStyle w:val="Hyperlink"/>
          </w:rPr>
          <w:t>Service Now</w:t>
        </w:r>
      </w:hyperlink>
      <w:r w:rsidR="00785CF7">
        <w:t>, the Fermilab Service Desk.</w:t>
      </w:r>
    </w:p>
    <w:p w14:paraId="0A8D735C" w14:textId="77777777" w:rsidR="00D259F5" w:rsidRDefault="00D259F5" w:rsidP="00954123"/>
    <w:sectPr w:rsidR="00D259F5" w:rsidSect="003E371B">
      <w:headerReference w:type="even" r:id="rId10"/>
      <w:headerReference w:type="default" r:id="rId11"/>
      <w:footerReference w:type="default" r:id="rId12"/>
      <w:headerReference w:type="first" r:id="rId13"/>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89EA" w14:textId="77777777" w:rsidR="003172B7" w:rsidRDefault="003172B7" w:rsidP="00CB66DF">
      <w:r>
        <w:separator/>
      </w:r>
    </w:p>
  </w:endnote>
  <w:endnote w:type="continuationSeparator" w:id="0">
    <w:p w14:paraId="2A7D586F" w14:textId="77777777" w:rsidR="003172B7" w:rsidRDefault="003172B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ED85" w14:textId="7349236F" w:rsidR="001708CC" w:rsidRDefault="001708CC" w:rsidP="001708CC">
    <w:pPr>
      <w:pStyle w:val="Footer"/>
      <w:pBdr>
        <w:top w:val="single" w:sz="6" w:space="0" w:color="auto"/>
      </w:pBdr>
      <w:rPr>
        <w:rFonts w:ascii="Palatino" w:hAnsi="Palatino"/>
        <w:sz w:val="18"/>
      </w:rPr>
    </w:pPr>
    <w:r>
      <w:rPr>
        <w:i/>
        <w:sz w:val="18"/>
      </w:rPr>
      <w:t>Fermilab ES&amp;H Manual</w:t>
    </w:r>
    <w:r>
      <w:rPr>
        <w:i/>
        <w:sz w:val="18"/>
      </w:rPr>
      <w:tab/>
    </w:r>
    <w:r>
      <w:rPr>
        <w:i/>
        <w:sz w:val="18"/>
      </w:rPr>
      <w:tab/>
    </w:r>
    <w:r w:rsidRPr="001708CC">
      <w:rPr>
        <w:rFonts w:ascii="Palatino" w:hAnsi="Palatino"/>
        <w:i/>
        <w:sz w:val="18"/>
      </w:rPr>
      <w:t>10150-</w:t>
    </w:r>
    <w:r w:rsidRPr="001708CC">
      <w:rPr>
        <w:rFonts w:ascii="Palatino" w:hAnsi="Palatino"/>
        <w:i/>
        <w:sz w:val="18"/>
      </w:rPr>
      <w:fldChar w:fldCharType="begin"/>
    </w:r>
    <w:r w:rsidRPr="001708CC">
      <w:rPr>
        <w:rFonts w:ascii="Palatino" w:hAnsi="Palatino"/>
        <w:i/>
        <w:sz w:val="18"/>
      </w:rPr>
      <w:instrText xml:space="preserve"> PAGE  </w:instrText>
    </w:r>
    <w:r w:rsidRPr="001708CC">
      <w:rPr>
        <w:rFonts w:ascii="Palatino" w:hAnsi="Palatino"/>
        <w:i/>
        <w:sz w:val="18"/>
      </w:rPr>
      <w:fldChar w:fldCharType="separate"/>
    </w:r>
    <w:r w:rsidR="008A3E48">
      <w:rPr>
        <w:rFonts w:ascii="Palatino" w:hAnsi="Palatino"/>
        <w:i/>
        <w:noProof/>
        <w:sz w:val="18"/>
      </w:rPr>
      <w:t>1</w:t>
    </w:r>
    <w:r w:rsidRPr="001708CC">
      <w:rPr>
        <w:rFonts w:ascii="Palatino" w:hAnsi="Palatino"/>
        <w:i/>
        <w:sz w:val="18"/>
      </w:rPr>
      <w:fldChar w:fldCharType="end"/>
    </w:r>
  </w:p>
  <w:p w14:paraId="43B3B6F7" w14:textId="77777777" w:rsidR="0025755F" w:rsidRDefault="0025755F" w:rsidP="0025755F">
    <w:pPr>
      <w:pStyle w:val="Footer"/>
      <w:rPr>
        <w:rFonts w:ascii="Palatino" w:hAnsi="Palatino"/>
        <w:i/>
        <w:sz w:val="18"/>
      </w:rPr>
    </w:pPr>
  </w:p>
  <w:p w14:paraId="642367E2" w14:textId="77777777" w:rsidR="0025755F" w:rsidRDefault="0025755F" w:rsidP="0025755F">
    <w:pPr>
      <w:pStyle w:val="Footer"/>
      <w:rPr>
        <w:rFonts w:ascii="Palatino" w:hAnsi="Palatino"/>
        <w:i/>
        <w:sz w:val="18"/>
      </w:rPr>
    </w:pPr>
    <w:r w:rsidRPr="0025755F">
      <w:rPr>
        <w:rFonts w:ascii="Palatino" w:hAnsi="Palatino"/>
        <w:i/>
        <w:sz w:val="18"/>
      </w:rPr>
      <w:t xml:space="preserve">WARNING: This paper copy may be obsolete soon after it is printed. </w:t>
    </w:r>
  </w:p>
  <w:p w14:paraId="59B05547" w14:textId="6000888F" w:rsidR="002B45B0" w:rsidRPr="0025755F" w:rsidRDefault="0025755F" w:rsidP="0025755F">
    <w:pPr>
      <w:pStyle w:val="Footer"/>
      <w:rPr>
        <w:rFonts w:ascii="Palatino" w:hAnsi="Palatino"/>
        <w:i/>
        <w:sz w:val="18"/>
      </w:rPr>
    </w:pPr>
    <w:r w:rsidRPr="0025755F">
      <w:rPr>
        <w:rFonts w:ascii="Palatino" w:hAnsi="Palatino"/>
        <w:i/>
        <w:sz w:val="18"/>
      </w:rPr>
      <w:t xml:space="preserve">The current version of this FESHM Chapter is found at  </w:t>
    </w:r>
    <w:hyperlink r:id="rId1" w:history="1">
      <w:r w:rsidRPr="00D25D1A">
        <w:rPr>
          <w:rStyle w:val="Hyperlink"/>
          <w:rFonts w:ascii="Palatino" w:hAnsi="Palatino"/>
          <w:i/>
          <w:sz w:val="18"/>
        </w:rPr>
        <w:t>https://www-esh.fnal.gov/pls/default/esh_manuals.html</w:t>
      </w:r>
    </w:hyperlink>
    <w:r>
      <w:rPr>
        <w:rFonts w:ascii="Palatino" w:hAnsi="Palatino"/>
        <w:i/>
        <w:sz w:val="18"/>
      </w:rPr>
      <w:t xml:space="preserve">  </w:t>
    </w:r>
    <w:r w:rsidR="001708CC">
      <w:rPr>
        <w:sz w:val="18"/>
        <w:szCs w:val="18"/>
      </w:rPr>
      <w:t xml:space="preserve">Rev. </w:t>
    </w:r>
    <w:r>
      <w:rPr>
        <w:sz w:val="18"/>
        <w:szCs w:val="18"/>
      </w:rPr>
      <w:t>10</w:t>
    </w:r>
    <w:r w:rsidR="001708CC" w:rsidRPr="00A71082">
      <w:rPr>
        <w:sz w:val="18"/>
        <w:szCs w:val="18"/>
      </w:rPr>
      <w:t>/</w:t>
    </w:r>
    <w:r w:rsidR="0060041E">
      <w:rPr>
        <w:sz w:val="18"/>
        <w:szCs w:val="18"/>
      </w:rPr>
      <w:t>20</w:t>
    </w:r>
    <w:r>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4A4C" w14:textId="77777777" w:rsidR="003172B7" w:rsidRDefault="003172B7" w:rsidP="00CB66DF">
      <w:r>
        <w:separator/>
      </w:r>
    </w:p>
  </w:footnote>
  <w:footnote w:type="continuationSeparator" w:id="0">
    <w:p w14:paraId="26CF6948" w14:textId="77777777" w:rsidR="003172B7" w:rsidRDefault="003172B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489F" w14:textId="63DBA74F" w:rsidR="004357F6" w:rsidRDefault="00435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1"/>
      <w:gridCol w:w="2735"/>
    </w:tblGrid>
    <w:tr w:rsidR="00C52E28" w:rsidRPr="00423E3B" w14:paraId="3A07A366" w14:textId="77777777" w:rsidTr="009B589C">
      <w:trPr>
        <w:trHeight w:val="611"/>
      </w:trPr>
      <w:tc>
        <w:tcPr>
          <w:tcW w:w="2676" w:type="dxa"/>
        </w:tcPr>
        <w:p w14:paraId="291F8655" w14:textId="77777777" w:rsidR="00C52E28" w:rsidRDefault="00C52E28" w:rsidP="00C52E28">
          <w:r w:rsidRPr="00684839">
            <w:rPr>
              <w:noProof/>
            </w:rPr>
            <w:drawing>
              <wp:anchor distT="0" distB="0" distL="114300" distR="114300" simplePos="0" relativeHeight="251657216" behindDoc="0" locked="0" layoutInCell="1" allowOverlap="0" wp14:anchorId="52144849" wp14:editId="6F25F641">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1" w:type="dxa"/>
          <w:vAlign w:val="center"/>
        </w:tcPr>
        <w:p w14:paraId="397144CB" w14:textId="77777777" w:rsidR="00C52E28" w:rsidRDefault="00C52E28" w:rsidP="00C52E28">
          <w:pPr>
            <w:jc w:val="center"/>
          </w:pPr>
          <w:r>
            <w:t>ES&amp;H Manual</w:t>
          </w:r>
        </w:p>
      </w:tc>
      <w:tc>
        <w:tcPr>
          <w:tcW w:w="2735" w:type="dxa"/>
          <w:vAlign w:val="center"/>
        </w:tcPr>
        <w:p w14:paraId="4968F863" w14:textId="237F4593" w:rsidR="00C52E28" w:rsidRPr="00423E3B" w:rsidRDefault="00C52E28" w:rsidP="00C52E28">
          <w:pPr>
            <w:jc w:val="center"/>
          </w:pPr>
          <w:r>
            <w:t>FESHM 10150</w:t>
          </w:r>
        </w:p>
        <w:p w14:paraId="5B0DC33B" w14:textId="4F6E3E11" w:rsidR="00C52E28" w:rsidRPr="00423E3B" w:rsidRDefault="00517BF8" w:rsidP="00C52E28">
          <w:pPr>
            <w:jc w:val="center"/>
          </w:pPr>
          <w:r>
            <w:t>October 2022</w:t>
          </w:r>
        </w:p>
      </w:tc>
    </w:tr>
  </w:tbl>
  <w:p w14:paraId="0AD70B0C" w14:textId="7CAE75C2" w:rsidR="002B45B0" w:rsidRDefault="002B45B0"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E35E" w14:textId="3FF63853" w:rsidR="004357F6" w:rsidRDefault="00435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B007E"/>
    <w:multiLevelType w:val="multilevel"/>
    <w:tmpl w:val="13E0C63C"/>
    <w:lvl w:ilvl="0">
      <w:start w:val="4"/>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2D6E0D"/>
    <w:multiLevelType w:val="singleLevel"/>
    <w:tmpl w:val="A4560EB0"/>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A32A8E"/>
    <w:multiLevelType w:val="hybridMultilevel"/>
    <w:tmpl w:val="6EA4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A5A12"/>
    <w:multiLevelType w:val="hybridMultilevel"/>
    <w:tmpl w:val="E90AA472"/>
    <w:lvl w:ilvl="0" w:tplc="04090001">
      <w:start w:val="1"/>
      <w:numFmt w:val="bullet"/>
      <w:lvlText w:val=""/>
      <w:lvlJc w:val="left"/>
      <w:pPr>
        <w:ind w:left="1080" w:hanging="360"/>
      </w:pPr>
      <w:rPr>
        <w:rFonts w:ascii="Symbol" w:hAnsi="Symbol" w:hint="default"/>
      </w:rPr>
    </w:lvl>
    <w:lvl w:ilvl="1" w:tplc="4B8A433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E4A10"/>
    <w:multiLevelType w:val="hybridMultilevel"/>
    <w:tmpl w:val="AD145E7E"/>
    <w:lvl w:ilvl="0" w:tplc="E036F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E642A"/>
    <w:multiLevelType w:val="hybridMultilevel"/>
    <w:tmpl w:val="E326E21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731860"/>
    <w:multiLevelType w:val="multilevel"/>
    <w:tmpl w:val="89DADDBE"/>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A83957"/>
    <w:multiLevelType w:val="hybridMultilevel"/>
    <w:tmpl w:val="E13657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2E3A7F"/>
    <w:multiLevelType w:val="hybridMultilevel"/>
    <w:tmpl w:val="A5203E1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143563"/>
    <w:multiLevelType w:val="hybridMultilevel"/>
    <w:tmpl w:val="CB727B4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520E6B"/>
    <w:multiLevelType w:val="multilevel"/>
    <w:tmpl w:val="A8FC47CC"/>
    <w:lvl w:ilvl="0">
      <w:start w:val="4"/>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E41DE1"/>
    <w:multiLevelType w:val="hybridMultilevel"/>
    <w:tmpl w:val="EB20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667A9"/>
    <w:multiLevelType w:val="hybridMultilevel"/>
    <w:tmpl w:val="00924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7F02E1A"/>
    <w:multiLevelType w:val="multilevel"/>
    <w:tmpl w:val="9A5E97E2"/>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A4D569A"/>
    <w:multiLevelType w:val="hybridMultilevel"/>
    <w:tmpl w:val="1194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012D9"/>
    <w:multiLevelType w:val="multilevel"/>
    <w:tmpl w:val="85581A7E"/>
    <w:lvl w:ilvl="0">
      <w:start w:val="1"/>
      <w:numFmt w:val="decimal"/>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val="0"/>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val="0"/>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0" w15:restartNumberingAfterBreak="0">
    <w:nsid w:val="42FB653D"/>
    <w:multiLevelType w:val="hybridMultilevel"/>
    <w:tmpl w:val="3C32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20FEB"/>
    <w:multiLevelType w:val="multilevel"/>
    <w:tmpl w:val="CE0E7592"/>
    <w:lvl w:ilvl="0">
      <w:start w:val="4"/>
      <w:numFmt w:val="decimal"/>
      <w:lvlText w:val="%1"/>
      <w:lvlJc w:val="left"/>
      <w:pPr>
        <w:tabs>
          <w:tab w:val="num" w:pos="720"/>
        </w:tabs>
        <w:ind w:left="720" w:hanging="720"/>
      </w:pPr>
      <w:rPr>
        <w:rFonts w:hint="default"/>
        <w:i w:val="0"/>
      </w:rPr>
    </w:lvl>
    <w:lvl w:ilvl="1">
      <w:start w:val="4"/>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22"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3" w15:restartNumberingAfterBreak="0">
    <w:nsid w:val="48AE70C8"/>
    <w:multiLevelType w:val="multilevel"/>
    <w:tmpl w:val="130C019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9F2242"/>
    <w:multiLevelType w:val="multilevel"/>
    <w:tmpl w:val="D68C685E"/>
    <w:lvl w:ilvl="0">
      <w:start w:val="4"/>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E2454"/>
    <w:multiLevelType w:val="singleLevel"/>
    <w:tmpl w:val="A4560EB0"/>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C1C0BA7"/>
    <w:multiLevelType w:val="hybridMultilevel"/>
    <w:tmpl w:val="593EFE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EFD1581"/>
    <w:multiLevelType w:val="multilevel"/>
    <w:tmpl w:val="E6EEE602"/>
    <w:lvl w:ilvl="0">
      <w:start w:val="2"/>
      <w:numFmt w:val="decimal"/>
      <w:lvlText w:val="%1"/>
      <w:lvlJc w:val="left"/>
      <w:pPr>
        <w:tabs>
          <w:tab w:val="num" w:pos="720"/>
        </w:tabs>
        <w:ind w:left="720" w:hanging="720"/>
      </w:pPr>
      <w:rPr>
        <w:rFonts w:hint="default"/>
        <w:i w:val="0"/>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29" w15:restartNumberingAfterBreak="0">
    <w:nsid w:val="4F401B6A"/>
    <w:multiLevelType w:val="hybridMultilevel"/>
    <w:tmpl w:val="D15896F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F681B7D"/>
    <w:multiLevelType w:val="hybridMultilevel"/>
    <w:tmpl w:val="8CB0CA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B2DB9"/>
    <w:multiLevelType w:val="hybridMultilevel"/>
    <w:tmpl w:val="9AAE73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A13B94"/>
    <w:multiLevelType w:val="hybridMultilevel"/>
    <w:tmpl w:val="B0F0612E"/>
    <w:lvl w:ilvl="0" w:tplc="C1EE4FB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093689"/>
    <w:multiLevelType w:val="singleLevel"/>
    <w:tmpl w:val="A4560EB0"/>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8BB51C6"/>
    <w:multiLevelType w:val="hybridMultilevel"/>
    <w:tmpl w:val="A26EBE20"/>
    <w:lvl w:ilvl="0" w:tplc="C1EE4FB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A97ECE"/>
    <w:multiLevelType w:val="hybridMultilevel"/>
    <w:tmpl w:val="0E02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31521"/>
    <w:multiLevelType w:val="multilevel"/>
    <w:tmpl w:val="9FB6B8F0"/>
    <w:lvl w:ilvl="0">
      <w:start w:val="3"/>
      <w:numFmt w:val="decimal"/>
      <w:lvlText w:val="%1.0"/>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37" w15:restartNumberingAfterBreak="0">
    <w:nsid w:val="645308C7"/>
    <w:multiLevelType w:val="hybridMultilevel"/>
    <w:tmpl w:val="DDF8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9" w15:restartNumberingAfterBreak="0">
    <w:nsid w:val="68AA0011"/>
    <w:multiLevelType w:val="singleLevel"/>
    <w:tmpl w:val="A4560EB0"/>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EAD23D5"/>
    <w:multiLevelType w:val="hybridMultilevel"/>
    <w:tmpl w:val="78C48BF4"/>
    <w:lvl w:ilvl="0" w:tplc="C1EE4FB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707471"/>
    <w:multiLevelType w:val="hybridMultilevel"/>
    <w:tmpl w:val="CB865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8B68F0"/>
    <w:multiLevelType w:val="singleLevel"/>
    <w:tmpl w:val="A4560EB0"/>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40A6D7E"/>
    <w:multiLevelType w:val="multilevel"/>
    <w:tmpl w:val="745433D6"/>
    <w:lvl w:ilvl="0">
      <w:start w:val="4"/>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7DB672F"/>
    <w:multiLevelType w:val="multilevel"/>
    <w:tmpl w:val="6518D7E4"/>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82751A2"/>
    <w:multiLevelType w:val="hybridMultilevel"/>
    <w:tmpl w:val="06B8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2685F"/>
    <w:multiLevelType w:val="hybridMultilevel"/>
    <w:tmpl w:val="B55A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19"/>
  </w:num>
  <w:num w:numId="4">
    <w:abstractNumId w:val="8"/>
  </w:num>
  <w:num w:numId="5">
    <w:abstractNumId w:val="25"/>
  </w:num>
  <w:num w:numId="6">
    <w:abstractNumId w:val="1"/>
  </w:num>
  <w:num w:numId="7">
    <w:abstractNumId w:val="0"/>
  </w:num>
  <w:num w:numId="8">
    <w:abstractNumId w:val="18"/>
  </w:num>
  <w:num w:numId="9">
    <w:abstractNumId w:val="39"/>
  </w:num>
  <w:num w:numId="10">
    <w:abstractNumId w:val="26"/>
  </w:num>
  <w:num w:numId="11">
    <w:abstractNumId w:val="33"/>
  </w:num>
  <w:num w:numId="12">
    <w:abstractNumId w:val="42"/>
  </w:num>
  <w:num w:numId="13">
    <w:abstractNumId w:val="3"/>
  </w:num>
  <w:num w:numId="14">
    <w:abstractNumId w:val="21"/>
  </w:num>
  <w:num w:numId="15">
    <w:abstractNumId w:val="44"/>
  </w:num>
  <w:num w:numId="16">
    <w:abstractNumId w:val="28"/>
  </w:num>
  <w:num w:numId="17">
    <w:abstractNumId w:val="40"/>
  </w:num>
  <w:num w:numId="18">
    <w:abstractNumId w:val="16"/>
  </w:num>
  <w:num w:numId="19">
    <w:abstractNumId w:val="23"/>
  </w:num>
  <w:num w:numId="20">
    <w:abstractNumId w:val="36"/>
  </w:num>
  <w:num w:numId="21">
    <w:abstractNumId w:val="2"/>
  </w:num>
  <w:num w:numId="22">
    <w:abstractNumId w:val="9"/>
  </w:num>
  <w:num w:numId="23">
    <w:abstractNumId w:val="43"/>
  </w:num>
  <w:num w:numId="24">
    <w:abstractNumId w:val="24"/>
  </w:num>
  <w:num w:numId="25">
    <w:abstractNumId w:val="13"/>
  </w:num>
  <w:num w:numId="26">
    <w:abstractNumId w:val="20"/>
  </w:num>
  <w:num w:numId="27">
    <w:abstractNumId w:val="17"/>
  </w:num>
  <w:num w:numId="28">
    <w:abstractNumId w:val="41"/>
  </w:num>
  <w:num w:numId="29">
    <w:abstractNumId w:val="32"/>
  </w:num>
  <w:num w:numId="30">
    <w:abstractNumId w:val="15"/>
  </w:num>
  <w:num w:numId="31">
    <w:abstractNumId w:val="34"/>
  </w:num>
  <w:num w:numId="32">
    <w:abstractNumId w:val="31"/>
  </w:num>
  <w:num w:numId="33">
    <w:abstractNumId w:val="45"/>
  </w:num>
  <w:num w:numId="34">
    <w:abstractNumId w:val="6"/>
  </w:num>
  <w:num w:numId="35">
    <w:abstractNumId w:val="37"/>
  </w:num>
  <w:num w:numId="36">
    <w:abstractNumId w:val="46"/>
  </w:num>
  <w:num w:numId="37">
    <w:abstractNumId w:val="35"/>
  </w:num>
  <w:num w:numId="38">
    <w:abstractNumId w:val="4"/>
  </w:num>
  <w:num w:numId="39">
    <w:abstractNumId w:val="5"/>
  </w:num>
  <w:num w:numId="40">
    <w:abstractNumId w:val="10"/>
  </w:num>
  <w:num w:numId="41">
    <w:abstractNumId w:val="7"/>
  </w:num>
  <w:num w:numId="42">
    <w:abstractNumId w:val="14"/>
  </w:num>
  <w:num w:numId="43">
    <w:abstractNumId w:val="30"/>
  </w:num>
  <w:num w:numId="44">
    <w:abstractNumId w:val="12"/>
  </w:num>
  <w:num w:numId="45">
    <w:abstractNumId w:val="29"/>
  </w:num>
  <w:num w:numId="46">
    <w:abstractNumId w:val="27"/>
  </w:num>
  <w:num w:numId="4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721"/>
    <w:rsid w:val="00011BF7"/>
    <w:rsid w:val="00012C29"/>
    <w:rsid w:val="000138D9"/>
    <w:rsid w:val="000151E7"/>
    <w:rsid w:val="0001715A"/>
    <w:rsid w:val="00020B94"/>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27A9"/>
    <w:rsid w:val="000544A6"/>
    <w:rsid w:val="00056DB6"/>
    <w:rsid w:val="000578BB"/>
    <w:rsid w:val="00060903"/>
    <w:rsid w:val="00060EF6"/>
    <w:rsid w:val="00061473"/>
    <w:rsid w:val="000629F3"/>
    <w:rsid w:val="00063F1F"/>
    <w:rsid w:val="000647FC"/>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5F90"/>
    <w:rsid w:val="00096281"/>
    <w:rsid w:val="0009640E"/>
    <w:rsid w:val="000967BA"/>
    <w:rsid w:val="000A3E0D"/>
    <w:rsid w:val="000A425D"/>
    <w:rsid w:val="000A5E66"/>
    <w:rsid w:val="000B0E2E"/>
    <w:rsid w:val="000B1B47"/>
    <w:rsid w:val="000B6364"/>
    <w:rsid w:val="000B6567"/>
    <w:rsid w:val="000B6A9B"/>
    <w:rsid w:val="000B6B6E"/>
    <w:rsid w:val="000C0F6D"/>
    <w:rsid w:val="000C4FB0"/>
    <w:rsid w:val="000C5636"/>
    <w:rsid w:val="000C6331"/>
    <w:rsid w:val="000C71AD"/>
    <w:rsid w:val="000C7994"/>
    <w:rsid w:val="000D046F"/>
    <w:rsid w:val="000D19A3"/>
    <w:rsid w:val="000D30D7"/>
    <w:rsid w:val="000D4910"/>
    <w:rsid w:val="000D4CBA"/>
    <w:rsid w:val="000D7FF2"/>
    <w:rsid w:val="000E2AF0"/>
    <w:rsid w:val="000E75E9"/>
    <w:rsid w:val="000F73F8"/>
    <w:rsid w:val="00100751"/>
    <w:rsid w:val="00100EF6"/>
    <w:rsid w:val="001018F5"/>
    <w:rsid w:val="00102003"/>
    <w:rsid w:val="0010257B"/>
    <w:rsid w:val="001033FA"/>
    <w:rsid w:val="001034A8"/>
    <w:rsid w:val="00105BDC"/>
    <w:rsid w:val="00111D51"/>
    <w:rsid w:val="0011230C"/>
    <w:rsid w:val="00112583"/>
    <w:rsid w:val="00112AE3"/>
    <w:rsid w:val="00113419"/>
    <w:rsid w:val="001160E1"/>
    <w:rsid w:val="00120D90"/>
    <w:rsid w:val="00121965"/>
    <w:rsid w:val="00124813"/>
    <w:rsid w:val="00130521"/>
    <w:rsid w:val="00131A6B"/>
    <w:rsid w:val="00134F2E"/>
    <w:rsid w:val="001358C6"/>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5337"/>
    <w:rsid w:val="001671F2"/>
    <w:rsid w:val="001675C4"/>
    <w:rsid w:val="00167EFC"/>
    <w:rsid w:val="001708CC"/>
    <w:rsid w:val="001727E1"/>
    <w:rsid w:val="00173225"/>
    <w:rsid w:val="00173293"/>
    <w:rsid w:val="00175BCA"/>
    <w:rsid w:val="00177097"/>
    <w:rsid w:val="00177CD0"/>
    <w:rsid w:val="00180D9E"/>
    <w:rsid w:val="00181736"/>
    <w:rsid w:val="00181C2B"/>
    <w:rsid w:val="00182587"/>
    <w:rsid w:val="00187F2A"/>
    <w:rsid w:val="0019249C"/>
    <w:rsid w:val="00192D5D"/>
    <w:rsid w:val="00194594"/>
    <w:rsid w:val="00194E14"/>
    <w:rsid w:val="001951AE"/>
    <w:rsid w:val="00195AF3"/>
    <w:rsid w:val="001A2707"/>
    <w:rsid w:val="001A2CF3"/>
    <w:rsid w:val="001A2D45"/>
    <w:rsid w:val="001A3403"/>
    <w:rsid w:val="001A74A8"/>
    <w:rsid w:val="001B3236"/>
    <w:rsid w:val="001B33CF"/>
    <w:rsid w:val="001B5668"/>
    <w:rsid w:val="001B623B"/>
    <w:rsid w:val="001B6A20"/>
    <w:rsid w:val="001C167C"/>
    <w:rsid w:val="001D4317"/>
    <w:rsid w:val="001D435E"/>
    <w:rsid w:val="001D7801"/>
    <w:rsid w:val="001E0BD5"/>
    <w:rsid w:val="001E199A"/>
    <w:rsid w:val="001E20EF"/>
    <w:rsid w:val="001E221D"/>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5CB"/>
    <w:rsid w:val="002078BB"/>
    <w:rsid w:val="00207EAC"/>
    <w:rsid w:val="00210CB6"/>
    <w:rsid w:val="002149DE"/>
    <w:rsid w:val="0022039C"/>
    <w:rsid w:val="00221181"/>
    <w:rsid w:val="00224423"/>
    <w:rsid w:val="002308AA"/>
    <w:rsid w:val="00230C9C"/>
    <w:rsid w:val="00231245"/>
    <w:rsid w:val="002360FC"/>
    <w:rsid w:val="00237834"/>
    <w:rsid w:val="00240A0C"/>
    <w:rsid w:val="00241C70"/>
    <w:rsid w:val="002423A5"/>
    <w:rsid w:val="0024351D"/>
    <w:rsid w:val="002441F5"/>
    <w:rsid w:val="0024447E"/>
    <w:rsid w:val="00244E31"/>
    <w:rsid w:val="002452C2"/>
    <w:rsid w:val="002537CB"/>
    <w:rsid w:val="00256813"/>
    <w:rsid w:val="0025755F"/>
    <w:rsid w:val="002601EE"/>
    <w:rsid w:val="00263F3B"/>
    <w:rsid w:val="00264C47"/>
    <w:rsid w:val="00265ED9"/>
    <w:rsid w:val="00266C7B"/>
    <w:rsid w:val="00267A46"/>
    <w:rsid w:val="0027397C"/>
    <w:rsid w:val="0027613C"/>
    <w:rsid w:val="00276AB1"/>
    <w:rsid w:val="002806B7"/>
    <w:rsid w:val="0028562B"/>
    <w:rsid w:val="00285A6D"/>
    <w:rsid w:val="00285CFC"/>
    <w:rsid w:val="002900AF"/>
    <w:rsid w:val="00295187"/>
    <w:rsid w:val="00295D6F"/>
    <w:rsid w:val="0029668C"/>
    <w:rsid w:val="002A2187"/>
    <w:rsid w:val="002A6EDC"/>
    <w:rsid w:val="002A71D3"/>
    <w:rsid w:val="002B0B0A"/>
    <w:rsid w:val="002B107E"/>
    <w:rsid w:val="002B2D45"/>
    <w:rsid w:val="002B45B0"/>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1B79"/>
    <w:rsid w:val="003048EB"/>
    <w:rsid w:val="003064C6"/>
    <w:rsid w:val="003108FF"/>
    <w:rsid w:val="003129BC"/>
    <w:rsid w:val="003172B7"/>
    <w:rsid w:val="00320751"/>
    <w:rsid w:val="00320BE0"/>
    <w:rsid w:val="00321CC4"/>
    <w:rsid w:val="00324707"/>
    <w:rsid w:val="0033008F"/>
    <w:rsid w:val="003314AE"/>
    <w:rsid w:val="003316D5"/>
    <w:rsid w:val="00331B7E"/>
    <w:rsid w:val="00332CE2"/>
    <w:rsid w:val="00333547"/>
    <w:rsid w:val="0033452E"/>
    <w:rsid w:val="00334D1F"/>
    <w:rsid w:val="00336470"/>
    <w:rsid w:val="00337B75"/>
    <w:rsid w:val="003413F8"/>
    <w:rsid w:val="00341753"/>
    <w:rsid w:val="00341D6E"/>
    <w:rsid w:val="00342FDF"/>
    <w:rsid w:val="003447F8"/>
    <w:rsid w:val="0034499D"/>
    <w:rsid w:val="0034678F"/>
    <w:rsid w:val="003477BB"/>
    <w:rsid w:val="00352848"/>
    <w:rsid w:val="003559A3"/>
    <w:rsid w:val="00355F6A"/>
    <w:rsid w:val="00361AC4"/>
    <w:rsid w:val="00365CB6"/>
    <w:rsid w:val="00366ED2"/>
    <w:rsid w:val="0036718E"/>
    <w:rsid w:val="00370122"/>
    <w:rsid w:val="00371A11"/>
    <w:rsid w:val="00373B2D"/>
    <w:rsid w:val="00375FF1"/>
    <w:rsid w:val="0037790C"/>
    <w:rsid w:val="00380ED8"/>
    <w:rsid w:val="00384B57"/>
    <w:rsid w:val="00385246"/>
    <w:rsid w:val="00385787"/>
    <w:rsid w:val="0039062C"/>
    <w:rsid w:val="00391326"/>
    <w:rsid w:val="003913FD"/>
    <w:rsid w:val="00391895"/>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58AE"/>
    <w:rsid w:val="003E0245"/>
    <w:rsid w:val="003E2680"/>
    <w:rsid w:val="003E2A77"/>
    <w:rsid w:val="003E2CCD"/>
    <w:rsid w:val="003E371B"/>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30A76"/>
    <w:rsid w:val="00430F28"/>
    <w:rsid w:val="00433BFB"/>
    <w:rsid w:val="0043512A"/>
    <w:rsid w:val="004357F6"/>
    <w:rsid w:val="00436D22"/>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B4860"/>
    <w:rsid w:val="004C3431"/>
    <w:rsid w:val="004C3C32"/>
    <w:rsid w:val="004D0ADB"/>
    <w:rsid w:val="004E061F"/>
    <w:rsid w:val="004E0DEC"/>
    <w:rsid w:val="004E39E4"/>
    <w:rsid w:val="004E3FFF"/>
    <w:rsid w:val="004E4131"/>
    <w:rsid w:val="004E4E33"/>
    <w:rsid w:val="004E561F"/>
    <w:rsid w:val="004E767D"/>
    <w:rsid w:val="004F0A28"/>
    <w:rsid w:val="004F254C"/>
    <w:rsid w:val="004F26A5"/>
    <w:rsid w:val="004F4540"/>
    <w:rsid w:val="004F5769"/>
    <w:rsid w:val="004F69E5"/>
    <w:rsid w:val="005006F2"/>
    <w:rsid w:val="00500D7F"/>
    <w:rsid w:val="0050301A"/>
    <w:rsid w:val="0050529C"/>
    <w:rsid w:val="00507CCC"/>
    <w:rsid w:val="00510511"/>
    <w:rsid w:val="00514461"/>
    <w:rsid w:val="00517BF8"/>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4C0F"/>
    <w:rsid w:val="005955E8"/>
    <w:rsid w:val="00597536"/>
    <w:rsid w:val="00597E1A"/>
    <w:rsid w:val="005A01EA"/>
    <w:rsid w:val="005A0424"/>
    <w:rsid w:val="005A051F"/>
    <w:rsid w:val="005A28DE"/>
    <w:rsid w:val="005A345A"/>
    <w:rsid w:val="005A581D"/>
    <w:rsid w:val="005A5829"/>
    <w:rsid w:val="005A6337"/>
    <w:rsid w:val="005A64E9"/>
    <w:rsid w:val="005A78C3"/>
    <w:rsid w:val="005B2589"/>
    <w:rsid w:val="005B2D92"/>
    <w:rsid w:val="005B44F1"/>
    <w:rsid w:val="005C023D"/>
    <w:rsid w:val="005C1138"/>
    <w:rsid w:val="005C1721"/>
    <w:rsid w:val="005C3485"/>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E6E07"/>
    <w:rsid w:val="005F0345"/>
    <w:rsid w:val="005F3DAF"/>
    <w:rsid w:val="005F421A"/>
    <w:rsid w:val="0060041E"/>
    <w:rsid w:val="006078FB"/>
    <w:rsid w:val="00610220"/>
    <w:rsid w:val="006104CF"/>
    <w:rsid w:val="00612F85"/>
    <w:rsid w:val="006155E5"/>
    <w:rsid w:val="006162B3"/>
    <w:rsid w:val="00616CEB"/>
    <w:rsid w:val="0062501B"/>
    <w:rsid w:val="0062521B"/>
    <w:rsid w:val="0062566D"/>
    <w:rsid w:val="00626A77"/>
    <w:rsid w:val="00627DBD"/>
    <w:rsid w:val="00630A95"/>
    <w:rsid w:val="00631C53"/>
    <w:rsid w:val="00634122"/>
    <w:rsid w:val="00635911"/>
    <w:rsid w:val="00635BAF"/>
    <w:rsid w:val="00636BFB"/>
    <w:rsid w:val="00640557"/>
    <w:rsid w:val="0064112C"/>
    <w:rsid w:val="00643A5B"/>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5945"/>
    <w:rsid w:val="00666919"/>
    <w:rsid w:val="00672E7C"/>
    <w:rsid w:val="00675B41"/>
    <w:rsid w:val="00675D60"/>
    <w:rsid w:val="00677CDB"/>
    <w:rsid w:val="00687887"/>
    <w:rsid w:val="00687D2D"/>
    <w:rsid w:val="00692AB4"/>
    <w:rsid w:val="0069414A"/>
    <w:rsid w:val="006A4814"/>
    <w:rsid w:val="006A7918"/>
    <w:rsid w:val="006B037A"/>
    <w:rsid w:val="006B06BF"/>
    <w:rsid w:val="006B1391"/>
    <w:rsid w:val="006B60F9"/>
    <w:rsid w:val="006B6510"/>
    <w:rsid w:val="006C1FFA"/>
    <w:rsid w:val="006C29EA"/>
    <w:rsid w:val="006C45EF"/>
    <w:rsid w:val="006C4812"/>
    <w:rsid w:val="006C607F"/>
    <w:rsid w:val="006C7429"/>
    <w:rsid w:val="006D0A0A"/>
    <w:rsid w:val="006D1409"/>
    <w:rsid w:val="006D21C5"/>
    <w:rsid w:val="006D49B3"/>
    <w:rsid w:val="006D5801"/>
    <w:rsid w:val="006D68A2"/>
    <w:rsid w:val="006D7074"/>
    <w:rsid w:val="006E1CA8"/>
    <w:rsid w:val="006E6054"/>
    <w:rsid w:val="006E6B33"/>
    <w:rsid w:val="006E7F4F"/>
    <w:rsid w:val="006F1673"/>
    <w:rsid w:val="006F7496"/>
    <w:rsid w:val="00700ECB"/>
    <w:rsid w:val="00706514"/>
    <w:rsid w:val="007109F4"/>
    <w:rsid w:val="00713C77"/>
    <w:rsid w:val="00716B09"/>
    <w:rsid w:val="00721E35"/>
    <w:rsid w:val="00722A85"/>
    <w:rsid w:val="007254D8"/>
    <w:rsid w:val="007271A3"/>
    <w:rsid w:val="00735190"/>
    <w:rsid w:val="00735B88"/>
    <w:rsid w:val="007379E1"/>
    <w:rsid w:val="00742C58"/>
    <w:rsid w:val="00743B17"/>
    <w:rsid w:val="00743FAE"/>
    <w:rsid w:val="00746A06"/>
    <w:rsid w:val="00747685"/>
    <w:rsid w:val="00747CA7"/>
    <w:rsid w:val="007509AD"/>
    <w:rsid w:val="007517A1"/>
    <w:rsid w:val="00754D91"/>
    <w:rsid w:val="00762C2D"/>
    <w:rsid w:val="007637C5"/>
    <w:rsid w:val="00764DC9"/>
    <w:rsid w:val="00765DBA"/>
    <w:rsid w:val="0076611E"/>
    <w:rsid w:val="00771C17"/>
    <w:rsid w:val="00774629"/>
    <w:rsid w:val="007774FE"/>
    <w:rsid w:val="0078282A"/>
    <w:rsid w:val="007852F2"/>
    <w:rsid w:val="00785CF7"/>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26B3"/>
    <w:rsid w:val="007C6A2B"/>
    <w:rsid w:val="007D1D5E"/>
    <w:rsid w:val="007D1E56"/>
    <w:rsid w:val="007D5A75"/>
    <w:rsid w:val="007E0D20"/>
    <w:rsid w:val="007E0E8C"/>
    <w:rsid w:val="007E1C72"/>
    <w:rsid w:val="007E260E"/>
    <w:rsid w:val="007E26F1"/>
    <w:rsid w:val="007E5BBC"/>
    <w:rsid w:val="007E762A"/>
    <w:rsid w:val="007F17C4"/>
    <w:rsid w:val="007F1B9E"/>
    <w:rsid w:val="007F4C3F"/>
    <w:rsid w:val="007F5BBF"/>
    <w:rsid w:val="00801E6D"/>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47072"/>
    <w:rsid w:val="00851803"/>
    <w:rsid w:val="00852E46"/>
    <w:rsid w:val="008532CC"/>
    <w:rsid w:val="008564AB"/>
    <w:rsid w:val="008608FA"/>
    <w:rsid w:val="00861AAD"/>
    <w:rsid w:val="008620B7"/>
    <w:rsid w:val="008622DD"/>
    <w:rsid w:val="00863AA2"/>
    <w:rsid w:val="008648A9"/>
    <w:rsid w:val="00865177"/>
    <w:rsid w:val="00866DC4"/>
    <w:rsid w:val="00871823"/>
    <w:rsid w:val="008720E3"/>
    <w:rsid w:val="008728F9"/>
    <w:rsid w:val="008729A4"/>
    <w:rsid w:val="0087342B"/>
    <w:rsid w:val="00873FC9"/>
    <w:rsid w:val="008768A4"/>
    <w:rsid w:val="008844F1"/>
    <w:rsid w:val="00884552"/>
    <w:rsid w:val="008858C7"/>
    <w:rsid w:val="00892A5D"/>
    <w:rsid w:val="00893ACF"/>
    <w:rsid w:val="008A2DD0"/>
    <w:rsid w:val="008A311F"/>
    <w:rsid w:val="008A3E48"/>
    <w:rsid w:val="008A52FB"/>
    <w:rsid w:val="008A7D0C"/>
    <w:rsid w:val="008B2331"/>
    <w:rsid w:val="008B4030"/>
    <w:rsid w:val="008B4F4A"/>
    <w:rsid w:val="008B5A3F"/>
    <w:rsid w:val="008B5C45"/>
    <w:rsid w:val="008B6836"/>
    <w:rsid w:val="008C0B64"/>
    <w:rsid w:val="008C214E"/>
    <w:rsid w:val="008C2C8E"/>
    <w:rsid w:val="008C3D69"/>
    <w:rsid w:val="008C4FE1"/>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3FB9"/>
    <w:rsid w:val="00905E67"/>
    <w:rsid w:val="009062A9"/>
    <w:rsid w:val="00906E7C"/>
    <w:rsid w:val="00911216"/>
    <w:rsid w:val="00912006"/>
    <w:rsid w:val="009121E5"/>
    <w:rsid w:val="009126F0"/>
    <w:rsid w:val="009127B9"/>
    <w:rsid w:val="00912F61"/>
    <w:rsid w:val="00920AAC"/>
    <w:rsid w:val="0092515C"/>
    <w:rsid w:val="0092672F"/>
    <w:rsid w:val="009272B7"/>
    <w:rsid w:val="00930E9D"/>
    <w:rsid w:val="00931484"/>
    <w:rsid w:val="009349E5"/>
    <w:rsid w:val="00936BFE"/>
    <w:rsid w:val="0094044D"/>
    <w:rsid w:val="00941B62"/>
    <w:rsid w:val="00943CD3"/>
    <w:rsid w:val="009462A5"/>
    <w:rsid w:val="009533AB"/>
    <w:rsid w:val="00954123"/>
    <w:rsid w:val="009571BC"/>
    <w:rsid w:val="0096026A"/>
    <w:rsid w:val="009607B3"/>
    <w:rsid w:val="00962080"/>
    <w:rsid w:val="00963616"/>
    <w:rsid w:val="00965807"/>
    <w:rsid w:val="00965811"/>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1C0C"/>
    <w:rsid w:val="009A2BC3"/>
    <w:rsid w:val="009A2DDA"/>
    <w:rsid w:val="009A50E6"/>
    <w:rsid w:val="009A533C"/>
    <w:rsid w:val="009A59F3"/>
    <w:rsid w:val="009A7DC7"/>
    <w:rsid w:val="009B5422"/>
    <w:rsid w:val="009B6E93"/>
    <w:rsid w:val="009C0657"/>
    <w:rsid w:val="009C1E06"/>
    <w:rsid w:val="009D2C61"/>
    <w:rsid w:val="009D6173"/>
    <w:rsid w:val="009E2A1B"/>
    <w:rsid w:val="009E3E4D"/>
    <w:rsid w:val="009E4086"/>
    <w:rsid w:val="009E4D6D"/>
    <w:rsid w:val="009E5CCE"/>
    <w:rsid w:val="009F01C3"/>
    <w:rsid w:val="009F1C25"/>
    <w:rsid w:val="009F6609"/>
    <w:rsid w:val="009F6853"/>
    <w:rsid w:val="00A00040"/>
    <w:rsid w:val="00A031B0"/>
    <w:rsid w:val="00A03519"/>
    <w:rsid w:val="00A06079"/>
    <w:rsid w:val="00A07DD6"/>
    <w:rsid w:val="00A10A70"/>
    <w:rsid w:val="00A110F1"/>
    <w:rsid w:val="00A14FE3"/>
    <w:rsid w:val="00A17AD0"/>
    <w:rsid w:val="00A21390"/>
    <w:rsid w:val="00A216A7"/>
    <w:rsid w:val="00A22817"/>
    <w:rsid w:val="00A2408C"/>
    <w:rsid w:val="00A24907"/>
    <w:rsid w:val="00A26795"/>
    <w:rsid w:val="00A27ED9"/>
    <w:rsid w:val="00A3104E"/>
    <w:rsid w:val="00A341B7"/>
    <w:rsid w:val="00A34F04"/>
    <w:rsid w:val="00A4075B"/>
    <w:rsid w:val="00A428EF"/>
    <w:rsid w:val="00A4316F"/>
    <w:rsid w:val="00A4491A"/>
    <w:rsid w:val="00A4496F"/>
    <w:rsid w:val="00A4679F"/>
    <w:rsid w:val="00A50F2A"/>
    <w:rsid w:val="00A50F36"/>
    <w:rsid w:val="00A524DE"/>
    <w:rsid w:val="00A5262D"/>
    <w:rsid w:val="00A56003"/>
    <w:rsid w:val="00A619B5"/>
    <w:rsid w:val="00A63EE9"/>
    <w:rsid w:val="00A66EB0"/>
    <w:rsid w:val="00A70984"/>
    <w:rsid w:val="00A71082"/>
    <w:rsid w:val="00A77CCE"/>
    <w:rsid w:val="00A77F46"/>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4301"/>
    <w:rsid w:val="00B05624"/>
    <w:rsid w:val="00B05E7F"/>
    <w:rsid w:val="00B061FD"/>
    <w:rsid w:val="00B07AE5"/>
    <w:rsid w:val="00B14F1F"/>
    <w:rsid w:val="00B172BB"/>
    <w:rsid w:val="00B17AC0"/>
    <w:rsid w:val="00B17E19"/>
    <w:rsid w:val="00B26D1E"/>
    <w:rsid w:val="00B2787F"/>
    <w:rsid w:val="00B32ABB"/>
    <w:rsid w:val="00B32E1C"/>
    <w:rsid w:val="00B332E8"/>
    <w:rsid w:val="00B40A00"/>
    <w:rsid w:val="00B43813"/>
    <w:rsid w:val="00B44E0F"/>
    <w:rsid w:val="00B44E2B"/>
    <w:rsid w:val="00B45D2F"/>
    <w:rsid w:val="00B52157"/>
    <w:rsid w:val="00B53C8F"/>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954B1"/>
    <w:rsid w:val="00BA173E"/>
    <w:rsid w:val="00BA4B5A"/>
    <w:rsid w:val="00BA70C1"/>
    <w:rsid w:val="00BB148B"/>
    <w:rsid w:val="00BB335B"/>
    <w:rsid w:val="00BB4B88"/>
    <w:rsid w:val="00BB50D0"/>
    <w:rsid w:val="00BB655D"/>
    <w:rsid w:val="00BB6D37"/>
    <w:rsid w:val="00BC28A6"/>
    <w:rsid w:val="00BC2F65"/>
    <w:rsid w:val="00BC3922"/>
    <w:rsid w:val="00BC3D90"/>
    <w:rsid w:val="00BC51AA"/>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5584"/>
    <w:rsid w:val="00C16468"/>
    <w:rsid w:val="00C17904"/>
    <w:rsid w:val="00C21783"/>
    <w:rsid w:val="00C23BCB"/>
    <w:rsid w:val="00C23CE8"/>
    <w:rsid w:val="00C23E17"/>
    <w:rsid w:val="00C263FE"/>
    <w:rsid w:val="00C278EC"/>
    <w:rsid w:val="00C33CAA"/>
    <w:rsid w:val="00C34507"/>
    <w:rsid w:val="00C34C1B"/>
    <w:rsid w:val="00C362BD"/>
    <w:rsid w:val="00C3655E"/>
    <w:rsid w:val="00C36F9E"/>
    <w:rsid w:val="00C42208"/>
    <w:rsid w:val="00C5272C"/>
    <w:rsid w:val="00C52B6D"/>
    <w:rsid w:val="00C52E28"/>
    <w:rsid w:val="00C52E94"/>
    <w:rsid w:val="00C54343"/>
    <w:rsid w:val="00C54A92"/>
    <w:rsid w:val="00C54C04"/>
    <w:rsid w:val="00C552C0"/>
    <w:rsid w:val="00C55913"/>
    <w:rsid w:val="00C57CFB"/>
    <w:rsid w:val="00C6359A"/>
    <w:rsid w:val="00C66483"/>
    <w:rsid w:val="00C67525"/>
    <w:rsid w:val="00C706A1"/>
    <w:rsid w:val="00C71B3D"/>
    <w:rsid w:val="00C72DC0"/>
    <w:rsid w:val="00C73EA3"/>
    <w:rsid w:val="00C810D3"/>
    <w:rsid w:val="00C8140D"/>
    <w:rsid w:val="00C81794"/>
    <w:rsid w:val="00C8490B"/>
    <w:rsid w:val="00C925E3"/>
    <w:rsid w:val="00C937D6"/>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8B2"/>
    <w:rsid w:val="00D07C9B"/>
    <w:rsid w:val="00D115E0"/>
    <w:rsid w:val="00D116F4"/>
    <w:rsid w:val="00D134D5"/>
    <w:rsid w:val="00D170C7"/>
    <w:rsid w:val="00D1799A"/>
    <w:rsid w:val="00D203C9"/>
    <w:rsid w:val="00D2151F"/>
    <w:rsid w:val="00D238C7"/>
    <w:rsid w:val="00D24040"/>
    <w:rsid w:val="00D259F5"/>
    <w:rsid w:val="00D26582"/>
    <w:rsid w:val="00D26594"/>
    <w:rsid w:val="00D26645"/>
    <w:rsid w:val="00D30623"/>
    <w:rsid w:val="00D3370B"/>
    <w:rsid w:val="00D349E4"/>
    <w:rsid w:val="00D35457"/>
    <w:rsid w:val="00D3762D"/>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0165"/>
    <w:rsid w:val="00D92045"/>
    <w:rsid w:val="00D93737"/>
    <w:rsid w:val="00D96981"/>
    <w:rsid w:val="00D96B2A"/>
    <w:rsid w:val="00D9770E"/>
    <w:rsid w:val="00DA1C1E"/>
    <w:rsid w:val="00DA1E29"/>
    <w:rsid w:val="00DA2737"/>
    <w:rsid w:val="00DA580F"/>
    <w:rsid w:val="00DA592B"/>
    <w:rsid w:val="00DA5E98"/>
    <w:rsid w:val="00DA6860"/>
    <w:rsid w:val="00DA6F04"/>
    <w:rsid w:val="00DB097C"/>
    <w:rsid w:val="00DB1F4E"/>
    <w:rsid w:val="00DB5D5A"/>
    <w:rsid w:val="00DB627C"/>
    <w:rsid w:val="00DB63E7"/>
    <w:rsid w:val="00DB6B03"/>
    <w:rsid w:val="00DB71AC"/>
    <w:rsid w:val="00DB7754"/>
    <w:rsid w:val="00DC289E"/>
    <w:rsid w:val="00DC3A1B"/>
    <w:rsid w:val="00DC635A"/>
    <w:rsid w:val="00DD36A7"/>
    <w:rsid w:val="00DD5ECC"/>
    <w:rsid w:val="00DD6AD0"/>
    <w:rsid w:val="00DD6D2F"/>
    <w:rsid w:val="00DD71DC"/>
    <w:rsid w:val="00DE2BC0"/>
    <w:rsid w:val="00DE3125"/>
    <w:rsid w:val="00DE35C0"/>
    <w:rsid w:val="00DE409C"/>
    <w:rsid w:val="00DE4955"/>
    <w:rsid w:val="00DE5369"/>
    <w:rsid w:val="00DF1234"/>
    <w:rsid w:val="00DF4E88"/>
    <w:rsid w:val="00DF66D9"/>
    <w:rsid w:val="00DF6F1D"/>
    <w:rsid w:val="00DF782C"/>
    <w:rsid w:val="00E00D72"/>
    <w:rsid w:val="00E00E61"/>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37688"/>
    <w:rsid w:val="00E46554"/>
    <w:rsid w:val="00E46C36"/>
    <w:rsid w:val="00E47427"/>
    <w:rsid w:val="00E47E94"/>
    <w:rsid w:val="00E546F1"/>
    <w:rsid w:val="00E5651F"/>
    <w:rsid w:val="00E57C3E"/>
    <w:rsid w:val="00E66004"/>
    <w:rsid w:val="00E668BC"/>
    <w:rsid w:val="00E7004C"/>
    <w:rsid w:val="00E70F81"/>
    <w:rsid w:val="00E720D5"/>
    <w:rsid w:val="00E72DD6"/>
    <w:rsid w:val="00E7401A"/>
    <w:rsid w:val="00E76B87"/>
    <w:rsid w:val="00E7783D"/>
    <w:rsid w:val="00E814FF"/>
    <w:rsid w:val="00E86128"/>
    <w:rsid w:val="00E87F47"/>
    <w:rsid w:val="00E91BA9"/>
    <w:rsid w:val="00EA09FC"/>
    <w:rsid w:val="00EA6DEF"/>
    <w:rsid w:val="00EA7011"/>
    <w:rsid w:val="00EB39F6"/>
    <w:rsid w:val="00EB3C8E"/>
    <w:rsid w:val="00EB4DA0"/>
    <w:rsid w:val="00EB6851"/>
    <w:rsid w:val="00EC23F0"/>
    <w:rsid w:val="00EC5CA2"/>
    <w:rsid w:val="00ED1BA3"/>
    <w:rsid w:val="00ED50DE"/>
    <w:rsid w:val="00EE103C"/>
    <w:rsid w:val="00EE1374"/>
    <w:rsid w:val="00EE1663"/>
    <w:rsid w:val="00EE1FAA"/>
    <w:rsid w:val="00EE2298"/>
    <w:rsid w:val="00EE28AC"/>
    <w:rsid w:val="00EE4743"/>
    <w:rsid w:val="00EE6681"/>
    <w:rsid w:val="00EF0818"/>
    <w:rsid w:val="00EF09A4"/>
    <w:rsid w:val="00EF24C9"/>
    <w:rsid w:val="00EF2898"/>
    <w:rsid w:val="00EF3D96"/>
    <w:rsid w:val="00EF4B10"/>
    <w:rsid w:val="00EF5DF3"/>
    <w:rsid w:val="00F01357"/>
    <w:rsid w:val="00F03199"/>
    <w:rsid w:val="00F04891"/>
    <w:rsid w:val="00F05B42"/>
    <w:rsid w:val="00F06C2A"/>
    <w:rsid w:val="00F0718C"/>
    <w:rsid w:val="00F1067A"/>
    <w:rsid w:val="00F12448"/>
    <w:rsid w:val="00F12EB7"/>
    <w:rsid w:val="00F15359"/>
    <w:rsid w:val="00F16D53"/>
    <w:rsid w:val="00F21C2E"/>
    <w:rsid w:val="00F21D42"/>
    <w:rsid w:val="00F242D4"/>
    <w:rsid w:val="00F24FF4"/>
    <w:rsid w:val="00F30C86"/>
    <w:rsid w:val="00F329E0"/>
    <w:rsid w:val="00F32AF2"/>
    <w:rsid w:val="00F33E7D"/>
    <w:rsid w:val="00F35988"/>
    <w:rsid w:val="00F362C5"/>
    <w:rsid w:val="00F43368"/>
    <w:rsid w:val="00F43EC4"/>
    <w:rsid w:val="00F461BE"/>
    <w:rsid w:val="00F46BB4"/>
    <w:rsid w:val="00F4760A"/>
    <w:rsid w:val="00F47943"/>
    <w:rsid w:val="00F60496"/>
    <w:rsid w:val="00F604F7"/>
    <w:rsid w:val="00F619D6"/>
    <w:rsid w:val="00F622FC"/>
    <w:rsid w:val="00F6531C"/>
    <w:rsid w:val="00F655E2"/>
    <w:rsid w:val="00F66BC7"/>
    <w:rsid w:val="00F674B6"/>
    <w:rsid w:val="00F7117D"/>
    <w:rsid w:val="00F7209F"/>
    <w:rsid w:val="00F723A7"/>
    <w:rsid w:val="00F73FE6"/>
    <w:rsid w:val="00F777A7"/>
    <w:rsid w:val="00F8284F"/>
    <w:rsid w:val="00F82A11"/>
    <w:rsid w:val="00F8337F"/>
    <w:rsid w:val="00F86384"/>
    <w:rsid w:val="00F92D40"/>
    <w:rsid w:val="00F942C2"/>
    <w:rsid w:val="00F96059"/>
    <w:rsid w:val="00F97800"/>
    <w:rsid w:val="00F97E82"/>
    <w:rsid w:val="00FA1EB1"/>
    <w:rsid w:val="00FA2CC9"/>
    <w:rsid w:val="00FA370A"/>
    <w:rsid w:val="00FB0ABC"/>
    <w:rsid w:val="00FB4FB5"/>
    <w:rsid w:val="00FB5B24"/>
    <w:rsid w:val="00FB6BF7"/>
    <w:rsid w:val="00FB725D"/>
    <w:rsid w:val="00FC540F"/>
    <w:rsid w:val="00FC5736"/>
    <w:rsid w:val="00FC7A57"/>
    <w:rsid w:val="00FD2D88"/>
    <w:rsid w:val="00FD5948"/>
    <w:rsid w:val="00FD5BF2"/>
    <w:rsid w:val="00FD7CE0"/>
    <w:rsid w:val="00FD7F21"/>
    <w:rsid w:val="00FE1C3E"/>
    <w:rsid w:val="00FE341E"/>
    <w:rsid w:val="00FE5FAB"/>
    <w:rsid w:val="00FE6869"/>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mso-position-vertical-relative:line" fillcolor="yellow">
      <v:fill color="yellow"/>
      <v:textbox style="mso-fit-shape-to-text:t"/>
    </o:shapedefaults>
    <o:shapelayout v:ext="edit">
      <o:idmap v:ext="edit" data="1"/>
    </o:shapelayout>
  </w:shapeDefaults>
  <w:decimalSymbol w:val="."/>
  <w:listSeparator w:val=","/>
  <w14:docId w14:val="024FF626"/>
  <w15:docId w15:val="{BF7BFA19-3A06-4554-B137-47A73E6E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C26B3"/>
    <w:pPr>
      <w:keepNext/>
      <w:ind w:left="72" w:hanging="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C26B3"/>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iPriority w:val="99"/>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PlainText">
    <w:name w:val="Plain Text"/>
    <w:basedOn w:val="Normal"/>
    <w:link w:val="PlainTextChar"/>
    <w:uiPriority w:val="99"/>
    <w:unhideWhenUsed/>
    <w:rsid w:val="00E87F47"/>
    <w:pPr>
      <w:jc w:val="left"/>
    </w:pPr>
    <w:rPr>
      <w:rFonts w:ascii="Arial" w:eastAsiaTheme="minorHAnsi" w:hAnsi="Arial" w:cstheme="minorBidi"/>
      <w:szCs w:val="21"/>
    </w:rPr>
  </w:style>
  <w:style w:type="character" w:customStyle="1" w:styleId="PlainTextChar">
    <w:name w:val="Plain Text Char"/>
    <w:basedOn w:val="DefaultParagraphFont"/>
    <w:link w:val="PlainText"/>
    <w:uiPriority w:val="99"/>
    <w:rsid w:val="00E87F47"/>
    <w:rPr>
      <w:rFonts w:ascii="Arial" w:eastAsiaTheme="minorHAnsi" w:hAnsi="Arial" w:cstheme="minorBidi"/>
      <w:sz w:val="24"/>
      <w:szCs w:val="21"/>
    </w:rPr>
  </w:style>
  <w:style w:type="paragraph" w:styleId="BodyTextIndent2">
    <w:name w:val="Body Text Indent 2"/>
    <w:basedOn w:val="Normal"/>
    <w:link w:val="BodyTextIndent2Char"/>
    <w:semiHidden/>
    <w:rsid w:val="00E87F47"/>
    <w:pPr>
      <w:ind w:left="1440"/>
      <w:jc w:val="left"/>
    </w:pPr>
    <w:rPr>
      <w:rFonts w:ascii="Palatino" w:hAnsi="Palatino"/>
      <w:color w:val="FF0000"/>
      <w:szCs w:val="20"/>
    </w:rPr>
  </w:style>
  <w:style w:type="character" w:customStyle="1" w:styleId="BodyTextIndent2Char">
    <w:name w:val="Body Text Indent 2 Char"/>
    <w:basedOn w:val="DefaultParagraphFont"/>
    <w:link w:val="BodyTextIndent2"/>
    <w:semiHidden/>
    <w:rsid w:val="00E87F47"/>
    <w:rPr>
      <w:rFonts w:ascii="Palatino" w:hAnsi="Palatino"/>
      <w:color w:val="FF0000"/>
      <w:sz w:val="24"/>
    </w:rPr>
  </w:style>
  <w:style w:type="paragraph" w:styleId="BodyTextIndent">
    <w:name w:val="Body Text Indent"/>
    <w:basedOn w:val="Normal"/>
    <w:link w:val="BodyTextIndentChar"/>
    <w:uiPriority w:val="99"/>
    <w:semiHidden/>
    <w:unhideWhenUsed/>
    <w:rsid w:val="00E87F47"/>
    <w:pPr>
      <w:spacing w:after="120"/>
      <w:ind w:left="360"/>
    </w:pPr>
  </w:style>
  <w:style w:type="character" w:customStyle="1" w:styleId="BodyTextIndentChar">
    <w:name w:val="Body Text Indent Char"/>
    <w:basedOn w:val="DefaultParagraphFont"/>
    <w:link w:val="BodyTextIndent"/>
    <w:uiPriority w:val="99"/>
    <w:semiHidden/>
    <w:rsid w:val="00E87F47"/>
    <w:rPr>
      <w:sz w:val="24"/>
      <w:szCs w:val="24"/>
    </w:rPr>
  </w:style>
  <w:style w:type="paragraph" w:styleId="BodyTextIndent3">
    <w:name w:val="Body Text Indent 3"/>
    <w:basedOn w:val="Normal"/>
    <w:link w:val="BodyTextIndent3Char"/>
    <w:uiPriority w:val="99"/>
    <w:unhideWhenUsed/>
    <w:rsid w:val="00E87F47"/>
    <w:pPr>
      <w:spacing w:after="120"/>
      <w:ind w:left="360"/>
    </w:pPr>
    <w:rPr>
      <w:sz w:val="16"/>
      <w:szCs w:val="16"/>
    </w:rPr>
  </w:style>
  <w:style w:type="character" w:customStyle="1" w:styleId="BodyTextIndent3Char">
    <w:name w:val="Body Text Indent 3 Char"/>
    <w:basedOn w:val="DefaultParagraphFont"/>
    <w:link w:val="BodyTextIndent3"/>
    <w:uiPriority w:val="99"/>
    <w:rsid w:val="00E87F47"/>
    <w:rPr>
      <w:sz w:val="16"/>
      <w:szCs w:val="16"/>
    </w:rPr>
  </w:style>
  <w:style w:type="paragraph" w:styleId="BlockText">
    <w:name w:val="Block Text"/>
    <w:basedOn w:val="Normal"/>
    <w:semiHidden/>
    <w:rsid w:val="00E87F47"/>
    <w:pPr>
      <w:ind w:left="1440" w:right="-80"/>
      <w:jc w:val="left"/>
    </w:pPr>
    <w:rPr>
      <w:rFonts w:ascii="Palatino" w:hAnsi="Palatino"/>
      <w:color w:val="FF0000"/>
      <w:szCs w:val="20"/>
    </w:rPr>
  </w:style>
  <w:style w:type="paragraph" w:styleId="BodyText">
    <w:name w:val="Body Text"/>
    <w:basedOn w:val="Normal"/>
    <w:link w:val="BodyTextChar"/>
    <w:uiPriority w:val="99"/>
    <w:semiHidden/>
    <w:unhideWhenUsed/>
    <w:rsid w:val="00706514"/>
    <w:pPr>
      <w:spacing w:after="120"/>
    </w:pPr>
  </w:style>
  <w:style w:type="character" w:customStyle="1" w:styleId="BodyTextChar">
    <w:name w:val="Body Text Char"/>
    <w:basedOn w:val="DefaultParagraphFont"/>
    <w:link w:val="BodyText"/>
    <w:uiPriority w:val="99"/>
    <w:semiHidden/>
    <w:rsid w:val="00706514"/>
    <w:rPr>
      <w:sz w:val="24"/>
      <w:szCs w:val="24"/>
    </w:rPr>
  </w:style>
  <w:style w:type="character" w:styleId="LineNumber">
    <w:name w:val="line number"/>
    <w:basedOn w:val="DefaultParagraphFont"/>
    <w:uiPriority w:val="99"/>
    <w:semiHidden/>
    <w:unhideWhenUsed/>
    <w:rsid w:val="00A4496F"/>
  </w:style>
  <w:style w:type="character" w:styleId="CommentReference">
    <w:name w:val="annotation reference"/>
    <w:basedOn w:val="DefaultParagraphFont"/>
    <w:uiPriority w:val="99"/>
    <w:semiHidden/>
    <w:unhideWhenUsed/>
    <w:rsid w:val="00B52157"/>
    <w:rPr>
      <w:sz w:val="16"/>
      <w:szCs w:val="16"/>
    </w:rPr>
  </w:style>
  <w:style w:type="paragraph" w:styleId="CommentText">
    <w:name w:val="annotation text"/>
    <w:basedOn w:val="Normal"/>
    <w:link w:val="CommentTextChar"/>
    <w:uiPriority w:val="99"/>
    <w:semiHidden/>
    <w:unhideWhenUsed/>
    <w:rsid w:val="00B52157"/>
    <w:rPr>
      <w:sz w:val="20"/>
      <w:szCs w:val="20"/>
    </w:rPr>
  </w:style>
  <w:style w:type="character" w:customStyle="1" w:styleId="CommentTextChar">
    <w:name w:val="Comment Text Char"/>
    <w:basedOn w:val="DefaultParagraphFont"/>
    <w:link w:val="CommentText"/>
    <w:uiPriority w:val="99"/>
    <w:semiHidden/>
    <w:rsid w:val="00B52157"/>
  </w:style>
  <w:style w:type="paragraph" w:styleId="CommentSubject">
    <w:name w:val="annotation subject"/>
    <w:basedOn w:val="CommentText"/>
    <w:next w:val="CommentText"/>
    <w:link w:val="CommentSubjectChar"/>
    <w:uiPriority w:val="99"/>
    <w:semiHidden/>
    <w:unhideWhenUsed/>
    <w:rsid w:val="00B52157"/>
    <w:rPr>
      <w:b/>
      <w:bCs/>
    </w:rPr>
  </w:style>
  <w:style w:type="character" w:customStyle="1" w:styleId="CommentSubjectChar">
    <w:name w:val="Comment Subject Char"/>
    <w:basedOn w:val="CommentTextChar"/>
    <w:link w:val="CommentSubject"/>
    <w:uiPriority w:val="99"/>
    <w:semiHidden/>
    <w:rsid w:val="00B52157"/>
    <w:rPr>
      <w:b/>
      <w:bCs/>
    </w:rPr>
  </w:style>
  <w:style w:type="character" w:styleId="UnresolvedMention">
    <w:name w:val="Unresolved Mention"/>
    <w:basedOn w:val="DefaultParagraphFont"/>
    <w:uiPriority w:val="99"/>
    <w:semiHidden/>
    <w:unhideWhenUsed/>
    <w:rsid w:val="00785C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15624955">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594940524">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2922006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61403755">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h-docdbcert.fnal.gov/cgi-bin/cert/ShowDocument?docid=44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ermi.servicenowservices.com/nav_to.do?uri=%2Fcom.glideapp.servicecatalog_cat_item_view.do%3Fsysparm_id%3D6a223f2c31e7c140f9e6279cd360d45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esh.fnal.gov/pls/default/esh_manual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D25ED16-AE68-4BD8-A2FD-1E57EA09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7</Pages>
  <Words>2008</Words>
  <Characters>12071</Characters>
  <Application>Microsoft Office Word</Application>
  <DocSecurity>0</DocSecurity>
  <Lines>326</Lines>
  <Paragraphs>182</Paragraphs>
  <ScaleCrop>false</ScaleCrop>
  <HeadingPairs>
    <vt:vector size="2" baseType="variant">
      <vt:variant>
        <vt:lpstr>Title</vt:lpstr>
      </vt:variant>
      <vt:variant>
        <vt:i4>1</vt:i4>
      </vt:variant>
    </vt:vector>
  </HeadingPairs>
  <TitlesOfParts>
    <vt:vector size="1" baseType="lpstr">
      <vt:lpstr>FESHM 10150</vt:lpstr>
    </vt:vector>
  </TitlesOfParts>
  <Company>Jefferson Science Associates, LLC</Company>
  <LinksUpToDate>false</LinksUpToDate>
  <CharactersWithSpaces>13897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10150</dc:title>
  <dc:subject>On-site Hazardous Material Transportation</dc:subject>
  <dc:creator>Brian Niesman</dc:creator>
  <cp:lastModifiedBy>David J. Skrivan</cp:lastModifiedBy>
  <cp:revision>34</cp:revision>
  <cp:lastPrinted>2014-10-07T16:49:00Z</cp:lastPrinted>
  <dcterms:created xsi:type="dcterms:W3CDTF">2022-11-10T17:39:00Z</dcterms:created>
  <dcterms:modified xsi:type="dcterms:W3CDTF">2022-11-29T18:25:00Z</dcterms:modified>
</cp:coreProperties>
</file>