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B83A" w14:textId="77777777" w:rsidR="00142C80" w:rsidRDefault="00142C80" w:rsidP="00C80E9C"/>
    <w:p w14:paraId="6E6E06B9" w14:textId="77777777" w:rsidR="00142C80" w:rsidRDefault="00142C80" w:rsidP="004B509E">
      <w:pPr>
        <w:rPr>
          <w:b/>
          <w:sz w:val="28"/>
          <w:szCs w:val="28"/>
        </w:rPr>
      </w:pPr>
    </w:p>
    <w:p w14:paraId="0E04E756" w14:textId="77777777" w:rsidR="00142C80" w:rsidRDefault="00142C80" w:rsidP="00142C80">
      <w:pPr>
        <w:jc w:val="center"/>
        <w:rPr>
          <w:b/>
          <w:sz w:val="28"/>
          <w:szCs w:val="28"/>
        </w:rPr>
      </w:pPr>
    </w:p>
    <w:p w14:paraId="6D2B9918"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A22056">
        <w:rPr>
          <w:color w:val="000000"/>
          <w:sz w:val="36"/>
          <w:szCs w:val="36"/>
        </w:rPr>
        <w:t>9140</w:t>
      </w:r>
      <w:r w:rsidR="00E00FB4">
        <w:rPr>
          <w:color w:val="000000"/>
          <w:sz w:val="36"/>
          <w:szCs w:val="36"/>
        </w:rPr>
        <w:t>:  PROTECTION AGAINST EXPOSED ELECTRICAL BUS</w:t>
      </w:r>
    </w:p>
    <w:p w14:paraId="3C9D192B" w14:textId="77777777" w:rsidR="00142C80" w:rsidRPr="004F254C" w:rsidRDefault="00142C80" w:rsidP="00AB4D65">
      <w:pPr>
        <w:pStyle w:val="Heading1"/>
        <w:numPr>
          <w:ilvl w:val="0"/>
          <w:numId w:val="0"/>
        </w:numPr>
        <w:jc w:val="both"/>
        <w:rPr>
          <w:b w:val="0"/>
          <w:sz w:val="36"/>
          <w:szCs w:val="36"/>
        </w:rPr>
      </w:pPr>
    </w:p>
    <w:p w14:paraId="71DB4C60" w14:textId="77777777" w:rsidR="00142C80" w:rsidRDefault="00142C80" w:rsidP="00142C80">
      <w:pPr>
        <w:jc w:val="center"/>
        <w:rPr>
          <w:b/>
          <w:sz w:val="28"/>
          <w:szCs w:val="28"/>
        </w:rPr>
      </w:pPr>
    </w:p>
    <w:p w14:paraId="050E0334" w14:textId="77777777" w:rsidR="00142C80" w:rsidRDefault="00142C80" w:rsidP="00142C80">
      <w:pPr>
        <w:jc w:val="center"/>
        <w:rPr>
          <w:b/>
          <w:sz w:val="28"/>
          <w:szCs w:val="28"/>
        </w:rPr>
      </w:pPr>
    </w:p>
    <w:p w14:paraId="059D8CFA" w14:textId="77777777" w:rsidR="00142C80" w:rsidRDefault="00142C80" w:rsidP="00142C80">
      <w:pPr>
        <w:jc w:val="center"/>
        <w:rPr>
          <w:b/>
          <w:sz w:val="28"/>
          <w:szCs w:val="28"/>
        </w:rPr>
      </w:pPr>
    </w:p>
    <w:p w14:paraId="0836174F" w14:textId="77777777" w:rsidR="00DB5D5A" w:rsidRPr="008B60C4" w:rsidRDefault="00743FAE" w:rsidP="00DB5D5A">
      <w:pPr>
        <w:ind w:right="-140"/>
        <w:jc w:val="center"/>
        <w:rPr>
          <w:b/>
          <w:color w:val="000000"/>
        </w:rPr>
      </w:pPr>
      <w:r>
        <w:rPr>
          <w:b/>
          <w:color w:val="000000"/>
        </w:rPr>
        <w:t>Revision History</w:t>
      </w:r>
    </w:p>
    <w:p w14:paraId="1E28E5ED" w14:textId="77777777" w:rsidR="00DB5D5A" w:rsidRPr="008B60C4" w:rsidRDefault="00DB5D5A" w:rsidP="00DB5D5A">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38"/>
        <w:gridCol w:w="6300"/>
        <w:gridCol w:w="1890"/>
      </w:tblGrid>
      <w:tr w:rsidR="00743FAE" w:rsidRPr="00E331D3" w14:paraId="6A54ED20" w14:textId="77777777" w:rsidTr="00A22056">
        <w:tc>
          <w:tcPr>
            <w:tcW w:w="1638" w:type="dxa"/>
          </w:tcPr>
          <w:p w14:paraId="22097FBA" w14:textId="77777777" w:rsidR="00743FAE" w:rsidRPr="00D115E0" w:rsidRDefault="00743FAE" w:rsidP="0081489A">
            <w:pPr>
              <w:tabs>
                <w:tab w:val="left" w:pos="720"/>
              </w:tabs>
              <w:jc w:val="center"/>
              <w:rPr>
                <w:b/>
              </w:rPr>
            </w:pPr>
            <w:r w:rsidRPr="00D115E0">
              <w:rPr>
                <w:b/>
              </w:rPr>
              <w:t>Author</w:t>
            </w:r>
          </w:p>
        </w:tc>
        <w:tc>
          <w:tcPr>
            <w:tcW w:w="6300" w:type="dxa"/>
          </w:tcPr>
          <w:p w14:paraId="6175D91C" w14:textId="77777777" w:rsidR="00743FAE" w:rsidRPr="00D115E0" w:rsidRDefault="00743FAE" w:rsidP="0081489A">
            <w:pPr>
              <w:tabs>
                <w:tab w:val="left" w:pos="720"/>
              </w:tabs>
              <w:jc w:val="center"/>
              <w:rPr>
                <w:b/>
              </w:rPr>
            </w:pPr>
            <w:r w:rsidRPr="00D115E0">
              <w:rPr>
                <w:b/>
              </w:rPr>
              <w:t>Description of Change</w:t>
            </w:r>
          </w:p>
        </w:tc>
        <w:tc>
          <w:tcPr>
            <w:tcW w:w="1890" w:type="dxa"/>
          </w:tcPr>
          <w:p w14:paraId="0116FF83" w14:textId="77777777" w:rsidR="00743FAE" w:rsidRPr="00D115E0" w:rsidRDefault="00A22056" w:rsidP="0081489A">
            <w:pPr>
              <w:tabs>
                <w:tab w:val="left" w:pos="720"/>
              </w:tabs>
              <w:jc w:val="center"/>
              <w:rPr>
                <w:b/>
              </w:rPr>
            </w:pPr>
            <w:r>
              <w:rPr>
                <w:b/>
              </w:rPr>
              <w:t>Revision</w:t>
            </w:r>
            <w:r w:rsidR="00743FAE" w:rsidRPr="00D115E0">
              <w:rPr>
                <w:b/>
              </w:rPr>
              <w:t xml:space="preserve"> Date</w:t>
            </w:r>
          </w:p>
        </w:tc>
      </w:tr>
      <w:tr w:rsidR="00514BDD" w:rsidRPr="00E331D3" w14:paraId="4F09DF6D" w14:textId="77777777" w:rsidTr="00F17813">
        <w:tc>
          <w:tcPr>
            <w:tcW w:w="1638" w:type="dxa"/>
          </w:tcPr>
          <w:p w14:paraId="5719C8BB" w14:textId="77777777" w:rsidR="00514BDD" w:rsidRDefault="00514BDD" w:rsidP="00F17813">
            <w:pPr>
              <w:tabs>
                <w:tab w:val="left" w:pos="720"/>
              </w:tabs>
              <w:jc w:val="left"/>
              <w:rPr>
                <w:szCs w:val="22"/>
              </w:rPr>
            </w:pPr>
            <w:r>
              <w:rPr>
                <w:szCs w:val="22"/>
              </w:rPr>
              <w:t>Dave Mertz</w:t>
            </w:r>
          </w:p>
        </w:tc>
        <w:tc>
          <w:tcPr>
            <w:tcW w:w="6300" w:type="dxa"/>
          </w:tcPr>
          <w:p w14:paraId="133686A7" w14:textId="67F3B1E2" w:rsidR="00514BDD" w:rsidRDefault="00514BDD" w:rsidP="00C13216">
            <w:pPr>
              <w:pStyle w:val="ListParagraph"/>
              <w:numPr>
                <w:ilvl w:val="0"/>
                <w:numId w:val="62"/>
              </w:numPr>
              <w:autoSpaceDE w:val="0"/>
              <w:autoSpaceDN w:val="0"/>
              <w:adjustRightInd w:val="0"/>
              <w:ind w:left="346"/>
              <w:jc w:val="left"/>
            </w:pPr>
            <w:r>
              <w:t>Changed Division / Section / Center to Division / Section / Project</w:t>
            </w:r>
          </w:p>
          <w:p w14:paraId="4E2120CA" w14:textId="5DA5C42E" w:rsidR="00C13216" w:rsidRDefault="00C13216" w:rsidP="00C13216">
            <w:pPr>
              <w:pStyle w:val="ListParagraph"/>
              <w:numPr>
                <w:ilvl w:val="0"/>
                <w:numId w:val="62"/>
              </w:numPr>
              <w:autoSpaceDE w:val="0"/>
              <w:autoSpaceDN w:val="0"/>
              <w:adjustRightInd w:val="0"/>
              <w:ind w:left="346"/>
              <w:jc w:val="left"/>
            </w:pPr>
            <w:r>
              <w:t>Updated document format to match current template</w:t>
            </w:r>
          </w:p>
          <w:p w14:paraId="797D17A5" w14:textId="77777777" w:rsidR="00C13216" w:rsidRDefault="00C13216" w:rsidP="00C13216">
            <w:pPr>
              <w:pStyle w:val="ListParagraph"/>
              <w:numPr>
                <w:ilvl w:val="0"/>
                <w:numId w:val="62"/>
              </w:numPr>
              <w:autoSpaceDE w:val="0"/>
              <w:autoSpaceDN w:val="0"/>
              <w:adjustRightInd w:val="0"/>
              <w:ind w:left="346"/>
              <w:jc w:val="left"/>
            </w:pPr>
            <w:r>
              <w:t>Added note on personnel thresholds to definitions</w:t>
            </w:r>
          </w:p>
          <w:p w14:paraId="2DD86A8B" w14:textId="03730414" w:rsidR="00BE67C1" w:rsidRDefault="00BE67C1" w:rsidP="00C13216">
            <w:pPr>
              <w:pStyle w:val="ListParagraph"/>
              <w:numPr>
                <w:ilvl w:val="0"/>
                <w:numId w:val="62"/>
              </w:numPr>
              <w:autoSpaceDE w:val="0"/>
              <w:autoSpaceDN w:val="0"/>
              <w:adjustRightInd w:val="0"/>
              <w:ind w:left="346"/>
              <w:jc w:val="left"/>
            </w:pPr>
            <w:r>
              <w:t xml:space="preserve">Changed terms </w:t>
            </w:r>
            <w:r>
              <w:rPr>
                <w:i/>
                <w:iCs/>
              </w:rPr>
              <w:t xml:space="preserve">Access Controlled Areas </w:t>
            </w:r>
            <w:r>
              <w:t xml:space="preserve">and </w:t>
            </w:r>
            <w:r>
              <w:rPr>
                <w:i/>
                <w:iCs/>
              </w:rPr>
              <w:t>Open Access Areas</w:t>
            </w:r>
            <w:r>
              <w:t xml:space="preserve"> to </w:t>
            </w:r>
            <w:r>
              <w:rPr>
                <w:i/>
                <w:iCs/>
              </w:rPr>
              <w:t xml:space="preserve">Entry Controlled Areas </w:t>
            </w:r>
            <w:r>
              <w:t xml:space="preserve">and </w:t>
            </w:r>
            <w:r>
              <w:rPr>
                <w:i/>
                <w:iCs/>
              </w:rPr>
              <w:t>Open Entry Areas</w:t>
            </w:r>
            <w:r>
              <w:t xml:space="preserve"> to limit potential for confusion with FRCM terms and added explanatory note.</w:t>
            </w:r>
          </w:p>
        </w:tc>
        <w:tc>
          <w:tcPr>
            <w:tcW w:w="1890" w:type="dxa"/>
          </w:tcPr>
          <w:p w14:paraId="627C20F9" w14:textId="6807C1D1" w:rsidR="00514BDD" w:rsidRDefault="00731235" w:rsidP="00F17813">
            <w:pPr>
              <w:tabs>
                <w:tab w:val="left" w:pos="720"/>
              </w:tabs>
              <w:jc w:val="left"/>
              <w:rPr>
                <w:szCs w:val="22"/>
              </w:rPr>
            </w:pPr>
            <w:r>
              <w:rPr>
                <w:szCs w:val="22"/>
              </w:rPr>
              <w:t>Novem</w:t>
            </w:r>
            <w:bookmarkStart w:id="0" w:name="_GoBack"/>
            <w:bookmarkEnd w:id="0"/>
            <w:r w:rsidR="00514BDD">
              <w:rPr>
                <w:szCs w:val="22"/>
              </w:rPr>
              <w:t>ber 2020</w:t>
            </w:r>
          </w:p>
        </w:tc>
      </w:tr>
      <w:tr w:rsidR="006E3EA0" w:rsidRPr="00E331D3" w14:paraId="4649D7FC" w14:textId="77777777" w:rsidTr="00A22056">
        <w:tc>
          <w:tcPr>
            <w:tcW w:w="1638" w:type="dxa"/>
          </w:tcPr>
          <w:p w14:paraId="48CD32D0" w14:textId="77777777" w:rsidR="006E3EA0" w:rsidRDefault="006E3EA0" w:rsidP="00E00FB4">
            <w:pPr>
              <w:tabs>
                <w:tab w:val="left" w:pos="720"/>
              </w:tabs>
              <w:jc w:val="left"/>
              <w:rPr>
                <w:szCs w:val="22"/>
              </w:rPr>
            </w:pPr>
            <w:r>
              <w:rPr>
                <w:szCs w:val="22"/>
              </w:rPr>
              <w:t>Dave Mertz</w:t>
            </w:r>
          </w:p>
        </w:tc>
        <w:tc>
          <w:tcPr>
            <w:tcW w:w="6300" w:type="dxa"/>
          </w:tcPr>
          <w:p w14:paraId="032323B7" w14:textId="4139C16E" w:rsidR="006E3EA0" w:rsidRDefault="00290778" w:rsidP="00C13216">
            <w:pPr>
              <w:pStyle w:val="ListParagraph"/>
              <w:numPr>
                <w:ilvl w:val="0"/>
                <w:numId w:val="63"/>
              </w:numPr>
              <w:autoSpaceDE w:val="0"/>
              <w:autoSpaceDN w:val="0"/>
              <w:adjustRightInd w:val="0"/>
              <w:ind w:left="346"/>
              <w:jc w:val="left"/>
            </w:pPr>
            <w:r>
              <w:t>Changed Senior Safety Officer to Division Safety Officer</w:t>
            </w:r>
          </w:p>
          <w:p w14:paraId="761DE843" w14:textId="04ED357D" w:rsidR="00290778" w:rsidRDefault="00C13216" w:rsidP="00C13216">
            <w:pPr>
              <w:pStyle w:val="ListParagraph"/>
              <w:numPr>
                <w:ilvl w:val="0"/>
                <w:numId w:val="63"/>
              </w:numPr>
              <w:autoSpaceDE w:val="0"/>
              <w:autoSpaceDN w:val="0"/>
              <w:adjustRightInd w:val="0"/>
              <w:ind w:left="346"/>
              <w:jc w:val="left"/>
            </w:pPr>
            <w:r>
              <w:t>Updated document format to match current template</w:t>
            </w:r>
          </w:p>
        </w:tc>
        <w:tc>
          <w:tcPr>
            <w:tcW w:w="1890" w:type="dxa"/>
          </w:tcPr>
          <w:p w14:paraId="746448CD" w14:textId="77777777" w:rsidR="006E3EA0" w:rsidRDefault="00C80E9C" w:rsidP="00C80E9C">
            <w:pPr>
              <w:tabs>
                <w:tab w:val="left" w:pos="720"/>
              </w:tabs>
              <w:jc w:val="left"/>
              <w:rPr>
                <w:szCs w:val="22"/>
              </w:rPr>
            </w:pPr>
            <w:r>
              <w:rPr>
                <w:szCs w:val="22"/>
              </w:rPr>
              <w:t>Nove</w:t>
            </w:r>
            <w:r w:rsidR="006E3EA0">
              <w:rPr>
                <w:szCs w:val="22"/>
              </w:rPr>
              <w:t>mber 2015</w:t>
            </w:r>
          </w:p>
        </w:tc>
      </w:tr>
      <w:tr w:rsidR="00743FAE" w:rsidRPr="00E331D3" w14:paraId="482F959A" w14:textId="77777777" w:rsidTr="00A22056">
        <w:tc>
          <w:tcPr>
            <w:tcW w:w="1638" w:type="dxa"/>
          </w:tcPr>
          <w:p w14:paraId="19EFAD99" w14:textId="77777777" w:rsidR="00743FAE" w:rsidRPr="00E331D3" w:rsidRDefault="00E00FB4" w:rsidP="00E00FB4">
            <w:pPr>
              <w:tabs>
                <w:tab w:val="left" w:pos="720"/>
              </w:tabs>
              <w:jc w:val="left"/>
            </w:pPr>
            <w:r>
              <w:rPr>
                <w:szCs w:val="22"/>
              </w:rPr>
              <w:t>Mike Utes</w:t>
            </w:r>
          </w:p>
        </w:tc>
        <w:tc>
          <w:tcPr>
            <w:tcW w:w="6300" w:type="dxa"/>
          </w:tcPr>
          <w:p w14:paraId="1AE39243" w14:textId="50B62852" w:rsidR="00E00FB4" w:rsidRDefault="00E00FB4" w:rsidP="00C13216">
            <w:pPr>
              <w:pStyle w:val="ListParagraph"/>
              <w:numPr>
                <w:ilvl w:val="0"/>
                <w:numId w:val="64"/>
              </w:numPr>
              <w:autoSpaceDE w:val="0"/>
              <w:autoSpaceDN w:val="0"/>
              <w:adjustRightInd w:val="0"/>
              <w:jc w:val="left"/>
            </w:pPr>
            <w:r w:rsidRPr="00E00FB4">
              <w:t xml:space="preserve">Changed Division/Section to </w:t>
            </w:r>
            <w:r w:rsidR="00BC1DB8">
              <w:t>Divisi</w:t>
            </w:r>
            <w:r w:rsidRPr="00E00FB4">
              <w:t>on/Section/Center</w:t>
            </w:r>
          </w:p>
          <w:p w14:paraId="6877A307" w14:textId="7B4E73CD" w:rsidR="00C13216" w:rsidRPr="00C13216" w:rsidRDefault="00C13216" w:rsidP="00C13216">
            <w:pPr>
              <w:pStyle w:val="ListParagraph"/>
              <w:numPr>
                <w:ilvl w:val="0"/>
                <w:numId w:val="64"/>
              </w:numPr>
              <w:autoSpaceDE w:val="0"/>
              <w:autoSpaceDN w:val="0"/>
              <w:adjustRightInd w:val="0"/>
              <w:jc w:val="left"/>
              <w:rPr>
                <w:rStyle w:val="Hyperlink"/>
                <w:color w:val="auto"/>
                <w:u w:val="none"/>
              </w:rPr>
            </w:pPr>
            <w:r w:rsidRPr="00E00FB4">
              <w:t xml:space="preserve">Corrected the name of </w:t>
            </w:r>
            <w:hyperlink r:id="rId8" w:history="1">
              <w:r>
                <w:rPr>
                  <w:rStyle w:val="Hyperlink"/>
                </w:rPr>
                <w:t>Chapter 2100</w:t>
              </w:r>
            </w:hyperlink>
          </w:p>
          <w:p w14:paraId="0BBD788F" w14:textId="02DDF9A0" w:rsidR="00C13216" w:rsidRDefault="00C13216" w:rsidP="00C13216">
            <w:pPr>
              <w:pStyle w:val="ListParagraph"/>
              <w:numPr>
                <w:ilvl w:val="0"/>
                <w:numId w:val="64"/>
              </w:numPr>
              <w:autoSpaceDE w:val="0"/>
              <w:autoSpaceDN w:val="0"/>
              <w:adjustRightInd w:val="0"/>
              <w:jc w:val="left"/>
            </w:pPr>
            <w:r w:rsidRPr="00E00FB4">
              <w:t>Added the link for the Radiological Control Manual</w:t>
            </w:r>
          </w:p>
          <w:p w14:paraId="2876BA22" w14:textId="1CE4BE9C" w:rsidR="00743FAE" w:rsidRPr="00E331D3" w:rsidRDefault="00C13216" w:rsidP="00C13216">
            <w:pPr>
              <w:pStyle w:val="ListParagraph"/>
              <w:numPr>
                <w:ilvl w:val="0"/>
                <w:numId w:val="64"/>
              </w:numPr>
              <w:autoSpaceDE w:val="0"/>
              <w:autoSpaceDN w:val="0"/>
              <w:adjustRightInd w:val="0"/>
              <w:jc w:val="left"/>
            </w:pPr>
            <w:r w:rsidRPr="00E00FB4">
              <w:t>Minor editorial corrections</w:t>
            </w:r>
          </w:p>
        </w:tc>
        <w:tc>
          <w:tcPr>
            <w:tcW w:w="1890" w:type="dxa"/>
          </w:tcPr>
          <w:p w14:paraId="6DCF63AB" w14:textId="77777777" w:rsidR="00743FAE" w:rsidRPr="00E331D3" w:rsidRDefault="00E00FB4" w:rsidP="00E00FB4">
            <w:pPr>
              <w:tabs>
                <w:tab w:val="left" w:pos="720"/>
              </w:tabs>
              <w:jc w:val="left"/>
            </w:pPr>
            <w:r>
              <w:rPr>
                <w:szCs w:val="22"/>
              </w:rPr>
              <w:t xml:space="preserve">December </w:t>
            </w:r>
            <w:r w:rsidR="00743FAE" w:rsidRPr="00E331D3">
              <w:rPr>
                <w:szCs w:val="22"/>
              </w:rPr>
              <w:t xml:space="preserve"> 2010</w:t>
            </w:r>
          </w:p>
        </w:tc>
      </w:tr>
    </w:tbl>
    <w:p w14:paraId="10C5FE00" w14:textId="77777777" w:rsidR="00142C80" w:rsidRDefault="00142C80" w:rsidP="00142C80">
      <w:pPr>
        <w:jc w:val="center"/>
        <w:rPr>
          <w:b/>
          <w:sz w:val="28"/>
          <w:szCs w:val="28"/>
        </w:rPr>
      </w:pPr>
    </w:p>
    <w:p w14:paraId="16ADFBE0" w14:textId="77777777" w:rsidR="00142C80" w:rsidRDefault="00142C80" w:rsidP="00142C80">
      <w:pPr>
        <w:jc w:val="center"/>
        <w:rPr>
          <w:b/>
          <w:sz w:val="28"/>
          <w:szCs w:val="28"/>
        </w:rPr>
      </w:pPr>
    </w:p>
    <w:p w14:paraId="2BA48ADB" w14:textId="77777777" w:rsidR="00142C80" w:rsidRDefault="00142C80" w:rsidP="00142C80">
      <w:pPr>
        <w:jc w:val="center"/>
        <w:rPr>
          <w:b/>
          <w:sz w:val="28"/>
          <w:szCs w:val="28"/>
        </w:rPr>
      </w:pPr>
    </w:p>
    <w:p w14:paraId="626FBC2A" w14:textId="77777777" w:rsidR="00142C80" w:rsidRDefault="00142C80" w:rsidP="00142C80">
      <w:pPr>
        <w:jc w:val="center"/>
        <w:rPr>
          <w:b/>
          <w:sz w:val="28"/>
          <w:szCs w:val="28"/>
        </w:rPr>
      </w:pPr>
    </w:p>
    <w:p w14:paraId="73927178" w14:textId="77777777" w:rsidR="008648A9" w:rsidRDefault="008648A9" w:rsidP="00142C80">
      <w:pPr>
        <w:jc w:val="left"/>
        <w:rPr>
          <w:b/>
          <w:sz w:val="28"/>
          <w:szCs w:val="28"/>
        </w:rPr>
      </w:pPr>
    </w:p>
    <w:p w14:paraId="5417FD1B" w14:textId="77777777" w:rsidR="008648A9" w:rsidRDefault="008648A9" w:rsidP="00142C80">
      <w:pPr>
        <w:jc w:val="left"/>
        <w:rPr>
          <w:b/>
          <w:sz w:val="28"/>
          <w:szCs w:val="28"/>
        </w:rPr>
      </w:pPr>
    </w:p>
    <w:p w14:paraId="3755E008" w14:textId="77777777" w:rsidR="008648A9" w:rsidRDefault="008648A9" w:rsidP="008648A9">
      <w:pPr>
        <w:jc w:val="left"/>
        <w:rPr>
          <w:b/>
          <w:sz w:val="28"/>
          <w:szCs w:val="28"/>
        </w:rPr>
        <w:sectPr w:rsidR="008648A9" w:rsidSect="00142C80">
          <w:headerReference w:type="default" r:id="rId9"/>
          <w:footerReference w:type="default" r:id="rId10"/>
          <w:pgSz w:w="12240" w:h="15840" w:code="1"/>
          <w:pgMar w:top="720" w:right="1080" w:bottom="720" w:left="1440" w:header="720" w:footer="389" w:gutter="0"/>
          <w:cols w:space="720"/>
          <w:docGrid w:linePitch="360"/>
        </w:sectPr>
      </w:pPr>
    </w:p>
    <w:p w14:paraId="4FAC6B81" w14:textId="77777777" w:rsidR="004B509E" w:rsidRDefault="004B509E" w:rsidP="001A2CF3">
      <w:pPr>
        <w:jc w:val="center"/>
        <w:rPr>
          <w:b/>
          <w:sz w:val="28"/>
          <w:szCs w:val="28"/>
        </w:rPr>
      </w:pPr>
    </w:p>
    <w:p w14:paraId="748069F8" w14:textId="531E3FF9" w:rsidR="00A96FFC" w:rsidRDefault="00A96FFC" w:rsidP="001A2CF3">
      <w:pPr>
        <w:jc w:val="center"/>
        <w:rPr>
          <w:b/>
          <w:sz w:val="28"/>
          <w:szCs w:val="28"/>
        </w:rPr>
      </w:pPr>
      <w:r w:rsidRPr="001A2CF3">
        <w:rPr>
          <w:b/>
          <w:sz w:val="28"/>
          <w:szCs w:val="28"/>
        </w:rPr>
        <w:t>TABLE OF CONTENTS</w:t>
      </w:r>
    </w:p>
    <w:p w14:paraId="4A8908CD" w14:textId="77777777" w:rsidR="004B509E" w:rsidRPr="001A2CF3" w:rsidRDefault="004B509E" w:rsidP="001A2CF3">
      <w:pPr>
        <w:jc w:val="center"/>
        <w:rPr>
          <w:b/>
          <w:sz w:val="28"/>
          <w:szCs w:val="28"/>
        </w:rPr>
      </w:pPr>
    </w:p>
    <w:p w14:paraId="7D6E51D7" w14:textId="77777777" w:rsidR="00A96FFC" w:rsidRDefault="00A96FFC">
      <w:pPr>
        <w:rPr>
          <w:bCs/>
        </w:rPr>
      </w:pPr>
    </w:p>
    <w:p w14:paraId="548C5CF3" w14:textId="7F7F1336" w:rsidR="004B509E" w:rsidRDefault="008665A6">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7018264" w:history="1">
        <w:r w:rsidR="004B509E" w:rsidRPr="00B06DA1">
          <w:rPr>
            <w:rStyle w:val="Hyperlink"/>
            <w:rFonts w:ascii="Times New Roman Bold" w:hAnsi="Times New Roman Bold"/>
            <w:noProof/>
          </w:rPr>
          <w:t>1.0</w:t>
        </w:r>
        <w:r w:rsidR="004B509E">
          <w:rPr>
            <w:rFonts w:asciiTheme="minorHAnsi" w:eastAsiaTheme="minorEastAsia" w:hAnsiTheme="minorHAnsi" w:cstheme="minorBidi"/>
            <w:noProof/>
            <w:sz w:val="22"/>
            <w:szCs w:val="22"/>
          </w:rPr>
          <w:tab/>
        </w:r>
        <w:r w:rsidR="004B509E" w:rsidRPr="00B06DA1">
          <w:rPr>
            <w:rStyle w:val="Hyperlink"/>
            <w:noProof/>
          </w:rPr>
          <w:t>INTRODUCTION</w:t>
        </w:r>
        <w:r w:rsidR="004B509E">
          <w:rPr>
            <w:noProof/>
            <w:webHidden/>
          </w:rPr>
          <w:tab/>
        </w:r>
        <w:r w:rsidR="004B509E">
          <w:rPr>
            <w:noProof/>
            <w:webHidden/>
          </w:rPr>
          <w:fldChar w:fldCharType="begin"/>
        </w:r>
        <w:r w:rsidR="004B509E">
          <w:rPr>
            <w:noProof/>
            <w:webHidden/>
          </w:rPr>
          <w:instrText xml:space="preserve"> PAGEREF _Toc57018264 \h </w:instrText>
        </w:r>
        <w:r w:rsidR="004B509E">
          <w:rPr>
            <w:noProof/>
            <w:webHidden/>
          </w:rPr>
        </w:r>
        <w:r w:rsidR="004B509E">
          <w:rPr>
            <w:noProof/>
            <w:webHidden/>
          </w:rPr>
          <w:fldChar w:fldCharType="separate"/>
        </w:r>
        <w:r w:rsidR="0000697F">
          <w:rPr>
            <w:noProof/>
            <w:webHidden/>
          </w:rPr>
          <w:t>3</w:t>
        </w:r>
        <w:r w:rsidR="004B509E">
          <w:rPr>
            <w:noProof/>
            <w:webHidden/>
          </w:rPr>
          <w:fldChar w:fldCharType="end"/>
        </w:r>
      </w:hyperlink>
    </w:p>
    <w:p w14:paraId="27D6BA15" w14:textId="3AFC7E60" w:rsidR="004B509E" w:rsidRDefault="004B509E">
      <w:pPr>
        <w:pStyle w:val="TOC1"/>
        <w:rPr>
          <w:rFonts w:asciiTheme="minorHAnsi" w:eastAsiaTheme="minorEastAsia" w:hAnsiTheme="minorHAnsi" w:cstheme="minorBidi"/>
          <w:noProof/>
          <w:sz w:val="22"/>
          <w:szCs w:val="22"/>
        </w:rPr>
      </w:pPr>
      <w:hyperlink w:anchor="_Toc57018265" w:history="1">
        <w:r w:rsidRPr="00B06DA1">
          <w:rPr>
            <w:rStyle w:val="Hyperlink"/>
            <w:rFonts w:ascii="Times New Roman Bold" w:hAnsi="Times New Roman Bold"/>
            <w:noProof/>
          </w:rPr>
          <w:t>2.0</w:t>
        </w:r>
        <w:r>
          <w:rPr>
            <w:rFonts w:asciiTheme="minorHAnsi" w:eastAsiaTheme="minorEastAsia" w:hAnsiTheme="minorHAnsi" w:cstheme="minorBidi"/>
            <w:noProof/>
            <w:sz w:val="22"/>
            <w:szCs w:val="22"/>
          </w:rPr>
          <w:tab/>
        </w:r>
        <w:r w:rsidRPr="00B06DA1">
          <w:rPr>
            <w:rStyle w:val="Hyperlink"/>
            <w:noProof/>
          </w:rPr>
          <w:t>DEFINITIONS</w:t>
        </w:r>
        <w:r>
          <w:rPr>
            <w:noProof/>
            <w:webHidden/>
          </w:rPr>
          <w:tab/>
        </w:r>
        <w:r>
          <w:rPr>
            <w:noProof/>
            <w:webHidden/>
          </w:rPr>
          <w:fldChar w:fldCharType="begin"/>
        </w:r>
        <w:r>
          <w:rPr>
            <w:noProof/>
            <w:webHidden/>
          </w:rPr>
          <w:instrText xml:space="preserve"> PAGEREF _Toc57018265 \h </w:instrText>
        </w:r>
        <w:r>
          <w:rPr>
            <w:noProof/>
            <w:webHidden/>
          </w:rPr>
        </w:r>
        <w:r>
          <w:rPr>
            <w:noProof/>
            <w:webHidden/>
          </w:rPr>
          <w:fldChar w:fldCharType="separate"/>
        </w:r>
        <w:r w:rsidR="0000697F">
          <w:rPr>
            <w:noProof/>
            <w:webHidden/>
          </w:rPr>
          <w:t>3</w:t>
        </w:r>
        <w:r>
          <w:rPr>
            <w:noProof/>
            <w:webHidden/>
          </w:rPr>
          <w:fldChar w:fldCharType="end"/>
        </w:r>
      </w:hyperlink>
    </w:p>
    <w:p w14:paraId="73AD8F5E" w14:textId="3BF7841B" w:rsidR="004B509E" w:rsidRDefault="004B509E">
      <w:pPr>
        <w:pStyle w:val="TOC1"/>
        <w:rPr>
          <w:rFonts w:asciiTheme="minorHAnsi" w:eastAsiaTheme="minorEastAsia" w:hAnsiTheme="minorHAnsi" w:cstheme="minorBidi"/>
          <w:noProof/>
          <w:sz w:val="22"/>
          <w:szCs w:val="22"/>
        </w:rPr>
      </w:pPr>
      <w:hyperlink w:anchor="_Toc57018266" w:history="1">
        <w:r w:rsidRPr="00B06DA1">
          <w:rPr>
            <w:rStyle w:val="Hyperlink"/>
            <w:rFonts w:ascii="Times New Roman Bold" w:hAnsi="Times New Roman Bold"/>
            <w:noProof/>
          </w:rPr>
          <w:t>3.0</w:t>
        </w:r>
        <w:r>
          <w:rPr>
            <w:rFonts w:asciiTheme="minorHAnsi" w:eastAsiaTheme="minorEastAsia" w:hAnsiTheme="minorHAnsi" w:cstheme="minorBidi"/>
            <w:noProof/>
            <w:sz w:val="22"/>
            <w:szCs w:val="22"/>
          </w:rPr>
          <w:tab/>
        </w:r>
        <w:r w:rsidRPr="00B06DA1">
          <w:rPr>
            <w:rStyle w:val="Hyperlink"/>
            <w:noProof/>
          </w:rPr>
          <w:t>REQUIREMENTS</w:t>
        </w:r>
        <w:r>
          <w:rPr>
            <w:noProof/>
            <w:webHidden/>
          </w:rPr>
          <w:tab/>
        </w:r>
        <w:r>
          <w:rPr>
            <w:noProof/>
            <w:webHidden/>
          </w:rPr>
          <w:fldChar w:fldCharType="begin"/>
        </w:r>
        <w:r>
          <w:rPr>
            <w:noProof/>
            <w:webHidden/>
          </w:rPr>
          <w:instrText xml:space="preserve"> PAGEREF _Toc57018266 \h </w:instrText>
        </w:r>
        <w:r>
          <w:rPr>
            <w:noProof/>
            <w:webHidden/>
          </w:rPr>
        </w:r>
        <w:r>
          <w:rPr>
            <w:noProof/>
            <w:webHidden/>
          </w:rPr>
          <w:fldChar w:fldCharType="separate"/>
        </w:r>
        <w:r w:rsidR="0000697F">
          <w:rPr>
            <w:noProof/>
            <w:webHidden/>
          </w:rPr>
          <w:t>4</w:t>
        </w:r>
        <w:r>
          <w:rPr>
            <w:noProof/>
            <w:webHidden/>
          </w:rPr>
          <w:fldChar w:fldCharType="end"/>
        </w:r>
      </w:hyperlink>
    </w:p>
    <w:p w14:paraId="6BB9F462" w14:textId="6461FDE3" w:rsidR="00A96FFC" w:rsidRDefault="008665A6" w:rsidP="003559A3">
      <w:pPr>
        <w:tabs>
          <w:tab w:val="right" w:leader="dot" w:pos="9720"/>
        </w:tabs>
        <w:jc w:val="left"/>
        <w:rPr>
          <w:bCs/>
        </w:rPr>
      </w:pPr>
      <w:r>
        <w:rPr>
          <w:bCs/>
        </w:rPr>
        <w:fldChar w:fldCharType="end"/>
      </w:r>
    </w:p>
    <w:p w14:paraId="57E138C1" w14:textId="77777777" w:rsidR="00084E8E" w:rsidRPr="00FA370A" w:rsidRDefault="00084E8E" w:rsidP="002441F5">
      <w:pPr>
        <w:jc w:val="left"/>
        <w:rPr>
          <w:bCs/>
        </w:rPr>
      </w:pPr>
    </w:p>
    <w:p w14:paraId="764B2657" w14:textId="77777777" w:rsidR="00A96FFC" w:rsidRPr="00A96FFC" w:rsidRDefault="00A96FFC">
      <w:pPr>
        <w:rPr>
          <w:bCs/>
        </w:rPr>
      </w:pPr>
    </w:p>
    <w:p w14:paraId="3C0ADCD4" w14:textId="77777777" w:rsidR="00A96FFC" w:rsidRPr="00A96FFC" w:rsidRDefault="00A96FFC">
      <w:pPr>
        <w:rPr>
          <w:bCs/>
        </w:rPr>
        <w:sectPr w:rsidR="00A96FFC" w:rsidRPr="00A96FFC" w:rsidSect="00DD1236">
          <w:pgSz w:w="12240" w:h="15840" w:code="1"/>
          <w:pgMar w:top="720" w:right="1080" w:bottom="720" w:left="1440" w:header="720" w:footer="389" w:gutter="0"/>
          <w:pgNumType w:start="2"/>
          <w:cols w:space="720"/>
          <w:docGrid w:linePitch="360"/>
        </w:sectPr>
      </w:pPr>
    </w:p>
    <w:p w14:paraId="07C6895C" w14:textId="77777777" w:rsidR="00D52AE5" w:rsidRPr="00D52AE5" w:rsidRDefault="00D52AE5" w:rsidP="00D52AE5">
      <w:pPr>
        <w:pStyle w:val="Heading1"/>
        <w:numPr>
          <w:ilvl w:val="0"/>
          <w:numId w:val="0"/>
        </w:numPr>
        <w:ind w:left="360"/>
        <w:jc w:val="both"/>
        <w:rPr>
          <w:b w:val="0"/>
          <w:sz w:val="24"/>
          <w:szCs w:val="24"/>
        </w:rPr>
      </w:pPr>
    </w:p>
    <w:p w14:paraId="669047D1" w14:textId="77777777" w:rsidR="00CE5B8A" w:rsidRPr="00774629" w:rsidRDefault="007D5A75" w:rsidP="007D5A75">
      <w:pPr>
        <w:pStyle w:val="Heading1"/>
      </w:pPr>
      <w:bookmarkStart w:id="1" w:name="_Toc57018264"/>
      <w:r>
        <w:t>INTRODUCTION</w:t>
      </w:r>
      <w:bookmarkEnd w:id="1"/>
    </w:p>
    <w:p w14:paraId="481FFC02" w14:textId="77777777" w:rsidR="00D435EC" w:rsidRPr="007D5A75" w:rsidRDefault="00D435EC"/>
    <w:p w14:paraId="0E13C5D3" w14:textId="77777777" w:rsidR="00E00FB4" w:rsidRDefault="00E00FB4" w:rsidP="00E00FB4">
      <w:pPr>
        <w:rPr>
          <w:rFonts w:ascii="Palatino" w:hAnsi="Palatino"/>
        </w:rPr>
      </w:pPr>
      <w:r>
        <w:rPr>
          <w:rFonts w:ascii="Palatino" w:hAnsi="Palatino"/>
        </w:rPr>
        <w:t>Electrical conductors are present in numerous applications around the Laboratory.  Some are associa</w:t>
      </w:r>
      <w:r w:rsidR="00C80E9C">
        <w:rPr>
          <w:rFonts w:ascii="Palatino" w:hAnsi="Palatino"/>
        </w:rPr>
        <w:t xml:space="preserve">ted with typical industrial or research </w:t>
      </w:r>
      <w:r>
        <w:rPr>
          <w:rFonts w:ascii="Palatino" w:hAnsi="Palatino"/>
        </w:rPr>
        <w:t>&amp;</w:t>
      </w:r>
      <w:r w:rsidR="00C80E9C">
        <w:rPr>
          <w:rFonts w:ascii="Palatino" w:hAnsi="Palatino"/>
        </w:rPr>
        <w:t xml:space="preserve"> development</w:t>
      </w:r>
      <w:r>
        <w:rPr>
          <w:rFonts w:ascii="Palatino" w:hAnsi="Palatino"/>
        </w:rPr>
        <w:t xml:space="preserve"> applications.  Protection of individuals from the associated hazards of high voltage and/or high current that such conductors present when energized falls within the scope of, and shall be in accordance with, the requirements of the mandatory standards of </w:t>
      </w:r>
      <w:hyperlink r:id="rId11" w:history="1">
        <w:r w:rsidR="00A22056">
          <w:rPr>
            <w:rStyle w:val="Hyperlink"/>
            <w:rFonts w:ascii="Palatino" w:hAnsi="Palatino"/>
          </w:rPr>
          <w:t>Chapter 9100</w:t>
        </w:r>
      </w:hyperlink>
      <w:r w:rsidR="00C80E9C">
        <w:rPr>
          <w:rFonts w:ascii="Palatino" w:hAnsi="Palatino"/>
        </w:rPr>
        <w:t xml:space="preserve">, </w:t>
      </w:r>
      <w:r w:rsidR="00C80E9C">
        <w:rPr>
          <w:rFonts w:ascii="Palatino" w:hAnsi="Palatino"/>
          <w:i/>
        </w:rPr>
        <w:t>Fermilab Electrical Safety Program</w:t>
      </w:r>
      <w:r>
        <w:rPr>
          <w:rFonts w:ascii="Palatino" w:hAnsi="Palatino"/>
        </w:rPr>
        <w:t xml:space="preserve">  </w:t>
      </w:r>
    </w:p>
    <w:p w14:paraId="2798F51D" w14:textId="77777777" w:rsidR="00E00FB4" w:rsidRDefault="00E00FB4" w:rsidP="00E00FB4">
      <w:pPr>
        <w:rPr>
          <w:rFonts w:ascii="Palatino" w:hAnsi="Palatino"/>
        </w:rPr>
      </w:pPr>
    </w:p>
    <w:p w14:paraId="32001BA0" w14:textId="77777777" w:rsidR="00E00FB4" w:rsidRDefault="00E00FB4" w:rsidP="00E00FB4">
      <w:pPr>
        <w:rPr>
          <w:rFonts w:ascii="Palatino" w:hAnsi="Palatino"/>
        </w:rPr>
      </w:pPr>
      <w:r>
        <w:rPr>
          <w:rFonts w:ascii="Palatino" w:hAnsi="Palatino"/>
        </w:rPr>
        <w:t>The following policy and requirements apply only to those exposed high voltage or current conductors associated with powering accelerator and/or beamline components, such as magnets, experimental area components, or such components when in test or conditioning areas.  Such exposed conductors are generally referred to as "bus bar" or "bus".</w:t>
      </w:r>
    </w:p>
    <w:p w14:paraId="4930848B" w14:textId="77777777" w:rsidR="00E00FB4" w:rsidRDefault="00E00FB4" w:rsidP="00E00FB4">
      <w:pPr>
        <w:rPr>
          <w:rFonts w:ascii="Palatino" w:hAnsi="Palatino"/>
        </w:rPr>
      </w:pPr>
    </w:p>
    <w:p w14:paraId="6559A3E8" w14:textId="77777777" w:rsidR="00E00FB4" w:rsidRDefault="00E00FB4" w:rsidP="00E00FB4">
      <w:pPr>
        <w:rPr>
          <w:rFonts w:ascii="Palatino" w:hAnsi="Palatino"/>
        </w:rPr>
      </w:pPr>
      <w:r>
        <w:rPr>
          <w:rFonts w:ascii="Palatino" w:hAnsi="Palatino"/>
        </w:rPr>
        <w:t xml:space="preserve">It is the policy of the Laboratory that individuals be protected from any reasonably inadvertent contact with such high voltage or high current bus when energized.  This chapter describes requirements for protecting personnel from the particular and unique hazards of such bus.  The requirements of this chapter are not alternatives to those of </w:t>
      </w:r>
      <w:hyperlink r:id="rId12" w:history="1">
        <w:r w:rsidR="00A22056">
          <w:rPr>
            <w:rStyle w:val="Hyperlink"/>
            <w:rFonts w:ascii="Palatino" w:hAnsi="Palatino"/>
          </w:rPr>
          <w:t>Chapter 2100</w:t>
        </w:r>
      </w:hyperlink>
      <w:r>
        <w:rPr>
          <w:rFonts w:ascii="Palatino" w:hAnsi="Palatino"/>
        </w:rPr>
        <w:t xml:space="preserve">, </w:t>
      </w:r>
      <w:r w:rsidRPr="00754B36">
        <w:rPr>
          <w:rFonts w:ascii="Palatino" w:hAnsi="Palatino"/>
          <w:i/>
        </w:rPr>
        <w:t>Fermilab Energy Control Program (Lockout/Tagout)</w:t>
      </w:r>
      <w:r>
        <w:rPr>
          <w:rFonts w:ascii="Palatino" w:hAnsi="Palatino"/>
        </w:rPr>
        <w:t xml:space="preserve">, which deals with servicing, maintenance, or modification activities.  Adherence to </w:t>
      </w:r>
      <w:hyperlink r:id="rId13" w:history="1">
        <w:r w:rsidR="00A22056">
          <w:rPr>
            <w:rStyle w:val="Hyperlink"/>
            <w:rFonts w:ascii="Palatino" w:hAnsi="Palatino"/>
          </w:rPr>
          <w:t>Chapter 2100</w:t>
        </w:r>
      </w:hyperlink>
      <w:r>
        <w:rPr>
          <w:rFonts w:ascii="Palatino" w:hAnsi="Palatino"/>
        </w:rPr>
        <w:t xml:space="preserve"> offers protection to personnel performing such activities on or near an electrical bus, while adherence to this chapter's requirements offers protection to all personnel in proximity to such bus.</w:t>
      </w:r>
    </w:p>
    <w:p w14:paraId="3AF1EC33" w14:textId="77777777" w:rsidR="007D5A75" w:rsidRDefault="007D5A75" w:rsidP="00E00D72"/>
    <w:p w14:paraId="6DFF3019" w14:textId="77777777" w:rsidR="007D5A75" w:rsidRDefault="007D5A75" w:rsidP="007D5A75">
      <w:pPr>
        <w:pStyle w:val="Heading1"/>
        <w:rPr>
          <w:kern w:val="0"/>
        </w:rPr>
      </w:pPr>
      <w:bookmarkStart w:id="2" w:name="_Toc57018265"/>
      <w:r>
        <w:rPr>
          <w:kern w:val="0"/>
        </w:rPr>
        <w:t>DEFINITIONS</w:t>
      </w:r>
      <w:bookmarkEnd w:id="2"/>
    </w:p>
    <w:p w14:paraId="71E52B89" w14:textId="77777777" w:rsidR="007D5A75" w:rsidRPr="007D5A75" w:rsidRDefault="007D5A75" w:rsidP="00E00D72"/>
    <w:p w14:paraId="7FC41BBB" w14:textId="77777777" w:rsidR="00E00FB4" w:rsidRDefault="00E00FB4" w:rsidP="00E00FB4">
      <w:pPr>
        <w:rPr>
          <w:rFonts w:ascii="Palatino" w:hAnsi="Palatino"/>
        </w:rPr>
      </w:pPr>
      <w:r>
        <w:rPr>
          <w:rFonts w:ascii="Palatino" w:hAnsi="Palatino"/>
          <w:u w:val="single"/>
        </w:rPr>
        <w:t>Access Control</w:t>
      </w:r>
      <w:r>
        <w:rPr>
          <w:rFonts w:ascii="Palatino" w:hAnsi="Palatino"/>
        </w:rPr>
        <w:t xml:space="preserve"> - Various means, including controlled keys, interlocks, Kirk™ type key transfer systems, signs, barriers, and administrative procedures that limit access to an area to certain individuals.</w:t>
      </w:r>
    </w:p>
    <w:p w14:paraId="2168C39B" w14:textId="77777777" w:rsidR="00E00FB4" w:rsidRDefault="00E00FB4" w:rsidP="00E00FB4">
      <w:pPr>
        <w:rPr>
          <w:rFonts w:ascii="Palatino" w:hAnsi="Palatino"/>
        </w:rPr>
      </w:pPr>
    </w:p>
    <w:p w14:paraId="0225B8DE" w14:textId="77777777" w:rsidR="00C5435E" w:rsidRDefault="00C5435E" w:rsidP="00E00FB4">
      <w:pPr>
        <w:ind w:right="-140"/>
        <w:rPr>
          <w:rFonts w:ascii="Palatino" w:hAnsi="Palatino"/>
        </w:rPr>
      </w:pPr>
      <w:r>
        <w:rPr>
          <w:rFonts w:ascii="Palatino" w:hAnsi="Palatino"/>
          <w:u w:val="single"/>
        </w:rPr>
        <w:t>Entry Controlled Areas</w:t>
      </w:r>
      <w:r>
        <w:rPr>
          <w:rFonts w:ascii="Palatino" w:hAnsi="Palatino"/>
        </w:rPr>
        <w:t xml:space="preserve"> - areas which are normally locked or interlocked or have an equivalent type of access control that precludes entry by individuals who are not specifically aware of, trained, or otherwise qualified to avoid or mitigate exposed electrical bus hazards.</w:t>
      </w:r>
    </w:p>
    <w:p w14:paraId="1F773CE1" w14:textId="77777777" w:rsidR="00C5435E" w:rsidRDefault="00C5435E" w:rsidP="00E00FB4">
      <w:pPr>
        <w:ind w:right="-140"/>
        <w:rPr>
          <w:rFonts w:ascii="Palatino" w:hAnsi="Palatino"/>
        </w:rPr>
      </w:pPr>
    </w:p>
    <w:p w14:paraId="4B24CFB9" w14:textId="5E6D8E46" w:rsidR="00E00FB4" w:rsidRPr="00C5435E" w:rsidRDefault="00C5435E" w:rsidP="00E00FB4">
      <w:pPr>
        <w:ind w:right="-140"/>
        <w:rPr>
          <w:rFonts w:ascii="Palatino" w:hAnsi="Palatino"/>
          <w:sz w:val="22"/>
          <w:szCs w:val="22"/>
        </w:rPr>
      </w:pPr>
      <w:r w:rsidRPr="00C5435E">
        <w:rPr>
          <w:rFonts w:ascii="Palatino" w:hAnsi="Palatino"/>
          <w:i/>
          <w:iCs/>
          <w:sz w:val="22"/>
          <w:szCs w:val="22"/>
        </w:rPr>
        <w:t>Note: This definition is specific to this FESHM Chapter and does not correspond to or alter Controlled Area as defined in the FRCM Article 232 or the Controlled Access condition as defined in FRCM Article 337</w:t>
      </w:r>
      <w:r>
        <w:rPr>
          <w:rFonts w:ascii="Palatino" w:hAnsi="Palatino"/>
          <w:i/>
          <w:iCs/>
          <w:sz w:val="22"/>
          <w:szCs w:val="22"/>
        </w:rPr>
        <w:t>.</w:t>
      </w:r>
    </w:p>
    <w:p w14:paraId="5E41D1CF" w14:textId="77777777" w:rsidR="00E00FB4" w:rsidRDefault="00E00FB4" w:rsidP="00E00FB4">
      <w:pPr>
        <w:rPr>
          <w:rFonts w:ascii="Palatino" w:hAnsi="Palatino"/>
        </w:rPr>
      </w:pPr>
      <w:r>
        <w:rPr>
          <w:rFonts w:ascii="Palatino" w:hAnsi="Palatino"/>
        </w:rPr>
        <w:t xml:space="preserve">  </w:t>
      </w:r>
    </w:p>
    <w:p w14:paraId="1E1AD7BB" w14:textId="6FE0841A" w:rsidR="00E00FB4" w:rsidRPr="003B516E" w:rsidRDefault="00E00FB4" w:rsidP="00E00FB4">
      <w:pPr>
        <w:rPr>
          <w:rFonts w:ascii="Palatino" w:hAnsi="Palatino"/>
          <w:i/>
          <w:sz w:val="22"/>
          <w:szCs w:val="22"/>
        </w:rPr>
      </w:pPr>
      <w:r w:rsidRPr="003B516E">
        <w:rPr>
          <w:rFonts w:ascii="Palatino" w:hAnsi="Palatino"/>
          <w:i/>
          <w:sz w:val="22"/>
          <w:szCs w:val="22"/>
        </w:rPr>
        <w:t xml:space="preserve">Note: </w:t>
      </w:r>
      <w:r w:rsidR="00C5435E">
        <w:rPr>
          <w:rFonts w:ascii="Palatino" w:hAnsi="Palatino"/>
          <w:i/>
          <w:sz w:val="22"/>
          <w:szCs w:val="22"/>
        </w:rPr>
        <w:t>Entry</w:t>
      </w:r>
      <w:r w:rsidRPr="003B516E">
        <w:rPr>
          <w:rFonts w:ascii="Palatino" w:hAnsi="Palatino"/>
          <w:i/>
          <w:sz w:val="22"/>
          <w:szCs w:val="22"/>
        </w:rPr>
        <w:t xml:space="preserve"> is normally limited to individuals who are authorized, trained, qualified, or escorted for entry and are aware of the particular hazards that the area presents.  Examples of </w:t>
      </w:r>
      <w:r w:rsidR="003E1669">
        <w:rPr>
          <w:rFonts w:ascii="Palatino" w:hAnsi="Palatino"/>
          <w:i/>
          <w:sz w:val="22"/>
          <w:szCs w:val="22"/>
        </w:rPr>
        <w:t>entry</w:t>
      </w:r>
      <w:r w:rsidR="003E1669" w:rsidRPr="003B516E">
        <w:rPr>
          <w:rFonts w:ascii="Palatino" w:hAnsi="Palatino"/>
          <w:i/>
          <w:sz w:val="22"/>
          <w:szCs w:val="22"/>
        </w:rPr>
        <w:t>-controlled</w:t>
      </w:r>
      <w:r w:rsidRPr="003B516E">
        <w:rPr>
          <w:rFonts w:ascii="Palatino" w:hAnsi="Palatino"/>
          <w:i/>
          <w:sz w:val="22"/>
          <w:szCs w:val="22"/>
        </w:rPr>
        <w:t xml:space="preserve"> areas include accelerator enclosures and certain permanent test stand areas.</w:t>
      </w:r>
    </w:p>
    <w:p w14:paraId="06D2D922" w14:textId="77777777" w:rsidR="00E00FB4" w:rsidRPr="003B516E" w:rsidRDefault="00E00FB4" w:rsidP="00E00FB4">
      <w:pPr>
        <w:rPr>
          <w:rFonts w:ascii="Palatino" w:hAnsi="Palatino"/>
          <w:i/>
        </w:rPr>
      </w:pPr>
    </w:p>
    <w:p w14:paraId="61E0A9AB" w14:textId="77777777" w:rsidR="00E00FB4" w:rsidRDefault="00E00FB4" w:rsidP="00E00FB4">
      <w:pPr>
        <w:rPr>
          <w:rFonts w:ascii="Palatino" w:hAnsi="Palatino"/>
        </w:rPr>
      </w:pPr>
      <w:r>
        <w:rPr>
          <w:rFonts w:ascii="Palatino" w:hAnsi="Palatino"/>
          <w:u w:val="single"/>
        </w:rPr>
        <w:lastRenderedPageBreak/>
        <w:t>Electrical Interlock System</w:t>
      </w:r>
      <w:r>
        <w:rPr>
          <w:rFonts w:ascii="Palatino" w:hAnsi="Palatino"/>
        </w:rPr>
        <w:t xml:space="preserve"> - a system by which power to energized electrical utilization equipment is removed or disconnected in whole or part upon some external physical event or occurrence.</w:t>
      </w:r>
    </w:p>
    <w:p w14:paraId="02D9E76E" w14:textId="77777777" w:rsidR="00E00FB4" w:rsidRDefault="00E00FB4" w:rsidP="00E00FB4">
      <w:pPr>
        <w:rPr>
          <w:rFonts w:ascii="Palatino" w:hAnsi="Palatino"/>
        </w:rPr>
      </w:pPr>
      <w:r>
        <w:rPr>
          <w:rFonts w:ascii="Palatino" w:hAnsi="Palatino"/>
        </w:rPr>
        <w:t xml:space="preserve">  </w:t>
      </w:r>
    </w:p>
    <w:p w14:paraId="7C90266C" w14:textId="77777777" w:rsidR="00E00FB4" w:rsidRPr="003B516E" w:rsidRDefault="00E00FB4" w:rsidP="00E00FB4">
      <w:pPr>
        <w:rPr>
          <w:rFonts w:ascii="Palatino" w:hAnsi="Palatino"/>
          <w:i/>
          <w:sz w:val="22"/>
          <w:szCs w:val="22"/>
        </w:rPr>
      </w:pPr>
      <w:r w:rsidRPr="003B516E">
        <w:rPr>
          <w:rFonts w:ascii="Palatino" w:hAnsi="Palatino"/>
          <w:i/>
          <w:sz w:val="22"/>
          <w:szCs w:val="22"/>
        </w:rPr>
        <w:t>Note: An Electrical Interlock System, as referred to in this Chapter, is separate and distinct from the concept and requirements of a Radiation Safety Interlock System, as described in the Fermilab Radiological Control Manual.</w:t>
      </w:r>
      <w:r>
        <w:rPr>
          <w:rFonts w:ascii="Palatino" w:hAnsi="Palatino"/>
          <w:i/>
          <w:sz w:val="22"/>
          <w:szCs w:val="22"/>
        </w:rPr>
        <w:t xml:space="preserve">   </w:t>
      </w:r>
      <w:r w:rsidRPr="003B516E">
        <w:rPr>
          <w:rFonts w:ascii="Palatino" w:hAnsi="Palatino"/>
          <w:i/>
          <w:sz w:val="22"/>
          <w:szCs w:val="22"/>
        </w:rPr>
        <w:t xml:space="preserve">  http://esh.fnal.gov/xms/FRCM</w:t>
      </w:r>
    </w:p>
    <w:p w14:paraId="411EF7AB" w14:textId="77777777" w:rsidR="00E00FB4" w:rsidRDefault="00E00FB4" w:rsidP="00E00FB4">
      <w:pPr>
        <w:rPr>
          <w:rFonts w:ascii="Palatino" w:hAnsi="Palatino"/>
        </w:rPr>
      </w:pPr>
    </w:p>
    <w:p w14:paraId="5C104465" w14:textId="66F95834" w:rsidR="00E00FB4" w:rsidRDefault="00E00FB4" w:rsidP="00E00FB4">
      <w:pPr>
        <w:rPr>
          <w:rFonts w:ascii="Palatino" w:hAnsi="Palatino"/>
        </w:rPr>
      </w:pPr>
      <w:r>
        <w:rPr>
          <w:rFonts w:ascii="Palatino" w:hAnsi="Palatino"/>
          <w:u w:val="single"/>
        </w:rPr>
        <w:t>High Current Bus</w:t>
      </w:r>
      <w:r>
        <w:rPr>
          <w:rFonts w:ascii="Palatino" w:hAnsi="Palatino"/>
        </w:rPr>
        <w:t xml:space="preserve"> </w:t>
      </w:r>
      <w:r w:rsidR="000A13D0">
        <w:rPr>
          <w:rFonts w:ascii="Palatino" w:hAnsi="Palatino"/>
        </w:rPr>
        <w:t xml:space="preserve">(see note below) </w:t>
      </w:r>
      <w:r>
        <w:rPr>
          <w:rFonts w:ascii="Palatino" w:hAnsi="Palatino"/>
        </w:rPr>
        <w:t>- any exposed conductor connected to a power source capable of delivering a current of 100 amp</w:t>
      </w:r>
      <w:r w:rsidR="00C80E9C">
        <w:rPr>
          <w:rFonts w:ascii="Palatino" w:hAnsi="Palatino"/>
        </w:rPr>
        <w:t>ere</w:t>
      </w:r>
      <w:r>
        <w:rPr>
          <w:rFonts w:ascii="Palatino" w:hAnsi="Palatino"/>
        </w:rPr>
        <w:t>s or more to accelerator, beamline, experimental area components, or such components when in test or conditioning areas.</w:t>
      </w:r>
    </w:p>
    <w:p w14:paraId="771CB865" w14:textId="77777777" w:rsidR="00E00FB4" w:rsidRDefault="00E00FB4" w:rsidP="00E00FB4">
      <w:pPr>
        <w:rPr>
          <w:rFonts w:ascii="Palatino" w:hAnsi="Palatino"/>
        </w:rPr>
      </w:pPr>
    </w:p>
    <w:p w14:paraId="23DAF580" w14:textId="533E5172" w:rsidR="00E00FB4" w:rsidRDefault="00E00FB4" w:rsidP="00E00FB4">
      <w:pPr>
        <w:rPr>
          <w:rFonts w:ascii="Palatino" w:hAnsi="Palatino"/>
        </w:rPr>
      </w:pPr>
      <w:r>
        <w:rPr>
          <w:rFonts w:ascii="Palatino" w:hAnsi="Palatino"/>
          <w:u w:val="single"/>
        </w:rPr>
        <w:t>High Voltage Bus</w:t>
      </w:r>
      <w:r>
        <w:rPr>
          <w:rFonts w:ascii="Palatino" w:hAnsi="Palatino"/>
        </w:rPr>
        <w:t xml:space="preserve"> </w:t>
      </w:r>
      <w:r w:rsidR="000A13D0">
        <w:rPr>
          <w:rFonts w:ascii="Palatino" w:hAnsi="Palatino"/>
        </w:rPr>
        <w:t xml:space="preserve">(see note below) </w:t>
      </w:r>
      <w:r>
        <w:rPr>
          <w:rFonts w:ascii="Palatino" w:hAnsi="Palatino"/>
        </w:rPr>
        <w:t xml:space="preserve">- any exposed conductor connected to a power source capable of delivering a </w:t>
      </w:r>
      <w:r w:rsidR="00C80E9C">
        <w:rPr>
          <w:rFonts w:ascii="Palatino" w:hAnsi="Palatino"/>
        </w:rPr>
        <w:t>potential</w:t>
      </w:r>
      <w:r>
        <w:rPr>
          <w:rFonts w:ascii="Palatino" w:hAnsi="Palatino"/>
        </w:rPr>
        <w:t xml:space="preserve"> of 1000 volts or more and with a designed or rated output power greater than 50 volt-amperes to accelerator, beamline, experimental area components, or such components when in test or conditioning areas.</w:t>
      </w:r>
    </w:p>
    <w:p w14:paraId="2208FE40" w14:textId="77777777" w:rsidR="00E00FB4" w:rsidRDefault="00E00FB4" w:rsidP="00E00FB4">
      <w:pPr>
        <w:rPr>
          <w:rFonts w:ascii="Palatino" w:hAnsi="Palatino"/>
          <w:u w:val="single"/>
        </w:rPr>
      </w:pPr>
    </w:p>
    <w:p w14:paraId="4E0EB36B" w14:textId="037860DE" w:rsidR="00E00FB4" w:rsidRDefault="00C5435E" w:rsidP="00E00FB4">
      <w:pPr>
        <w:rPr>
          <w:rFonts w:ascii="Palatino" w:hAnsi="Palatino"/>
        </w:rPr>
      </w:pPr>
      <w:r>
        <w:rPr>
          <w:rFonts w:ascii="Palatino" w:hAnsi="Palatino"/>
          <w:u w:val="single"/>
        </w:rPr>
        <w:t>Open Entry Areas</w:t>
      </w:r>
      <w:r>
        <w:rPr>
          <w:rFonts w:ascii="Palatino" w:hAnsi="Palatino"/>
        </w:rPr>
        <w:t xml:space="preserve"> - areas which are not locked, or locked areas which do not have entry control that effectively deters entry by individuals who are not specifically aware of, trained, or otherwise qualified to avoid or mitigate exposed electrical bus hazards</w:t>
      </w:r>
      <w:r w:rsidR="00E00FB4">
        <w:rPr>
          <w:rFonts w:ascii="Palatino" w:hAnsi="Palatino"/>
        </w:rPr>
        <w:t xml:space="preserve">.  </w:t>
      </w:r>
    </w:p>
    <w:p w14:paraId="2505E55E" w14:textId="77777777" w:rsidR="00E00FB4" w:rsidRDefault="00E00FB4" w:rsidP="00E00FB4">
      <w:pPr>
        <w:rPr>
          <w:rFonts w:ascii="Palatino" w:hAnsi="Palatino"/>
        </w:rPr>
      </w:pPr>
      <w:r>
        <w:rPr>
          <w:rFonts w:ascii="Palatino" w:hAnsi="Palatino"/>
        </w:rPr>
        <w:t xml:space="preserve"> </w:t>
      </w:r>
    </w:p>
    <w:p w14:paraId="6E3D044A" w14:textId="4F702482" w:rsidR="00B01A18" w:rsidRPr="00B01A18" w:rsidRDefault="00E00FB4" w:rsidP="00E00FB4">
      <w:pPr>
        <w:rPr>
          <w:rFonts w:ascii="Palatino" w:hAnsi="Palatino"/>
          <w:i/>
          <w:sz w:val="22"/>
          <w:szCs w:val="22"/>
        </w:rPr>
      </w:pPr>
      <w:r w:rsidRPr="003B516E">
        <w:rPr>
          <w:rFonts w:ascii="Palatino" w:hAnsi="Palatino"/>
          <w:i/>
          <w:sz w:val="22"/>
          <w:szCs w:val="22"/>
        </w:rPr>
        <w:t xml:space="preserve">Examples of open </w:t>
      </w:r>
      <w:r w:rsidR="00C5435E">
        <w:rPr>
          <w:rFonts w:ascii="Palatino" w:hAnsi="Palatino"/>
          <w:i/>
          <w:sz w:val="22"/>
          <w:szCs w:val="22"/>
        </w:rPr>
        <w:t>entry</w:t>
      </w:r>
      <w:r w:rsidRPr="003B516E">
        <w:rPr>
          <w:rFonts w:ascii="Palatino" w:hAnsi="Palatino"/>
          <w:i/>
          <w:sz w:val="22"/>
          <w:szCs w:val="22"/>
        </w:rPr>
        <w:t xml:space="preserve"> areas include accelerator and beam line service buildings, equipment galleries, and lab areas.  Test areas of limited duration are often established in open </w:t>
      </w:r>
      <w:r w:rsidR="00C5435E">
        <w:rPr>
          <w:rFonts w:ascii="Palatino" w:hAnsi="Palatino"/>
          <w:i/>
          <w:sz w:val="22"/>
          <w:szCs w:val="22"/>
        </w:rPr>
        <w:t>entry</w:t>
      </w:r>
      <w:r w:rsidRPr="003B516E">
        <w:rPr>
          <w:rFonts w:ascii="Palatino" w:hAnsi="Palatino"/>
          <w:i/>
          <w:sz w:val="22"/>
          <w:szCs w:val="22"/>
        </w:rPr>
        <w:t xml:space="preserve"> areas.</w:t>
      </w:r>
    </w:p>
    <w:p w14:paraId="35DA6D1D" w14:textId="77777777" w:rsidR="00B01A18" w:rsidRPr="00B01A18" w:rsidRDefault="00B01A18" w:rsidP="00E00FB4">
      <w:pPr>
        <w:rPr>
          <w:rFonts w:ascii="Palatino" w:hAnsi="Palatino"/>
          <w:i/>
          <w:sz w:val="22"/>
          <w:szCs w:val="22"/>
        </w:rPr>
      </w:pPr>
    </w:p>
    <w:p w14:paraId="1798D079" w14:textId="77777777" w:rsidR="00E00FB4" w:rsidRPr="00B01A18" w:rsidRDefault="00B01A18" w:rsidP="00E00FB4">
      <w:pPr>
        <w:rPr>
          <w:rFonts w:ascii="Palatino" w:hAnsi="Palatino"/>
          <w:i/>
          <w:sz w:val="22"/>
          <w:szCs w:val="22"/>
        </w:rPr>
      </w:pPr>
      <w:r>
        <w:rPr>
          <w:rFonts w:ascii="Palatino" w:hAnsi="Palatino"/>
          <w:i/>
          <w:sz w:val="22"/>
          <w:szCs w:val="22"/>
        </w:rPr>
        <w:t>Note: The threshold values identified in definitions of High Current Bus and High Voltage Bus are used only to determine to which electrical conductors the requirements of this chapter apply</w:t>
      </w:r>
      <w:r w:rsidR="00E07A52">
        <w:rPr>
          <w:rFonts w:ascii="Palatino" w:hAnsi="Palatino"/>
          <w:i/>
          <w:sz w:val="22"/>
          <w:szCs w:val="22"/>
        </w:rPr>
        <w:t xml:space="preserve"> and are not applicable to determining threshold values for personnel exposure. Those thresholds are found in </w:t>
      </w:r>
      <w:hyperlink r:id="rId14" w:history="1">
        <w:r w:rsidR="00E07A52" w:rsidRPr="00E07A52">
          <w:rPr>
            <w:rStyle w:val="Hyperlink"/>
            <w:rFonts w:ascii="Palatino" w:hAnsi="Palatino"/>
            <w:i/>
            <w:sz w:val="22"/>
            <w:szCs w:val="22"/>
          </w:rPr>
          <w:t>Chapter 9100</w:t>
        </w:r>
      </w:hyperlink>
      <w:r w:rsidR="00E07A52">
        <w:rPr>
          <w:rFonts w:ascii="Palatino" w:hAnsi="Palatino"/>
          <w:i/>
          <w:sz w:val="22"/>
          <w:szCs w:val="22"/>
        </w:rPr>
        <w:t>.</w:t>
      </w:r>
    </w:p>
    <w:p w14:paraId="5C826AC0" w14:textId="77777777" w:rsidR="006A7918" w:rsidRPr="006A7918" w:rsidRDefault="006A7918" w:rsidP="00E00D72"/>
    <w:p w14:paraId="12463BD1" w14:textId="77777777" w:rsidR="00554664" w:rsidRDefault="00554664" w:rsidP="006A7918">
      <w:pPr>
        <w:pStyle w:val="Heading1"/>
        <w:keepNext w:val="0"/>
      </w:pPr>
      <w:bookmarkStart w:id="3" w:name="_Toc57018266"/>
      <w:r>
        <w:t>RE</w:t>
      </w:r>
      <w:r w:rsidR="00E00FB4">
        <w:t>QUIREMENTS</w:t>
      </w:r>
      <w:bookmarkEnd w:id="3"/>
    </w:p>
    <w:p w14:paraId="2B718244" w14:textId="77777777" w:rsidR="00554664" w:rsidRPr="00263F3B" w:rsidRDefault="00554664" w:rsidP="00E00D72"/>
    <w:p w14:paraId="3C9F2D2A" w14:textId="77777777" w:rsidR="00E00FB4" w:rsidRDefault="00E00FB4" w:rsidP="00E00FB4">
      <w:pPr>
        <w:ind w:left="540" w:hanging="540"/>
        <w:rPr>
          <w:rFonts w:ascii="Palatino" w:hAnsi="Palatino"/>
        </w:rPr>
      </w:pPr>
      <w:r>
        <w:rPr>
          <w:rFonts w:ascii="Palatino" w:hAnsi="Palatino"/>
        </w:rPr>
        <w:t>1.</w:t>
      </w:r>
      <w:r>
        <w:rPr>
          <w:rFonts w:ascii="Palatino" w:hAnsi="Palatino"/>
        </w:rPr>
        <w:tab/>
        <w:t>Exposed high voltage or high current bus shall be protected from accidental approach or contact by persons or objects.</w:t>
      </w:r>
    </w:p>
    <w:p w14:paraId="41948285" w14:textId="77777777" w:rsidR="00E00FB4" w:rsidRDefault="00E00FB4" w:rsidP="00E00FB4">
      <w:pPr>
        <w:rPr>
          <w:rFonts w:ascii="Palatino" w:hAnsi="Palatino"/>
        </w:rPr>
      </w:pPr>
    </w:p>
    <w:p w14:paraId="795FEF1F" w14:textId="244675B9" w:rsidR="00E00FB4" w:rsidRDefault="00E00FB4" w:rsidP="00E00FB4">
      <w:pPr>
        <w:ind w:left="1080" w:hanging="540"/>
        <w:rPr>
          <w:rFonts w:ascii="Palatino" w:hAnsi="Palatino"/>
        </w:rPr>
      </w:pPr>
      <w:r>
        <w:rPr>
          <w:rFonts w:ascii="Palatino" w:hAnsi="Palatino"/>
        </w:rPr>
        <w:t>a.</w:t>
      </w:r>
      <w:r>
        <w:rPr>
          <w:rFonts w:ascii="Palatino" w:hAnsi="Palatino"/>
        </w:rPr>
        <w:tab/>
        <w:t xml:space="preserve">In </w:t>
      </w:r>
      <w:r>
        <w:rPr>
          <w:rFonts w:ascii="Palatino" w:hAnsi="Palatino"/>
          <w:u w:val="single"/>
        </w:rPr>
        <w:t xml:space="preserve">open </w:t>
      </w:r>
      <w:r w:rsidR="00C5435E">
        <w:rPr>
          <w:rFonts w:ascii="Palatino" w:hAnsi="Palatino"/>
          <w:u w:val="single"/>
        </w:rPr>
        <w:t>entry</w:t>
      </w:r>
      <w:r>
        <w:rPr>
          <w:rFonts w:ascii="Palatino" w:hAnsi="Palatino"/>
          <w:u w:val="single"/>
        </w:rPr>
        <w:t xml:space="preserve"> areas</w:t>
      </w:r>
      <w:r>
        <w:rPr>
          <w:rFonts w:ascii="Palatino" w:hAnsi="Palatino"/>
        </w:rPr>
        <w:t>, protection shall be accomplished by providing physical barriers to approach and contact such as insulation, guards, covers, enclosures, screens, platforms, or other suitable physical protection.  Warning signage and/or flashing lights may also be selectively employed if judged appropriate.  These requirements apply to temporary test areas having exposed high voltage or high current bus.</w:t>
      </w:r>
    </w:p>
    <w:p w14:paraId="70656B0D" w14:textId="77777777" w:rsidR="00E00FB4" w:rsidRDefault="00E00FB4" w:rsidP="00E00FB4">
      <w:pPr>
        <w:ind w:left="1080" w:hanging="540"/>
        <w:rPr>
          <w:rFonts w:ascii="Palatino" w:hAnsi="Palatino"/>
        </w:rPr>
      </w:pPr>
    </w:p>
    <w:p w14:paraId="7DC8B60C" w14:textId="14F28BF0" w:rsidR="00E00FB4" w:rsidRDefault="00E00FB4" w:rsidP="00E00FB4">
      <w:pPr>
        <w:ind w:left="1080" w:hanging="540"/>
        <w:rPr>
          <w:rFonts w:ascii="Palatino" w:hAnsi="Palatino"/>
        </w:rPr>
      </w:pPr>
      <w:r>
        <w:rPr>
          <w:rFonts w:ascii="Palatino" w:hAnsi="Palatino"/>
        </w:rPr>
        <w:t>b.</w:t>
      </w:r>
      <w:r>
        <w:rPr>
          <w:rFonts w:ascii="Palatino" w:hAnsi="Palatino"/>
        </w:rPr>
        <w:tab/>
        <w:t xml:space="preserve">In </w:t>
      </w:r>
      <w:r w:rsidR="003E1669">
        <w:rPr>
          <w:rFonts w:ascii="Palatino" w:hAnsi="Palatino"/>
          <w:u w:val="single"/>
        </w:rPr>
        <w:t>entry-controlled</w:t>
      </w:r>
      <w:r>
        <w:rPr>
          <w:rFonts w:ascii="Palatino" w:hAnsi="Palatino"/>
          <w:u w:val="single"/>
        </w:rPr>
        <w:t xml:space="preserve"> areas</w:t>
      </w:r>
      <w:r>
        <w:rPr>
          <w:rFonts w:ascii="Palatino" w:hAnsi="Palatino"/>
        </w:rPr>
        <w:t>, protection shall be accomplished by providing:</w:t>
      </w:r>
    </w:p>
    <w:p w14:paraId="17FCF2F5" w14:textId="77777777" w:rsidR="00E00FB4" w:rsidRDefault="00E00FB4" w:rsidP="00E00FB4">
      <w:pPr>
        <w:ind w:left="1080" w:hanging="540"/>
        <w:rPr>
          <w:rFonts w:ascii="Palatino" w:hAnsi="Palatino"/>
        </w:rPr>
      </w:pPr>
    </w:p>
    <w:p w14:paraId="5E015993" w14:textId="5E8659A1" w:rsidR="00E00FB4" w:rsidRDefault="00E00FB4" w:rsidP="00E00FB4">
      <w:pPr>
        <w:pStyle w:val="indent2"/>
        <w:tabs>
          <w:tab w:val="clear" w:pos="1980"/>
          <w:tab w:val="clear" w:pos="9720"/>
        </w:tabs>
        <w:ind w:left="1620"/>
        <w:rPr>
          <w:rFonts w:ascii="Palatino" w:hAnsi="Palatino"/>
          <w:sz w:val="24"/>
        </w:rPr>
      </w:pPr>
      <w:r>
        <w:rPr>
          <w:rFonts w:ascii="Palatino" w:hAnsi="Palatino"/>
          <w:sz w:val="24"/>
        </w:rPr>
        <w:lastRenderedPageBreak/>
        <w:t>i</w:t>
      </w:r>
      <w:r>
        <w:rPr>
          <w:rFonts w:ascii="Palatino" w:hAnsi="Palatino"/>
          <w:sz w:val="24"/>
        </w:rPr>
        <w:tab/>
        <w:t xml:space="preserve">Physical barriers to approach and contact such as insulation, guards, covers, enclosures, screens, platforms, or other suitable physical protection, equivalent to that required for open </w:t>
      </w:r>
      <w:r w:rsidR="00C5435E">
        <w:rPr>
          <w:rFonts w:ascii="Palatino" w:hAnsi="Palatino"/>
          <w:sz w:val="24"/>
        </w:rPr>
        <w:t>entry</w:t>
      </w:r>
      <w:r>
        <w:rPr>
          <w:rFonts w:ascii="Palatino" w:hAnsi="Palatino"/>
          <w:sz w:val="24"/>
        </w:rPr>
        <w:t xml:space="preserve"> areas; OR</w:t>
      </w:r>
    </w:p>
    <w:p w14:paraId="74D63B8F" w14:textId="77777777" w:rsidR="00E00FB4" w:rsidRDefault="00E00FB4" w:rsidP="00E00FB4">
      <w:pPr>
        <w:pStyle w:val="indent2"/>
        <w:tabs>
          <w:tab w:val="clear" w:pos="1980"/>
          <w:tab w:val="clear" w:pos="9720"/>
        </w:tabs>
        <w:ind w:left="1620"/>
        <w:rPr>
          <w:rFonts w:ascii="Palatino" w:hAnsi="Palatino"/>
          <w:sz w:val="24"/>
        </w:rPr>
      </w:pPr>
    </w:p>
    <w:p w14:paraId="59B7D103" w14:textId="479DA418" w:rsidR="00E00FB4" w:rsidRDefault="00E00FB4" w:rsidP="00E00FB4">
      <w:pPr>
        <w:pStyle w:val="indent2"/>
        <w:tabs>
          <w:tab w:val="clear" w:pos="1980"/>
          <w:tab w:val="clear" w:pos="9720"/>
        </w:tabs>
        <w:ind w:left="1620"/>
        <w:rPr>
          <w:rFonts w:ascii="Palatino" w:hAnsi="Palatino"/>
          <w:sz w:val="24"/>
        </w:rPr>
      </w:pPr>
      <w:r>
        <w:rPr>
          <w:rFonts w:ascii="Palatino" w:hAnsi="Palatino"/>
          <w:sz w:val="24"/>
        </w:rPr>
        <w:t>ii</w:t>
      </w:r>
      <w:r>
        <w:rPr>
          <w:rFonts w:ascii="Palatino" w:hAnsi="Palatino"/>
          <w:sz w:val="24"/>
        </w:rPr>
        <w:tab/>
        <w:t>Interlocked entrances where, upon entrance or approach to the area, the interlock system shall de-energize or trip the power source for any exposed high voltage or high current bus; OR</w:t>
      </w:r>
    </w:p>
    <w:p w14:paraId="7BDA47DD" w14:textId="77777777" w:rsidR="00E00FB4" w:rsidRDefault="00E00FB4" w:rsidP="00E00FB4">
      <w:pPr>
        <w:pStyle w:val="indent2"/>
        <w:tabs>
          <w:tab w:val="clear" w:pos="1980"/>
          <w:tab w:val="clear" w:pos="9720"/>
        </w:tabs>
        <w:ind w:left="1620"/>
        <w:rPr>
          <w:rFonts w:ascii="Palatino" w:hAnsi="Palatino"/>
          <w:sz w:val="24"/>
        </w:rPr>
      </w:pPr>
    </w:p>
    <w:p w14:paraId="0003D915" w14:textId="5B2EDE9E" w:rsidR="00E00FB4" w:rsidRDefault="00E00FB4" w:rsidP="00E00FB4">
      <w:pPr>
        <w:pStyle w:val="indent2"/>
        <w:tabs>
          <w:tab w:val="clear" w:pos="1980"/>
          <w:tab w:val="clear" w:pos="9720"/>
        </w:tabs>
        <w:ind w:left="1620"/>
        <w:rPr>
          <w:rFonts w:ascii="Palatino" w:hAnsi="Palatino"/>
          <w:sz w:val="24"/>
        </w:rPr>
      </w:pPr>
      <w:r>
        <w:rPr>
          <w:rFonts w:ascii="Palatino" w:hAnsi="Palatino"/>
          <w:sz w:val="24"/>
        </w:rPr>
        <w:t>iii</w:t>
      </w:r>
      <w:r>
        <w:rPr>
          <w:rFonts w:ascii="Palatino" w:hAnsi="Palatino"/>
          <w:sz w:val="24"/>
        </w:rPr>
        <w:tab/>
        <w:t>(For electrical test or temporary areas without interlocked entrances (less desired)) Positive de-energization of the power source for any exposed high voltage or high current bus prior to entrance to the area and locking out the power source by configuration control locks or other equivalent means.  Implementation of this means of protection shall be approved by the Division/Section/</w:t>
      </w:r>
      <w:r w:rsidR="00514BDD">
        <w:rPr>
          <w:rFonts w:ascii="Palatino" w:hAnsi="Palatino"/>
          <w:sz w:val="24"/>
        </w:rPr>
        <w:t>Project</w:t>
      </w:r>
      <w:r>
        <w:rPr>
          <w:rFonts w:ascii="Palatino" w:hAnsi="Palatino"/>
          <w:sz w:val="24"/>
        </w:rPr>
        <w:t xml:space="preserve"> Head and the </w:t>
      </w:r>
      <w:r w:rsidR="007240D3">
        <w:rPr>
          <w:rFonts w:ascii="Palatino" w:hAnsi="Palatino"/>
          <w:sz w:val="24"/>
        </w:rPr>
        <w:t>Division</w:t>
      </w:r>
      <w:r>
        <w:rPr>
          <w:rFonts w:ascii="Palatino" w:hAnsi="Palatino"/>
          <w:sz w:val="24"/>
        </w:rPr>
        <w:t xml:space="preserve"> Safety Officer responsible for the area.</w:t>
      </w:r>
    </w:p>
    <w:p w14:paraId="2EABAE68" w14:textId="77777777" w:rsidR="00E00FB4" w:rsidRDefault="00E00FB4" w:rsidP="00E00FB4">
      <w:pPr>
        <w:ind w:left="1620" w:hanging="540"/>
        <w:rPr>
          <w:rFonts w:ascii="Palatino" w:hAnsi="Palatino"/>
        </w:rPr>
      </w:pPr>
    </w:p>
    <w:p w14:paraId="0B4E92F8" w14:textId="3A1F6BEA" w:rsidR="00E00FB4" w:rsidRDefault="00E00FB4" w:rsidP="00E00FB4">
      <w:pPr>
        <w:ind w:left="540" w:hanging="540"/>
        <w:rPr>
          <w:rFonts w:ascii="Palatino" w:hAnsi="Palatino"/>
        </w:rPr>
      </w:pPr>
      <w:r>
        <w:rPr>
          <w:rFonts w:ascii="Palatino" w:hAnsi="Palatino"/>
        </w:rPr>
        <w:t>2.</w:t>
      </w:r>
      <w:r>
        <w:rPr>
          <w:rFonts w:ascii="Palatino" w:hAnsi="Palatino"/>
        </w:rPr>
        <w:tab/>
        <w:t>The electrical interlock system required by 1.b</w:t>
      </w:r>
      <w:r w:rsidR="00C5435E">
        <w:rPr>
          <w:rFonts w:ascii="Palatino" w:hAnsi="Palatino"/>
        </w:rPr>
        <w:t>.</w:t>
      </w:r>
      <w:r>
        <w:rPr>
          <w:rFonts w:ascii="Palatino" w:hAnsi="Palatino"/>
        </w:rPr>
        <w:t>ii above shall be bypassed only in accordance with written procedures approved by the Division/Section/</w:t>
      </w:r>
      <w:r w:rsidR="00514BDD">
        <w:rPr>
          <w:rFonts w:ascii="Palatino" w:hAnsi="Palatino"/>
        </w:rPr>
        <w:t>Project</w:t>
      </w:r>
      <w:r>
        <w:rPr>
          <w:rFonts w:ascii="Palatino" w:hAnsi="Palatino"/>
        </w:rPr>
        <w:t xml:space="preserve"> Head and the </w:t>
      </w:r>
      <w:r w:rsidR="007240D3">
        <w:rPr>
          <w:rFonts w:ascii="Palatino" w:hAnsi="Palatino"/>
        </w:rPr>
        <w:t>Division</w:t>
      </w:r>
      <w:r>
        <w:rPr>
          <w:rFonts w:ascii="Palatino" w:hAnsi="Palatino"/>
        </w:rPr>
        <w:t xml:space="preserve"> Safety Officer having jurisdiction over the area.  </w:t>
      </w:r>
    </w:p>
    <w:p w14:paraId="6068E475" w14:textId="77777777" w:rsidR="00E00FB4" w:rsidRDefault="00E00FB4" w:rsidP="00E00FB4">
      <w:pPr>
        <w:ind w:left="540" w:hanging="540"/>
        <w:rPr>
          <w:rFonts w:ascii="Palatino" w:hAnsi="Palatino"/>
        </w:rPr>
      </w:pPr>
    </w:p>
    <w:p w14:paraId="33115314" w14:textId="77777777" w:rsidR="00E00FB4" w:rsidRDefault="00E00FB4" w:rsidP="00E00FB4">
      <w:pPr>
        <w:ind w:left="540" w:hanging="540"/>
        <w:rPr>
          <w:rFonts w:ascii="Palatino" w:hAnsi="Palatino"/>
        </w:rPr>
      </w:pPr>
      <w:r>
        <w:rPr>
          <w:rFonts w:ascii="Palatino" w:hAnsi="Palatino"/>
        </w:rPr>
        <w:t>3.</w:t>
      </w:r>
      <w:r>
        <w:rPr>
          <w:rFonts w:ascii="Palatino" w:hAnsi="Palatino"/>
        </w:rPr>
        <w:tab/>
        <w:t xml:space="preserve">The presence of an electrical interlock system does NOT reduce or replace the requirements of </w:t>
      </w:r>
      <w:hyperlink r:id="rId15" w:history="1">
        <w:r w:rsidR="00A22056">
          <w:rPr>
            <w:rStyle w:val="Hyperlink"/>
            <w:rFonts w:ascii="Palatino" w:hAnsi="Palatino"/>
          </w:rPr>
          <w:t>Chapter 9100</w:t>
        </w:r>
      </w:hyperlink>
      <w:r>
        <w:rPr>
          <w:rFonts w:ascii="Palatino" w:hAnsi="Palatino"/>
        </w:rPr>
        <w:t xml:space="preserve"> or </w:t>
      </w:r>
      <w:hyperlink r:id="rId16" w:history="1">
        <w:r w:rsidR="00A22056">
          <w:rPr>
            <w:rStyle w:val="Hyperlink"/>
            <w:rFonts w:ascii="Palatino" w:hAnsi="Palatino"/>
          </w:rPr>
          <w:t>Chapter 2100</w:t>
        </w:r>
      </w:hyperlink>
      <w:r>
        <w:rPr>
          <w:rFonts w:ascii="Palatino" w:hAnsi="Palatino"/>
        </w:rPr>
        <w:t xml:space="preserve"> when specific work is to be performed on the power source (power supply) feeding the bus or work is to be performed on or near the bus or load(s) attached to the bus.</w:t>
      </w:r>
    </w:p>
    <w:p w14:paraId="3AACFE15" w14:textId="77777777" w:rsidR="00E00FB4" w:rsidRDefault="00E00FB4" w:rsidP="00E00FB4">
      <w:pPr>
        <w:tabs>
          <w:tab w:val="left" w:pos="720"/>
          <w:tab w:val="right" w:pos="9260"/>
        </w:tabs>
        <w:ind w:left="540" w:hanging="540"/>
        <w:rPr>
          <w:rFonts w:ascii="Palatino" w:hAnsi="Palatino"/>
          <w:b/>
        </w:rPr>
      </w:pPr>
    </w:p>
    <w:p w14:paraId="199C40FA" w14:textId="77777777" w:rsidR="001A74A8" w:rsidRPr="00C02A84" w:rsidRDefault="001A74A8" w:rsidP="001A74A8">
      <w:pPr>
        <w:jc w:val="center"/>
      </w:pPr>
    </w:p>
    <w:sectPr w:rsidR="001A74A8" w:rsidRPr="00C02A84" w:rsidSect="00DE35C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144AC" w14:textId="77777777" w:rsidR="000C0901" w:rsidRDefault="000C0901" w:rsidP="00CB66DF">
      <w:r>
        <w:separator/>
      </w:r>
    </w:p>
  </w:endnote>
  <w:endnote w:type="continuationSeparator" w:id="0">
    <w:p w14:paraId="3928FEC9" w14:textId="77777777" w:rsidR="000C0901" w:rsidRDefault="000C090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168A" w14:textId="77777777" w:rsidR="0081489A" w:rsidRDefault="0081489A"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r>
    <w:r w:rsidR="00A22056">
      <w:rPr>
        <w:rFonts w:ascii="Palatino" w:hAnsi="Palatino"/>
        <w:sz w:val="18"/>
      </w:rPr>
      <w:t>9140</w:t>
    </w:r>
    <w:r>
      <w:rPr>
        <w:rFonts w:ascii="Palatino" w:hAnsi="Palatino"/>
        <w:sz w:val="18"/>
      </w:rPr>
      <w:t>-</w:t>
    </w:r>
    <w:r w:rsidR="008665A6">
      <w:rPr>
        <w:rFonts w:ascii="Palatino" w:hAnsi="Palatino"/>
        <w:sz w:val="18"/>
      </w:rPr>
      <w:fldChar w:fldCharType="begin"/>
    </w:r>
    <w:r>
      <w:rPr>
        <w:rFonts w:ascii="Palatino" w:hAnsi="Palatino"/>
        <w:sz w:val="18"/>
      </w:rPr>
      <w:instrText xml:space="preserve"> PAGE  </w:instrText>
    </w:r>
    <w:r w:rsidR="008665A6">
      <w:rPr>
        <w:rFonts w:ascii="Palatino" w:hAnsi="Palatino"/>
        <w:sz w:val="18"/>
      </w:rPr>
      <w:fldChar w:fldCharType="separate"/>
    </w:r>
    <w:r w:rsidR="00754B36">
      <w:rPr>
        <w:rFonts w:ascii="Palatino" w:hAnsi="Palatino"/>
        <w:noProof/>
        <w:sz w:val="18"/>
      </w:rPr>
      <w:t>3</w:t>
    </w:r>
    <w:r w:rsidR="008665A6">
      <w:rPr>
        <w:rFonts w:ascii="Palatino" w:hAnsi="Palatino"/>
        <w:sz w:val="18"/>
      </w:rPr>
      <w:fldChar w:fldCharType="end"/>
    </w:r>
  </w:p>
  <w:p w14:paraId="61419E66" w14:textId="3DDE951B" w:rsidR="0081489A" w:rsidRDefault="0081489A" w:rsidP="00A7108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4B509E">
      <w:rPr>
        <w:rFonts w:ascii="Palatino" w:hAnsi="Palatino"/>
        <w:i/>
        <w:sz w:val="18"/>
      </w:rPr>
      <w:t>&amp;</w:t>
    </w:r>
    <w:r w:rsidRPr="00320751">
      <w:rPr>
        <w:rFonts w:ascii="Palatino" w:hAnsi="Palatino"/>
        <w:i/>
        <w:sz w:val="18"/>
      </w:rPr>
      <w:t>H Section website.</w:t>
    </w:r>
    <w:r>
      <w:rPr>
        <w:rFonts w:ascii="Palatino" w:hAnsi="Palatino"/>
        <w:sz w:val="18"/>
      </w:rPr>
      <w:tab/>
    </w:r>
    <w:r w:rsidR="00C80E9C">
      <w:rPr>
        <w:sz w:val="18"/>
        <w:szCs w:val="18"/>
      </w:rPr>
      <w:t>Rev. 1</w:t>
    </w:r>
    <w:r w:rsidR="000A13D0">
      <w:rPr>
        <w:sz w:val="18"/>
        <w:szCs w:val="18"/>
      </w:rPr>
      <w:t>1</w:t>
    </w:r>
    <w:r w:rsidRPr="00A71082">
      <w:rPr>
        <w:sz w:val="18"/>
        <w:szCs w:val="18"/>
      </w:rPr>
      <w:t>/20</w:t>
    </w:r>
    <w:r w:rsidR="00514BDD">
      <w:rPr>
        <w:sz w:val="18"/>
        <w:szCs w:val="18"/>
      </w:rPr>
      <w:t>20</w:t>
    </w:r>
    <w:r w:rsidRPr="00A71082">
      <w:rPr>
        <w:rFonts w:ascii="Palatino" w:hAnsi="Palatino"/>
        <w:sz w:val="18"/>
        <w:szCs w:val="18"/>
      </w:rPr>
      <w:t xml:space="preserve"> </w:t>
    </w:r>
    <w:r w:rsidRPr="00E131D2">
      <w:rPr>
        <w:rFonts w:ascii="Palatino" w:hAnsi="Palatino"/>
      </w:rPr>
      <w:t xml:space="preserve">    </w:t>
    </w:r>
  </w:p>
  <w:p w14:paraId="2D66890C" w14:textId="77777777" w:rsidR="0081489A" w:rsidRDefault="0081489A"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1A44A9B" w14:textId="77777777" w:rsidR="0081489A" w:rsidRPr="00DB5D5A" w:rsidRDefault="0081489A"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5D065" w14:textId="77777777" w:rsidR="000C0901" w:rsidRDefault="000C0901" w:rsidP="00CB66DF">
      <w:r>
        <w:separator/>
      </w:r>
    </w:p>
  </w:footnote>
  <w:footnote w:type="continuationSeparator" w:id="0">
    <w:p w14:paraId="7FC3EFDE" w14:textId="77777777" w:rsidR="000C0901" w:rsidRDefault="000C0901"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90"/>
      <w:gridCol w:w="4140"/>
      <w:gridCol w:w="2790"/>
    </w:tblGrid>
    <w:tr w:rsidR="0081489A" w:rsidRPr="00423E3B" w14:paraId="2E3E616B" w14:textId="77777777" w:rsidTr="00F61FB1">
      <w:trPr>
        <w:trHeight w:val="980"/>
      </w:trPr>
      <w:tc>
        <w:tcPr>
          <w:tcW w:w="2790" w:type="dxa"/>
        </w:tcPr>
        <w:p w14:paraId="120A51E8" w14:textId="26F32992" w:rsidR="0081489A" w:rsidRPr="00423E3B" w:rsidRDefault="00F61FB1" w:rsidP="0081489A">
          <w:pPr>
            <w:jc w:val="center"/>
          </w:pPr>
          <w:r w:rsidRPr="00684839">
            <w:rPr>
              <w:noProof/>
            </w:rPr>
            <w:drawing>
              <wp:anchor distT="0" distB="0" distL="114300" distR="114300" simplePos="0" relativeHeight="251657216" behindDoc="0" locked="0" layoutInCell="1" allowOverlap="0" wp14:anchorId="136974B0" wp14:editId="4FAE2E92">
                <wp:simplePos x="0" y="0"/>
                <wp:positionH relativeFrom="page">
                  <wp:posOffset>66675</wp:posOffset>
                </wp:positionH>
                <wp:positionV relativeFrom="page">
                  <wp:posOffset>180340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vAlign w:val="center"/>
        </w:tcPr>
        <w:p w14:paraId="30F4F5C4" w14:textId="77777777" w:rsidR="0081489A" w:rsidRPr="00F61FB1" w:rsidRDefault="0081489A" w:rsidP="0081489A">
          <w:pPr>
            <w:ind w:right="36"/>
            <w:jc w:val="center"/>
            <w:rPr>
              <w:color w:val="000000"/>
            </w:rPr>
          </w:pPr>
          <w:r w:rsidRPr="00F61FB1">
            <w:rPr>
              <w:color w:val="000000"/>
            </w:rPr>
            <w:t>ES&amp;H Manual</w:t>
          </w:r>
        </w:p>
      </w:tc>
      <w:tc>
        <w:tcPr>
          <w:tcW w:w="2790" w:type="dxa"/>
        </w:tcPr>
        <w:p w14:paraId="40853ACB" w14:textId="77777777" w:rsidR="0081489A" w:rsidRPr="00423E3B" w:rsidRDefault="0081489A" w:rsidP="00F61FB1">
          <w:pPr>
            <w:spacing w:before="240"/>
            <w:jc w:val="center"/>
          </w:pPr>
          <w:r>
            <w:t xml:space="preserve">FESHM </w:t>
          </w:r>
          <w:r w:rsidR="00A22056">
            <w:t>9140</w:t>
          </w:r>
        </w:p>
        <w:p w14:paraId="522D4860" w14:textId="124F2A2C" w:rsidR="0081489A" w:rsidRPr="00423E3B" w:rsidRDefault="000A13D0" w:rsidP="00C80E9C">
          <w:pPr>
            <w:jc w:val="center"/>
          </w:pPr>
          <w:r>
            <w:t>Novem</w:t>
          </w:r>
          <w:r w:rsidR="00F61FB1">
            <w:t>ber</w:t>
          </w:r>
          <w:r w:rsidR="0081489A" w:rsidRPr="00423E3B">
            <w:t xml:space="preserve"> 20</w:t>
          </w:r>
          <w:r w:rsidR="00514BDD">
            <w:t>20</w:t>
          </w:r>
        </w:p>
      </w:tc>
    </w:tr>
  </w:tbl>
  <w:p w14:paraId="2A2C17D8" w14:textId="77777777" w:rsidR="0081489A" w:rsidRDefault="0081489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FC03F4"/>
    <w:multiLevelType w:val="hybridMultilevel"/>
    <w:tmpl w:val="6A28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633D9"/>
    <w:multiLevelType w:val="hybridMultilevel"/>
    <w:tmpl w:val="D008813A"/>
    <w:lvl w:ilvl="0" w:tplc="40A2070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5"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8"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BD2951"/>
    <w:multiLevelType w:val="hybridMultilevel"/>
    <w:tmpl w:val="971C7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8"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9"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2"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73462C8"/>
    <w:multiLevelType w:val="hybridMultilevel"/>
    <w:tmpl w:val="C90437A2"/>
    <w:lvl w:ilvl="0" w:tplc="CD782D0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7"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8"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6"/>
  </w:num>
  <w:num w:numId="3">
    <w:abstractNumId w:val="35"/>
  </w:num>
  <w:num w:numId="4">
    <w:abstractNumId w:val="5"/>
  </w:num>
  <w:num w:numId="5">
    <w:abstractNumId w:val="38"/>
  </w:num>
  <w:num w:numId="6">
    <w:abstractNumId w:val="24"/>
  </w:num>
  <w:num w:numId="7">
    <w:abstractNumId w:val="10"/>
  </w:num>
  <w:num w:numId="8">
    <w:abstractNumId w:val="29"/>
  </w:num>
  <w:num w:numId="9">
    <w:abstractNumId w:val="50"/>
  </w:num>
  <w:num w:numId="10">
    <w:abstractNumId w:val="30"/>
  </w:num>
  <w:num w:numId="11">
    <w:abstractNumId w:val="37"/>
  </w:num>
  <w:num w:numId="12">
    <w:abstractNumId w:val="60"/>
  </w:num>
  <w:num w:numId="13">
    <w:abstractNumId w:val="53"/>
  </w:num>
  <w:num w:numId="14">
    <w:abstractNumId w:val="41"/>
  </w:num>
  <w:num w:numId="15">
    <w:abstractNumId w:val="1"/>
  </w:num>
  <w:num w:numId="16">
    <w:abstractNumId w:val="0"/>
  </w:num>
  <w:num w:numId="17">
    <w:abstractNumId w:val="28"/>
  </w:num>
  <w:num w:numId="18">
    <w:abstractNumId w:val="45"/>
  </w:num>
  <w:num w:numId="19">
    <w:abstractNumId w:val="14"/>
  </w:num>
  <w:num w:numId="20">
    <w:abstractNumId w:val="33"/>
  </w:num>
  <w:num w:numId="21">
    <w:abstractNumId w:val="48"/>
  </w:num>
  <w:num w:numId="22">
    <w:abstractNumId w:val="27"/>
  </w:num>
  <w:num w:numId="23">
    <w:abstractNumId w:val="17"/>
  </w:num>
  <w:num w:numId="24">
    <w:abstractNumId w:val="26"/>
  </w:num>
  <w:num w:numId="25">
    <w:abstractNumId w:val="19"/>
  </w:num>
  <w:num w:numId="26">
    <w:abstractNumId w:val="25"/>
  </w:num>
  <w:num w:numId="27">
    <w:abstractNumId w:val="42"/>
  </w:num>
  <w:num w:numId="28">
    <w:abstractNumId w:val="9"/>
  </w:num>
  <w:num w:numId="29">
    <w:abstractNumId w:val="61"/>
  </w:num>
  <w:num w:numId="30">
    <w:abstractNumId w:val="44"/>
  </w:num>
  <w:num w:numId="31">
    <w:abstractNumId w:val="8"/>
  </w:num>
  <w:num w:numId="32">
    <w:abstractNumId w:val="21"/>
  </w:num>
  <w:num w:numId="33">
    <w:abstractNumId w:val="7"/>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16"/>
  </w:num>
  <w:num w:numId="38">
    <w:abstractNumId w:val="58"/>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9"/>
  </w:num>
  <w:num w:numId="45">
    <w:abstractNumId w:val="39"/>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11"/>
  </w:num>
  <w:num w:numId="52">
    <w:abstractNumId w:val="15"/>
  </w:num>
  <w:num w:numId="53">
    <w:abstractNumId w:val="12"/>
  </w:num>
  <w:num w:numId="54">
    <w:abstractNumId w:val="52"/>
  </w:num>
  <w:num w:numId="55">
    <w:abstractNumId w:val="2"/>
  </w:num>
  <w:num w:numId="56">
    <w:abstractNumId w:val="23"/>
  </w:num>
  <w:num w:numId="57">
    <w:abstractNumId w:val="13"/>
  </w:num>
  <w:num w:numId="58">
    <w:abstractNumId w:val="22"/>
  </w:num>
  <w:num w:numId="59">
    <w:abstractNumId w:val="59"/>
  </w:num>
  <w:num w:numId="60">
    <w:abstractNumId w:val="40"/>
  </w:num>
  <w:num w:numId="61">
    <w:abstractNumId w:val="6"/>
  </w:num>
  <w:num w:numId="62">
    <w:abstractNumId w:val="4"/>
  </w:num>
  <w:num w:numId="63">
    <w:abstractNumId w:val="46"/>
  </w:num>
  <w:num w:numId="64">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5EC"/>
    <w:rsid w:val="00000B4E"/>
    <w:rsid w:val="00002DAB"/>
    <w:rsid w:val="000037AA"/>
    <w:rsid w:val="0000697F"/>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1CB0"/>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0DA"/>
    <w:rsid w:val="00092162"/>
    <w:rsid w:val="00092598"/>
    <w:rsid w:val="0009599A"/>
    <w:rsid w:val="00095A16"/>
    <w:rsid w:val="00096281"/>
    <w:rsid w:val="000967BA"/>
    <w:rsid w:val="000A13D0"/>
    <w:rsid w:val="000A3E0D"/>
    <w:rsid w:val="000A425D"/>
    <w:rsid w:val="000A5E66"/>
    <w:rsid w:val="000B0E2E"/>
    <w:rsid w:val="000B1B47"/>
    <w:rsid w:val="000B6364"/>
    <w:rsid w:val="000B6567"/>
    <w:rsid w:val="000B6B6E"/>
    <w:rsid w:val="000C0901"/>
    <w:rsid w:val="000C0F6D"/>
    <w:rsid w:val="000C4FB0"/>
    <w:rsid w:val="000C5636"/>
    <w:rsid w:val="000C6331"/>
    <w:rsid w:val="000C71AD"/>
    <w:rsid w:val="000C7994"/>
    <w:rsid w:val="000D046F"/>
    <w:rsid w:val="000D19A3"/>
    <w:rsid w:val="000D30D7"/>
    <w:rsid w:val="000D4910"/>
    <w:rsid w:val="000D7FF2"/>
    <w:rsid w:val="000E0E6A"/>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47D33"/>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8AA"/>
    <w:rsid w:val="00230C9C"/>
    <w:rsid w:val="00231245"/>
    <w:rsid w:val="00237834"/>
    <w:rsid w:val="00240A0C"/>
    <w:rsid w:val="00241C70"/>
    <w:rsid w:val="002423A5"/>
    <w:rsid w:val="002441F5"/>
    <w:rsid w:val="0024447E"/>
    <w:rsid w:val="00244E31"/>
    <w:rsid w:val="002452C2"/>
    <w:rsid w:val="002537CB"/>
    <w:rsid w:val="00256813"/>
    <w:rsid w:val="00263F3B"/>
    <w:rsid w:val="00265ED9"/>
    <w:rsid w:val="00266C7B"/>
    <w:rsid w:val="00267A46"/>
    <w:rsid w:val="0027397C"/>
    <w:rsid w:val="0027613C"/>
    <w:rsid w:val="00276AB1"/>
    <w:rsid w:val="0028562B"/>
    <w:rsid w:val="00285A6D"/>
    <w:rsid w:val="00285CFC"/>
    <w:rsid w:val="002900AF"/>
    <w:rsid w:val="00290778"/>
    <w:rsid w:val="00295187"/>
    <w:rsid w:val="00295D6F"/>
    <w:rsid w:val="0029668C"/>
    <w:rsid w:val="002A6EDC"/>
    <w:rsid w:val="002A71D3"/>
    <w:rsid w:val="002B0B0A"/>
    <w:rsid w:val="002B107E"/>
    <w:rsid w:val="002B2D45"/>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26C24"/>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1669"/>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4067"/>
    <w:rsid w:val="004A6C6B"/>
    <w:rsid w:val="004A6E56"/>
    <w:rsid w:val="004B077E"/>
    <w:rsid w:val="004B078A"/>
    <w:rsid w:val="004B1826"/>
    <w:rsid w:val="004B4172"/>
    <w:rsid w:val="004B509E"/>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4BDD"/>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232F"/>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3EA0"/>
    <w:rsid w:val="006E6054"/>
    <w:rsid w:val="006E6B33"/>
    <w:rsid w:val="006E7F4F"/>
    <w:rsid w:val="006F1673"/>
    <w:rsid w:val="006F7496"/>
    <w:rsid w:val="00700ECB"/>
    <w:rsid w:val="007109F4"/>
    <w:rsid w:val="00713C77"/>
    <w:rsid w:val="00716B09"/>
    <w:rsid w:val="00721E35"/>
    <w:rsid w:val="00722A85"/>
    <w:rsid w:val="007240D3"/>
    <w:rsid w:val="007254D8"/>
    <w:rsid w:val="007271A3"/>
    <w:rsid w:val="00731235"/>
    <w:rsid w:val="00735190"/>
    <w:rsid w:val="00735B88"/>
    <w:rsid w:val="007379E1"/>
    <w:rsid w:val="00742C58"/>
    <w:rsid w:val="00743FAE"/>
    <w:rsid w:val="00746A06"/>
    <w:rsid w:val="00747685"/>
    <w:rsid w:val="00747CA7"/>
    <w:rsid w:val="007509AD"/>
    <w:rsid w:val="007517A1"/>
    <w:rsid w:val="00754B36"/>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489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3AA2"/>
    <w:rsid w:val="008648A9"/>
    <w:rsid w:val="008665A6"/>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5724B"/>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2A1B"/>
    <w:rsid w:val="009E3E4D"/>
    <w:rsid w:val="009E4086"/>
    <w:rsid w:val="009E4D6D"/>
    <w:rsid w:val="009E5CCE"/>
    <w:rsid w:val="009E5D28"/>
    <w:rsid w:val="009F01C3"/>
    <w:rsid w:val="009F1C25"/>
    <w:rsid w:val="009F6609"/>
    <w:rsid w:val="009F6853"/>
    <w:rsid w:val="00A00040"/>
    <w:rsid w:val="00A031B0"/>
    <w:rsid w:val="00A03519"/>
    <w:rsid w:val="00A07DD6"/>
    <w:rsid w:val="00A10A70"/>
    <w:rsid w:val="00A110F1"/>
    <w:rsid w:val="00A12A9B"/>
    <w:rsid w:val="00A14FE3"/>
    <w:rsid w:val="00A17AD0"/>
    <w:rsid w:val="00A216A7"/>
    <w:rsid w:val="00A22056"/>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A18"/>
    <w:rsid w:val="00B01ECF"/>
    <w:rsid w:val="00B05624"/>
    <w:rsid w:val="00B05E7F"/>
    <w:rsid w:val="00B061FD"/>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77E17"/>
    <w:rsid w:val="00B80F62"/>
    <w:rsid w:val="00B81B00"/>
    <w:rsid w:val="00B84753"/>
    <w:rsid w:val="00B90A24"/>
    <w:rsid w:val="00B92898"/>
    <w:rsid w:val="00B931D5"/>
    <w:rsid w:val="00B93B7E"/>
    <w:rsid w:val="00B94251"/>
    <w:rsid w:val="00B94DC8"/>
    <w:rsid w:val="00B94F1D"/>
    <w:rsid w:val="00B94FBD"/>
    <w:rsid w:val="00BA173E"/>
    <w:rsid w:val="00BA4B5A"/>
    <w:rsid w:val="00BA70C1"/>
    <w:rsid w:val="00BB4B88"/>
    <w:rsid w:val="00BB50D0"/>
    <w:rsid w:val="00BB6D37"/>
    <w:rsid w:val="00BC1DB8"/>
    <w:rsid w:val="00BC28A6"/>
    <w:rsid w:val="00BC3922"/>
    <w:rsid w:val="00BC3D90"/>
    <w:rsid w:val="00BD056C"/>
    <w:rsid w:val="00BD0818"/>
    <w:rsid w:val="00BD17E2"/>
    <w:rsid w:val="00BD270B"/>
    <w:rsid w:val="00BD577E"/>
    <w:rsid w:val="00BE0B51"/>
    <w:rsid w:val="00BE0C08"/>
    <w:rsid w:val="00BE67C1"/>
    <w:rsid w:val="00BE698E"/>
    <w:rsid w:val="00BF19A0"/>
    <w:rsid w:val="00BF3072"/>
    <w:rsid w:val="00BF4030"/>
    <w:rsid w:val="00BF41F5"/>
    <w:rsid w:val="00BF54F4"/>
    <w:rsid w:val="00C00220"/>
    <w:rsid w:val="00C02A84"/>
    <w:rsid w:val="00C02DBE"/>
    <w:rsid w:val="00C02EAF"/>
    <w:rsid w:val="00C035A5"/>
    <w:rsid w:val="00C05982"/>
    <w:rsid w:val="00C13216"/>
    <w:rsid w:val="00C13EEC"/>
    <w:rsid w:val="00C148CE"/>
    <w:rsid w:val="00C16468"/>
    <w:rsid w:val="00C17904"/>
    <w:rsid w:val="00C21783"/>
    <w:rsid w:val="00C23BCB"/>
    <w:rsid w:val="00C23CE8"/>
    <w:rsid w:val="00C263FE"/>
    <w:rsid w:val="00C278EC"/>
    <w:rsid w:val="00C33CAA"/>
    <w:rsid w:val="00C34507"/>
    <w:rsid w:val="00C34C1B"/>
    <w:rsid w:val="00C362BD"/>
    <w:rsid w:val="00C36F9E"/>
    <w:rsid w:val="00C42208"/>
    <w:rsid w:val="00C5272C"/>
    <w:rsid w:val="00C52B6D"/>
    <w:rsid w:val="00C52E94"/>
    <w:rsid w:val="00C54343"/>
    <w:rsid w:val="00C5435E"/>
    <w:rsid w:val="00C54A92"/>
    <w:rsid w:val="00C552C0"/>
    <w:rsid w:val="00C55913"/>
    <w:rsid w:val="00C6359A"/>
    <w:rsid w:val="00C66483"/>
    <w:rsid w:val="00C706A1"/>
    <w:rsid w:val="00C71B3D"/>
    <w:rsid w:val="00C73EA3"/>
    <w:rsid w:val="00C80E9C"/>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2588"/>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37C7A"/>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3737"/>
    <w:rsid w:val="00D9770E"/>
    <w:rsid w:val="00DA1C1E"/>
    <w:rsid w:val="00DA1E29"/>
    <w:rsid w:val="00DA2737"/>
    <w:rsid w:val="00DA580F"/>
    <w:rsid w:val="00DA592B"/>
    <w:rsid w:val="00DA5E98"/>
    <w:rsid w:val="00DA6860"/>
    <w:rsid w:val="00DB0FE7"/>
    <w:rsid w:val="00DB1F4E"/>
    <w:rsid w:val="00DB5D5A"/>
    <w:rsid w:val="00DB627C"/>
    <w:rsid w:val="00DB63E7"/>
    <w:rsid w:val="00DB6B03"/>
    <w:rsid w:val="00DB71AC"/>
    <w:rsid w:val="00DB7754"/>
    <w:rsid w:val="00DC289E"/>
    <w:rsid w:val="00DC3A1B"/>
    <w:rsid w:val="00DC635A"/>
    <w:rsid w:val="00DD1236"/>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0FB4"/>
    <w:rsid w:val="00E01C24"/>
    <w:rsid w:val="00E0475D"/>
    <w:rsid w:val="00E05D95"/>
    <w:rsid w:val="00E07A52"/>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4DA0"/>
    <w:rsid w:val="00EB6851"/>
    <w:rsid w:val="00EB751E"/>
    <w:rsid w:val="00EC23F0"/>
    <w:rsid w:val="00EC5CA2"/>
    <w:rsid w:val="00ED1BA3"/>
    <w:rsid w:val="00EE103C"/>
    <w:rsid w:val="00EE1374"/>
    <w:rsid w:val="00EE1663"/>
    <w:rsid w:val="00EE1FAA"/>
    <w:rsid w:val="00EE2298"/>
    <w:rsid w:val="00EE28AC"/>
    <w:rsid w:val="00EE4743"/>
    <w:rsid w:val="00EE5221"/>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5359"/>
    <w:rsid w:val="00F16D53"/>
    <w:rsid w:val="00F21C2E"/>
    <w:rsid w:val="00F21D42"/>
    <w:rsid w:val="00F242D4"/>
    <w:rsid w:val="00F24FF4"/>
    <w:rsid w:val="00F30C86"/>
    <w:rsid w:val="00F329E0"/>
    <w:rsid w:val="00F35988"/>
    <w:rsid w:val="00F43368"/>
    <w:rsid w:val="00F43EC4"/>
    <w:rsid w:val="00F44A23"/>
    <w:rsid w:val="00F46BB4"/>
    <w:rsid w:val="00F4760A"/>
    <w:rsid w:val="00F47943"/>
    <w:rsid w:val="00F60496"/>
    <w:rsid w:val="00F604F7"/>
    <w:rsid w:val="00F619D6"/>
    <w:rsid w:val="00F61FB1"/>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A288201"/>
  <w15:docId w15:val="{FB4D90BE-F4EE-42E2-8C12-FAD7535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indent2">
    <w:name w:val="indent2"/>
    <w:basedOn w:val="Normal"/>
    <w:rsid w:val="00E00FB4"/>
    <w:pPr>
      <w:tabs>
        <w:tab w:val="left" w:pos="1980"/>
        <w:tab w:val="bar" w:pos="9720"/>
      </w:tabs>
      <w:ind w:left="1980" w:hanging="540"/>
      <w:jc w:val="left"/>
    </w:pPr>
    <w:rPr>
      <w:rFonts w:ascii="New York" w:hAnsi="New York"/>
      <w:sz w:val="20"/>
      <w:szCs w:val="20"/>
    </w:rPr>
  </w:style>
  <w:style w:type="character" w:styleId="UnresolvedMention">
    <w:name w:val="Unresolved Mention"/>
    <w:basedOn w:val="DefaultParagraphFont"/>
    <w:uiPriority w:val="99"/>
    <w:semiHidden/>
    <w:unhideWhenUsed/>
    <w:rsid w:val="00E0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ShowDocument?docid=393" TargetMode="External"/><Relationship Id="rId13" Type="http://schemas.openxmlformats.org/officeDocument/2006/relationships/hyperlink" Target="http://esh-docdb.fnal.gov/cgi-bin/ShowDocument?docid=3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h-docdb.fnal.gov/cgi-bin/ShowDocument?docid=3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h-docdb.fnal.gov/cgi-bin/ShowDocument?docid=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75" TargetMode="External"/><Relationship Id="rId5" Type="http://schemas.openxmlformats.org/officeDocument/2006/relationships/webSettings" Target="webSettings.xml"/><Relationship Id="rId15" Type="http://schemas.openxmlformats.org/officeDocument/2006/relationships/hyperlink" Target="http://esh-docdb.fnal.gov/cgi-bin/ShowDocument?docid=37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sh-docdb.fnal.gov/cgi-bin/ShowDocument?docid=3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50B1702-FEF4-4BF9-9393-9862B2AA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FESHM 9140</vt:lpstr>
    </vt:vector>
  </TitlesOfParts>
  <Company>Jefferson Science Associates, LLC</Company>
  <LinksUpToDate>false</LinksUpToDate>
  <CharactersWithSpaces>7957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9140</dc:title>
  <dc:subject>Protection Against Exposed Electrical Bus</dc:subject>
  <dc:creator>Mike Utes</dc:creator>
  <cp:lastModifiedBy>Kristy Gibson</cp:lastModifiedBy>
  <cp:revision>8</cp:revision>
  <cp:lastPrinted>2020-11-23T16:11:00Z</cp:lastPrinted>
  <dcterms:created xsi:type="dcterms:W3CDTF">2020-11-23T16:05:00Z</dcterms:created>
  <dcterms:modified xsi:type="dcterms:W3CDTF">2020-11-23T16:12:00Z</dcterms:modified>
</cp:coreProperties>
</file>