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99D79" w14:textId="77777777" w:rsidR="00142C80" w:rsidRDefault="00142C80" w:rsidP="00142C80">
      <w:pPr>
        <w:jc w:val="center"/>
        <w:rPr>
          <w:b/>
          <w:sz w:val="28"/>
          <w:szCs w:val="28"/>
        </w:rPr>
      </w:pPr>
    </w:p>
    <w:p w14:paraId="4A0AF2E3"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BF736A">
        <w:rPr>
          <w:color w:val="000000"/>
          <w:sz w:val="36"/>
          <w:szCs w:val="36"/>
        </w:rPr>
        <w:t>8080</w:t>
      </w:r>
      <w:r w:rsidRPr="00AB4D65">
        <w:rPr>
          <w:color w:val="000000"/>
          <w:sz w:val="36"/>
          <w:szCs w:val="36"/>
        </w:rPr>
        <w:t xml:space="preserve">: </w:t>
      </w:r>
      <w:r w:rsidR="00BF736A">
        <w:rPr>
          <w:color w:val="000000"/>
          <w:sz w:val="36"/>
          <w:szCs w:val="36"/>
        </w:rPr>
        <w:t>AIR EMISSIONS CONTROL PROGRAM</w:t>
      </w:r>
    </w:p>
    <w:p w14:paraId="71983C0D" w14:textId="77777777" w:rsidR="00142C80" w:rsidRDefault="00142C80" w:rsidP="00142C80">
      <w:pPr>
        <w:jc w:val="center"/>
        <w:rPr>
          <w:b/>
          <w:sz w:val="28"/>
          <w:szCs w:val="28"/>
        </w:rPr>
      </w:pPr>
    </w:p>
    <w:p w14:paraId="7844BF39" w14:textId="77777777" w:rsidR="00DB5D5A" w:rsidRPr="008B60C4" w:rsidRDefault="00743FAE" w:rsidP="00DB5D5A">
      <w:pPr>
        <w:ind w:right="-140"/>
        <w:jc w:val="center"/>
        <w:rPr>
          <w:b/>
          <w:color w:val="000000"/>
        </w:rPr>
      </w:pPr>
      <w:r>
        <w:rPr>
          <w:b/>
          <w:color w:val="000000"/>
        </w:rPr>
        <w:t>Revision History</w:t>
      </w:r>
    </w:p>
    <w:p w14:paraId="0068DB55" w14:textId="77777777" w:rsidR="00DB5D5A" w:rsidRPr="008B60C4"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85"/>
        <w:gridCol w:w="5940"/>
        <w:gridCol w:w="1867"/>
      </w:tblGrid>
      <w:tr w:rsidR="00743FAE" w:rsidRPr="00E331D3" w14:paraId="50FADCC8" w14:textId="77777777" w:rsidTr="008A1474">
        <w:tc>
          <w:tcPr>
            <w:tcW w:w="1885" w:type="dxa"/>
          </w:tcPr>
          <w:p w14:paraId="51B2F577" w14:textId="77777777" w:rsidR="00743FAE" w:rsidRPr="00D115E0" w:rsidRDefault="00743FAE" w:rsidP="00761B2E">
            <w:pPr>
              <w:tabs>
                <w:tab w:val="left" w:pos="720"/>
              </w:tabs>
              <w:jc w:val="center"/>
              <w:rPr>
                <w:b/>
              </w:rPr>
            </w:pPr>
            <w:r w:rsidRPr="00D115E0">
              <w:rPr>
                <w:b/>
              </w:rPr>
              <w:t>Author</w:t>
            </w:r>
          </w:p>
        </w:tc>
        <w:tc>
          <w:tcPr>
            <w:tcW w:w="5940" w:type="dxa"/>
          </w:tcPr>
          <w:p w14:paraId="597FA8CD" w14:textId="77777777" w:rsidR="00743FAE" w:rsidRPr="00D115E0" w:rsidRDefault="00743FAE" w:rsidP="00761B2E">
            <w:pPr>
              <w:tabs>
                <w:tab w:val="left" w:pos="720"/>
              </w:tabs>
              <w:jc w:val="center"/>
              <w:rPr>
                <w:b/>
              </w:rPr>
            </w:pPr>
            <w:r w:rsidRPr="00D115E0">
              <w:rPr>
                <w:b/>
              </w:rPr>
              <w:t>Description of Change</w:t>
            </w:r>
          </w:p>
        </w:tc>
        <w:tc>
          <w:tcPr>
            <w:tcW w:w="1867" w:type="dxa"/>
          </w:tcPr>
          <w:p w14:paraId="117BAF25" w14:textId="6A239CB6" w:rsidR="00743FAE" w:rsidRPr="00D115E0" w:rsidRDefault="008A1474" w:rsidP="00761B2E">
            <w:pPr>
              <w:tabs>
                <w:tab w:val="left" w:pos="720"/>
              </w:tabs>
              <w:jc w:val="center"/>
              <w:rPr>
                <w:b/>
              </w:rPr>
            </w:pPr>
            <w:r>
              <w:rPr>
                <w:b/>
              </w:rPr>
              <w:t xml:space="preserve">Revision </w:t>
            </w:r>
            <w:r w:rsidR="00743FAE" w:rsidRPr="00D115E0">
              <w:rPr>
                <w:b/>
              </w:rPr>
              <w:t>Date</w:t>
            </w:r>
          </w:p>
        </w:tc>
      </w:tr>
      <w:tr w:rsidR="0006445A" w:rsidRPr="00E331D3" w14:paraId="41451F3C" w14:textId="77777777" w:rsidTr="00281853">
        <w:tc>
          <w:tcPr>
            <w:tcW w:w="1885" w:type="dxa"/>
          </w:tcPr>
          <w:p w14:paraId="1D821CCD" w14:textId="77777777" w:rsidR="0006445A" w:rsidRDefault="0006445A" w:rsidP="0006445A">
            <w:pPr>
              <w:tabs>
                <w:tab w:val="left" w:pos="720"/>
              </w:tabs>
              <w:jc w:val="left"/>
              <w:rPr>
                <w:szCs w:val="22"/>
              </w:rPr>
            </w:pPr>
            <w:r>
              <w:rPr>
                <w:szCs w:val="22"/>
              </w:rPr>
              <w:t>Teri Dykhuis</w:t>
            </w:r>
          </w:p>
          <w:p w14:paraId="2557AFFD" w14:textId="58204BF5" w:rsidR="0006445A" w:rsidRDefault="0006445A" w:rsidP="0006445A">
            <w:pPr>
              <w:tabs>
                <w:tab w:val="left" w:pos="720"/>
              </w:tabs>
              <w:jc w:val="left"/>
              <w:rPr>
                <w:szCs w:val="22"/>
              </w:rPr>
            </w:pPr>
            <w:r>
              <w:rPr>
                <w:szCs w:val="22"/>
              </w:rPr>
              <w:t>(Eric Mieland)</w:t>
            </w:r>
          </w:p>
        </w:tc>
        <w:tc>
          <w:tcPr>
            <w:tcW w:w="5940" w:type="dxa"/>
          </w:tcPr>
          <w:p w14:paraId="30073CFA" w14:textId="1FA1DDD7" w:rsidR="0006445A" w:rsidRPr="00281853" w:rsidRDefault="0006445A" w:rsidP="0006445A">
            <w:pPr>
              <w:tabs>
                <w:tab w:val="left" w:pos="720"/>
              </w:tabs>
              <w:spacing w:after="60"/>
              <w:rPr>
                <w:szCs w:val="22"/>
              </w:rPr>
            </w:pPr>
            <w:r w:rsidRPr="00281853">
              <w:rPr>
                <w:szCs w:val="22"/>
              </w:rPr>
              <w:t xml:space="preserve">Added relevant reference to DOE Order 458.1 </w:t>
            </w:r>
            <w:r w:rsidRPr="00281853">
              <w:rPr>
                <w:i/>
                <w:iCs/>
                <w:szCs w:val="22"/>
              </w:rPr>
              <w:t>Radiation Protection of the Public and the Environment</w:t>
            </w:r>
          </w:p>
        </w:tc>
        <w:tc>
          <w:tcPr>
            <w:tcW w:w="1867" w:type="dxa"/>
          </w:tcPr>
          <w:p w14:paraId="20BB01EA" w14:textId="1FC84DAF" w:rsidR="0006445A" w:rsidRPr="00281853" w:rsidRDefault="0006445A" w:rsidP="0006445A">
            <w:pPr>
              <w:tabs>
                <w:tab w:val="left" w:pos="720"/>
              </w:tabs>
              <w:jc w:val="left"/>
              <w:rPr>
                <w:szCs w:val="22"/>
              </w:rPr>
            </w:pPr>
            <w:r w:rsidRPr="00281853">
              <w:rPr>
                <w:szCs w:val="22"/>
              </w:rPr>
              <w:t>August 2022</w:t>
            </w:r>
          </w:p>
        </w:tc>
      </w:tr>
      <w:tr w:rsidR="0006445A" w:rsidRPr="00E331D3" w14:paraId="4DE423AD" w14:textId="77777777" w:rsidTr="008A1474">
        <w:tc>
          <w:tcPr>
            <w:tcW w:w="1885" w:type="dxa"/>
          </w:tcPr>
          <w:p w14:paraId="0A031418" w14:textId="7F62C364" w:rsidR="0006445A" w:rsidRDefault="0006445A" w:rsidP="0006445A">
            <w:pPr>
              <w:tabs>
                <w:tab w:val="left" w:pos="720"/>
              </w:tabs>
              <w:jc w:val="left"/>
              <w:rPr>
                <w:szCs w:val="22"/>
              </w:rPr>
            </w:pPr>
            <w:r>
              <w:rPr>
                <w:szCs w:val="22"/>
              </w:rPr>
              <w:t>Teri Dykhuis</w:t>
            </w:r>
          </w:p>
        </w:tc>
        <w:tc>
          <w:tcPr>
            <w:tcW w:w="5940" w:type="dxa"/>
            <w:vAlign w:val="bottom"/>
          </w:tcPr>
          <w:p w14:paraId="33268B07" w14:textId="74FE8038" w:rsidR="0006445A" w:rsidRDefault="0006445A" w:rsidP="0006445A">
            <w:pPr>
              <w:tabs>
                <w:tab w:val="left" w:pos="720"/>
              </w:tabs>
              <w:spacing w:after="60"/>
              <w:rPr>
                <w:szCs w:val="22"/>
              </w:rPr>
            </w:pPr>
            <w:r>
              <w:rPr>
                <w:szCs w:val="22"/>
              </w:rPr>
              <w:t>Update to reflect reporting of Greenhouse gas emissions and change ESH&amp;Q to ES&amp;H</w:t>
            </w:r>
          </w:p>
        </w:tc>
        <w:tc>
          <w:tcPr>
            <w:tcW w:w="1867" w:type="dxa"/>
          </w:tcPr>
          <w:p w14:paraId="68B048C2" w14:textId="6162CB4F" w:rsidR="0006445A" w:rsidRDefault="0006445A" w:rsidP="0006445A">
            <w:pPr>
              <w:tabs>
                <w:tab w:val="left" w:pos="720"/>
              </w:tabs>
              <w:jc w:val="left"/>
              <w:rPr>
                <w:szCs w:val="22"/>
              </w:rPr>
            </w:pPr>
            <w:r>
              <w:rPr>
                <w:szCs w:val="22"/>
              </w:rPr>
              <w:t>August 2020</w:t>
            </w:r>
          </w:p>
        </w:tc>
      </w:tr>
      <w:tr w:rsidR="0006445A" w:rsidRPr="00E331D3" w14:paraId="1F5B2EC7" w14:textId="77777777" w:rsidTr="008A1474">
        <w:tc>
          <w:tcPr>
            <w:tcW w:w="1885" w:type="dxa"/>
          </w:tcPr>
          <w:p w14:paraId="6A9DC053" w14:textId="209D6E7A" w:rsidR="0006445A" w:rsidRDefault="0006445A" w:rsidP="0006445A">
            <w:pPr>
              <w:tabs>
                <w:tab w:val="left" w:pos="720"/>
              </w:tabs>
              <w:jc w:val="left"/>
              <w:rPr>
                <w:szCs w:val="22"/>
              </w:rPr>
            </w:pPr>
            <w:r>
              <w:rPr>
                <w:szCs w:val="22"/>
              </w:rPr>
              <w:t>Teri Dykhuis</w:t>
            </w:r>
          </w:p>
        </w:tc>
        <w:tc>
          <w:tcPr>
            <w:tcW w:w="5940" w:type="dxa"/>
            <w:vAlign w:val="bottom"/>
          </w:tcPr>
          <w:p w14:paraId="40E80FD6" w14:textId="2EFA9DA7" w:rsidR="0006445A" w:rsidRDefault="0006445A" w:rsidP="0006445A">
            <w:pPr>
              <w:tabs>
                <w:tab w:val="left" w:pos="720"/>
              </w:tabs>
              <w:spacing w:after="60"/>
              <w:rPr>
                <w:szCs w:val="22"/>
              </w:rPr>
            </w:pPr>
            <w:r>
              <w:rPr>
                <w:szCs w:val="22"/>
              </w:rPr>
              <w:t>Updated to reflect Fermilab leased spaces.</w:t>
            </w:r>
          </w:p>
        </w:tc>
        <w:tc>
          <w:tcPr>
            <w:tcW w:w="1867" w:type="dxa"/>
          </w:tcPr>
          <w:p w14:paraId="21B45CDC" w14:textId="45E5BFB8" w:rsidR="0006445A" w:rsidRDefault="0006445A" w:rsidP="0006445A">
            <w:pPr>
              <w:tabs>
                <w:tab w:val="left" w:pos="720"/>
              </w:tabs>
              <w:jc w:val="left"/>
              <w:rPr>
                <w:szCs w:val="22"/>
              </w:rPr>
            </w:pPr>
            <w:r>
              <w:rPr>
                <w:szCs w:val="22"/>
              </w:rPr>
              <w:t>January 2018</w:t>
            </w:r>
          </w:p>
        </w:tc>
      </w:tr>
      <w:tr w:rsidR="0006445A" w:rsidRPr="00E331D3" w14:paraId="28EBAF16" w14:textId="77777777" w:rsidTr="008A1474">
        <w:tc>
          <w:tcPr>
            <w:tcW w:w="1885" w:type="dxa"/>
          </w:tcPr>
          <w:p w14:paraId="75752A5B" w14:textId="0D52FB16" w:rsidR="0006445A" w:rsidRDefault="0006445A" w:rsidP="0006445A">
            <w:pPr>
              <w:tabs>
                <w:tab w:val="left" w:pos="720"/>
              </w:tabs>
              <w:jc w:val="left"/>
              <w:rPr>
                <w:szCs w:val="22"/>
              </w:rPr>
            </w:pPr>
            <w:r>
              <w:rPr>
                <w:szCs w:val="22"/>
              </w:rPr>
              <w:t>Bridget Iverson</w:t>
            </w:r>
          </w:p>
        </w:tc>
        <w:tc>
          <w:tcPr>
            <w:tcW w:w="5940" w:type="dxa"/>
            <w:vAlign w:val="bottom"/>
          </w:tcPr>
          <w:p w14:paraId="2AE6ED94" w14:textId="0950E39E" w:rsidR="0006445A" w:rsidRDefault="0006445A" w:rsidP="0006445A">
            <w:pPr>
              <w:tabs>
                <w:tab w:val="left" w:pos="720"/>
              </w:tabs>
              <w:rPr>
                <w:szCs w:val="22"/>
              </w:rPr>
            </w:pPr>
            <w:r>
              <w:rPr>
                <w:szCs w:val="22"/>
              </w:rPr>
              <w:t>Updated to reflect change that resulted from the reorganization of the ES&amp;H Section.  Updated to include recommendation identified during a tripartite assessment of the FESHM environmental chapters.</w:t>
            </w:r>
          </w:p>
        </w:tc>
        <w:tc>
          <w:tcPr>
            <w:tcW w:w="1867" w:type="dxa"/>
          </w:tcPr>
          <w:p w14:paraId="78351ECE" w14:textId="518375EB" w:rsidR="0006445A" w:rsidRDefault="0006445A" w:rsidP="0006445A">
            <w:pPr>
              <w:tabs>
                <w:tab w:val="left" w:pos="720"/>
              </w:tabs>
              <w:jc w:val="left"/>
              <w:rPr>
                <w:szCs w:val="22"/>
              </w:rPr>
            </w:pPr>
            <w:r>
              <w:rPr>
                <w:szCs w:val="22"/>
              </w:rPr>
              <w:t>February 2016</w:t>
            </w:r>
          </w:p>
        </w:tc>
      </w:tr>
      <w:tr w:rsidR="0006445A" w:rsidRPr="00E331D3" w14:paraId="625EC4FF" w14:textId="77777777" w:rsidTr="008A1474">
        <w:tc>
          <w:tcPr>
            <w:tcW w:w="1885" w:type="dxa"/>
          </w:tcPr>
          <w:p w14:paraId="42F4C34A" w14:textId="77777777" w:rsidR="0006445A" w:rsidRDefault="0006445A" w:rsidP="0006445A">
            <w:pPr>
              <w:tabs>
                <w:tab w:val="left" w:pos="720"/>
              </w:tabs>
              <w:jc w:val="left"/>
              <w:rPr>
                <w:szCs w:val="22"/>
              </w:rPr>
            </w:pPr>
            <w:r>
              <w:rPr>
                <w:szCs w:val="22"/>
              </w:rPr>
              <w:t>Amber Kenney</w:t>
            </w:r>
          </w:p>
        </w:tc>
        <w:tc>
          <w:tcPr>
            <w:tcW w:w="5940" w:type="dxa"/>
            <w:vAlign w:val="bottom"/>
          </w:tcPr>
          <w:p w14:paraId="42F4D788" w14:textId="77777777" w:rsidR="0006445A" w:rsidRDefault="0006445A" w:rsidP="0006445A">
            <w:pPr>
              <w:tabs>
                <w:tab w:val="left" w:pos="720"/>
              </w:tabs>
              <w:rPr>
                <w:szCs w:val="22"/>
              </w:rPr>
            </w:pPr>
            <w:r>
              <w:rPr>
                <w:szCs w:val="22"/>
              </w:rPr>
              <w:t>Updated chapter to reflect registration in ROSS program and removed references to dismantled equipment</w:t>
            </w:r>
          </w:p>
        </w:tc>
        <w:tc>
          <w:tcPr>
            <w:tcW w:w="1867" w:type="dxa"/>
          </w:tcPr>
          <w:p w14:paraId="2389390F" w14:textId="6B2DA5D1" w:rsidR="0006445A" w:rsidRDefault="0006445A" w:rsidP="0006445A">
            <w:pPr>
              <w:tabs>
                <w:tab w:val="left" w:pos="720"/>
              </w:tabs>
              <w:jc w:val="left"/>
              <w:rPr>
                <w:szCs w:val="22"/>
              </w:rPr>
            </w:pPr>
            <w:r>
              <w:rPr>
                <w:szCs w:val="22"/>
              </w:rPr>
              <w:t>October 2015</w:t>
            </w:r>
          </w:p>
        </w:tc>
      </w:tr>
      <w:tr w:rsidR="0006445A" w:rsidRPr="00E331D3" w14:paraId="7D62F61D" w14:textId="77777777" w:rsidTr="008A1474">
        <w:tc>
          <w:tcPr>
            <w:tcW w:w="1885" w:type="dxa"/>
          </w:tcPr>
          <w:p w14:paraId="68B84E97" w14:textId="77777777" w:rsidR="0006445A" w:rsidRDefault="0006445A" w:rsidP="0006445A">
            <w:pPr>
              <w:tabs>
                <w:tab w:val="left" w:pos="720"/>
              </w:tabs>
              <w:jc w:val="left"/>
              <w:rPr>
                <w:szCs w:val="22"/>
              </w:rPr>
            </w:pPr>
            <w:r>
              <w:rPr>
                <w:szCs w:val="22"/>
              </w:rPr>
              <w:t>Amber Kenney</w:t>
            </w:r>
          </w:p>
        </w:tc>
        <w:tc>
          <w:tcPr>
            <w:tcW w:w="5940" w:type="dxa"/>
            <w:vAlign w:val="bottom"/>
          </w:tcPr>
          <w:p w14:paraId="01ABDC8A" w14:textId="196D9532" w:rsidR="0006445A" w:rsidRDefault="0006445A" w:rsidP="0006445A">
            <w:pPr>
              <w:tabs>
                <w:tab w:val="left" w:pos="720"/>
              </w:tabs>
              <w:rPr>
                <w:szCs w:val="22"/>
              </w:rPr>
            </w:pPr>
            <w:r>
              <w:rPr>
                <w:szCs w:val="22"/>
              </w:rPr>
              <w:t xml:space="preserve">Added revised Lifetime Operating Permit.  Permit issued 4/24/12 revised to no longer include operations of one 15 </w:t>
            </w:r>
            <w:proofErr w:type="spellStart"/>
            <w:r>
              <w:rPr>
                <w:szCs w:val="22"/>
              </w:rPr>
              <w:t>mmBtu</w:t>
            </w:r>
            <w:proofErr w:type="spellEnd"/>
            <w:r>
              <w:rPr>
                <w:szCs w:val="22"/>
              </w:rPr>
              <w:t>/</w:t>
            </w:r>
            <w:proofErr w:type="spellStart"/>
            <w:r>
              <w:rPr>
                <w:szCs w:val="22"/>
              </w:rPr>
              <w:t>hr</w:t>
            </w:r>
            <w:proofErr w:type="spellEnd"/>
            <w:r>
              <w:rPr>
                <w:szCs w:val="22"/>
              </w:rPr>
              <w:t xml:space="preserve"> boiler, open top vapor degreaser and collider detector facility.</w:t>
            </w:r>
          </w:p>
        </w:tc>
        <w:tc>
          <w:tcPr>
            <w:tcW w:w="1867" w:type="dxa"/>
          </w:tcPr>
          <w:p w14:paraId="3D122D5C" w14:textId="513F2B13" w:rsidR="0006445A" w:rsidRDefault="0006445A" w:rsidP="0006445A">
            <w:pPr>
              <w:tabs>
                <w:tab w:val="left" w:pos="720"/>
              </w:tabs>
              <w:jc w:val="left"/>
              <w:rPr>
                <w:szCs w:val="22"/>
              </w:rPr>
            </w:pPr>
            <w:r>
              <w:rPr>
                <w:szCs w:val="22"/>
              </w:rPr>
              <w:t>May 2012</w:t>
            </w:r>
          </w:p>
        </w:tc>
      </w:tr>
      <w:tr w:rsidR="0006445A" w:rsidRPr="00E331D3" w14:paraId="23FE3A24" w14:textId="77777777" w:rsidTr="008A1474">
        <w:tc>
          <w:tcPr>
            <w:tcW w:w="1885" w:type="dxa"/>
          </w:tcPr>
          <w:p w14:paraId="5888B29D" w14:textId="77777777" w:rsidR="0006445A" w:rsidRPr="00E331D3" w:rsidRDefault="0006445A" w:rsidP="0006445A">
            <w:pPr>
              <w:tabs>
                <w:tab w:val="left" w:pos="720"/>
              </w:tabs>
              <w:jc w:val="left"/>
            </w:pPr>
            <w:r>
              <w:rPr>
                <w:szCs w:val="22"/>
              </w:rPr>
              <w:t>Amber Kenney</w:t>
            </w:r>
          </w:p>
        </w:tc>
        <w:tc>
          <w:tcPr>
            <w:tcW w:w="5940" w:type="dxa"/>
            <w:vAlign w:val="bottom"/>
          </w:tcPr>
          <w:p w14:paraId="0F392973" w14:textId="5EF1E803" w:rsidR="0006445A" w:rsidRPr="00E331D3" w:rsidRDefault="0006445A" w:rsidP="0006445A">
            <w:pPr>
              <w:tabs>
                <w:tab w:val="left" w:pos="720"/>
              </w:tabs>
            </w:pPr>
            <w:r>
              <w:rPr>
                <w:szCs w:val="22"/>
              </w:rPr>
              <w:t>Added FESHM Chapter formatting template, remove reference to DOE O 450.1, updated permitted emission sources, added appendix on stationary internal combustion engines, inserted most recent Lifetime Operating Permit, changed permit questionnaire to a flow chart, editorial changes.</w:t>
            </w:r>
          </w:p>
        </w:tc>
        <w:tc>
          <w:tcPr>
            <w:tcW w:w="1867" w:type="dxa"/>
          </w:tcPr>
          <w:p w14:paraId="1EF7D049" w14:textId="4969979F" w:rsidR="0006445A" w:rsidRPr="00E331D3" w:rsidRDefault="0006445A" w:rsidP="0006445A">
            <w:pPr>
              <w:tabs>
                <w:tab w:val="left" w:pos="720"/>
              </w:tabs>
              <w:jc w:val="left"/>
            </w:pPr>
            <w:r>
              <w:rPr>
                <w:szCs w:val="22"/>
              </w:rPr>
              <w:t>March 2012</w:t>
            </w:r>
          </w:p>
        </w:tc>
      </w:tr>
      <w:tr w:rsidR="0006445A" w:rsidRPr="00E331D3" w14:paraId="50B03702" w14:textId="77777777" w:rsidTr="008A1474">
        <w:tc>
          <w:tcPr>
            <w:tcW w:w="1885" w:type="dxa"/>
          </w:tcPr>
          <w:p w14:paraId="6B0944B4" w14:textId="77777777" w:rsidR="0006445A" w:rsidRPr="00E331D3" w:rsidRDefault="0006445A" w:rsidP="0006445A">
            <w:pPr>
              <w:tabs>
                <w:tab w:val="left" w:pos="720"/>
              </w:tabs>
              <w:jc w:val="left"/>
            </w:pPr>
            <w:r>
              <w:rPr>
                <w:szCs w:val="22"/>
              </w:rPr>
              <w:t>Teri Dykhuis</w:t>
            </w:r>
          </w:p>
        </w:tc>
        <w:tc>
          <w:tcPr>
            <w:tcW w:w="5940" w:type="dxa"/>
          </w:tcPr>
          <w:p w14:paraId="5D9D8E1F" w14:textId="504B387C" w:rsidR="0006445A" w:rsidRPr="00B25DFE" w:rsidRDefault="0006445A" w:rsidP="0006445A">
            <w:pPr>
              <w:pStyle w:val="NormalWeb"/>
              <w:tabs>
                <w:tab w:val="left" w:pos="720"/>
              </w:tabs>
              <w:spacing w:before="0" w:beforeAutospacing="0" w:after="0" w:afterAutospacing="0"/>
              <w:rPr>
                <w:szCs w:val="22"/>
              </w:rPr>
            </w:pPr>
            <w:r w:rsidRPr="00B25DFE">
              <w:rPr>
                <w:szCs w:val="22"/>
              </w:rPr>
              <w:t xml:space="preserve">Initial release Chapter </w:t>
            </w:r>
            <w:r>
              <w:rPr>
                <w:szCs w:val="22"/>
              </w:rPr>
              <w:t>8080</w:t>
            </w:r>
          </w:p>
        </w:tc>
        <w:tc>
          <w:tcPr>
            <w:tcW w:w="1867" w:type="dxa"/>
            <w:vAlign w:val="bottom"/>
          </w:tcPr>
          <w:p w14:paraId="00622849" w14:textId="2C8CB657" w:rsidR="0006445A" w:rsidRPr="00E331D3" w:rsidRDefault="0006445A" w:rsidP="0006445A">
            <w:pPr>
              <w:tabs>
                <w:tab w:val="left" w:pos="720"/>
              </w:tabs>
            </w:pPr>
            <w:r>
              <w:rPr>
                <w:szCs w:val="22"/>
              </w:rPr>
              <w:t>October 2006</w:t>
            </w:r>
          </w:p>
        </w:tc>
      </w:tr>
    </w:tbl>
    <w:p w14:paraId="644B53EE" w14:textId="77777777" w:rsidR="00142C80" w:rsidRDefault="00142C80" w:rsidP="00142C80">
      <w:pPr>
        <w:jc w:val="center"/>
        <w:rPr>
          <w:b/>
          <w:sz w:val="28"/>
          <w:szCs w:val="28"/>
        </w:rPr>
      </w:pPr>
    </w:p>
    <w:p w14:paraId="38DFBC29" w14:textId="77777777" w:rsidR="00142C80" w:rsidRDefault="00142C80" w:rsidP="00142C80">
      <w:pPr>
        <w:jc w:val="center"/>
        <w:rPr>
          <w:b/>
          <w:sz w:val="28"/>
          <w:szCs w:val="28"/>
        </w:rPr>
      </w:pPr>
    </w:p>
    <w:p w14:paraId="7A423D8B" w14:textId="77777777" w:rsidR="00142C80" w:rsidRDefault="00142C80" w:rsidP="00142C80">
      <w:pPr>
        <w:jc w:val="center"/>
        <w:rPr>
          <w:b/>
          <w:sz w:val="28"/>
          <w:szCs w:val="28"/>
        </w:rPr>
      </w:pPr>
    </w:p>
    <w:p w14:paraId="5A3FF6BB" w14:textId="77777777" w:rsidR="00142C80" w:rsidRDefault="00142C80" w:rsidP="00142C80">
      <w:pPr>
        <w:jc w:val="center"/>
        <w:rPr>
          <w:b/>
          <w:sz w:val="28"/>
          <w:szCs w:val="28"/>
        </w:rPr>
      </w:pPr>
    </w:p>
    <w:p w14:paraId="62E939E0" w14:textId="77777777" w:rsidR="008648A9" w:rsidRDefault="008648A9" w:rsidP="00142C80">
      <w:pPr>
        <w:jc w:val="left"/>
        <w:rPr>
          <w:b/>
          <w:sz w:val="28"/>
          <w:szCs w:val="28"/>
        </w:rPr>
      </w:pPr>
    </w:p>
    <w:p w14:paraId="285E2D54" w14:textId="77777777" w:rsidR="008648A9" w:rsidRDefault="008648A9" w:rsidP="00142C80">
      <w:pPr>
        <w:jc w:val="left"/>
        <w:rPr>
          <w:b/>
          <w:sz w:val="28"/>
          <w:szCs w:val="28"/>
        </w:rPr>
      </w:pPr>
    </w:p>
    <w:p w14:paraId="3FFDB905" w14:textId="77777777" w:rsidR="008648A9" w:rsidRDefault="008648A9" w:rsidP="008648A9">
      <w:pPr>
        <w:jc w:val="left"/>
        <w:rPr>
          <w:b/>
          <w:sz w:val="28"/>
          <w:szCs w:val="28"/>
        </w:rPr>
        <w:sectPr w:rsidR="008648A9" w:rsidSect="009B6519">
          <w:headerReference w:type="even" r:id="rId8"/>
          <w:headerReference w:type="default" r:id="rId9"/>
          <w:footerReference w:type="default" r:id="rId10"/>
          <w:pgSz w:w="12240" w:h="15840" w:code="1"/>
          <w:pgMar w:top="720" w:right="1080" w:bottom="720" w:left="1440" w:header="720" w:footer="389" w:gutter="0"/>
          <w:cols w:space="720"/>
          <w:docGrid w:linePitch="360"/>
        </w:sectPr>
      </w:pPr>
    </w:p>
    <w:p w14:paraId="03AFD5ED" w14:textId="77777777" w:rsidR="00A96FFC" w:rsidRPr="001A2CF3" w:rsidRDefault="00A96FFC" w:rsidP="001A2CF3">
      <w:pPr>
        <w:jc w:val="center"/>
        <w:rPr>
          <w:b/>
          <w:sz w:val="28"/>
          <w:szCs w:val="28"/>
        </w:rPr>
      </w:pPr>
      <w:r w:rsidRPr="001A2CF3">
        <w:rPr>
          <w:b/>
          <w:sz w:val="28"/>
          <w:szCs w:val="28"/>
        </w:rPr>
        <w:lastRenderedPageBreak/>
        <w:t>TABLE OF CONTENTS</w:t>
      </w:r>
    </w:p>
    <w:p w14:paraId="0BAEA829" w14:textId="77777777" w:rsidR="00A96FFC" w:rsidRDefault="00A96FFC">
      <w:pPr>
        <w:rPr>
          <w:bCs/>
        </w:rPr>
      </w:pPr>
    </w:p>
    <w:p w14:paraId="5079E8B6" w14:textId="7962FB1C" w:rsidR="007D1F37" w:rsidRDefault="001D7387">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46833412" w:history="1">
        <w:r w:rsidR="007D1F37" w:rsidRPr="0009398D">
          <w:rPr>
            <w:rStyle w:val="Hyperlink"/>
            <w:rFonts w:ascii="Times New Roman Bold" w:hAnsi="Times New Roman Bold"/>
            <w:noProof/>
          </w:rPr>
          <w:t>1.0</w:t>
        </w:r>
        <w:r w:rsidR="007D1F37">
          <w:rPr>
            <w:rFonts w:asciiTheme="minorHAnsi" w:eastAsiaTheme="minorEastAsia" w:hAnsiTheme="minorHAnsi" w:cstheme="minorBidi"/>
            <w:noProof/>
            <w:sz w:val="22"/>
            <w:szCs w:val="22"/>
          </w:rPr>
          <w:tab/>
        </w:r>
        <w:r w:rsidR="007D1F37" w:rsidRPr="0009398D">
          <w:rPr>
            <w:rStyle w:val="Hyperlink"/>
            <w:noProof/>
          </w:rPr>
          <w:t>INTRODUCTION</w:t>
        </w:r>
        <w:r w:rsidR="007D1F37">
          <w:rPr>
            <w:noProof/>
            <w:webHidden/>
          </w:rPr>
          <w:tab/>
        </w:r>
        <w:r w:rsidR="007D1F37">
          <w:rPr>
            <w:noProof/>
            <w:webHidden/>
          </w:rPr>
          <w:fldChar w:fldCharType="begin"/>
        </w:r>
        <w:r w:rsidR="007D1F37">
          <w:rPr>
            <w:noProof/>
            <w:webHidden/>
          </w:rPr>
          <w:instrText xml:space="preserve"> PAGEREF _Toc46833412 \h </w:instrText>
        </w:r>
        <w:r w:rsidR="007D1F37">
          <w:rPr>
            <w:noProof/>
            <w:webHidden/>
          </w:rPr>
        </w:r>
        <w:r w:rsidR="007D1F37">
          <w:rPr>
            <w:noProof/>
            <w:webHidden/>
          </w:rPr>
          <w:fldChar w:fldCharType="separate"/>
        </w:r>
        <w:r w:rsidR="00DF631A">
          <w:rPr>
            <w:noProof/>
            <w:webHidden/>
          </w:rPr>
          <w:t>2</w:t>
        </w:r>
        <w:r w:rsidR="007D1F37">
          <w:rPr>
            <w:noProof/>
            <w:webHidden/>
          </w:rPr>
          <w:fldChar w:fldCharType="end"/>
        </w:r>
      </w:hyperlink>
    </w:p>
    <w:p w14:paraId="6FE16734" w14:textId="655FF804" w:rsidR="007D1F37" w:rsidRDefault="002D46C8">
      <w:pPr>
        <w:pStyle w:val="TOC1"/>
        <w:rPr>
          <w:rFonts w:asciiTheme="minorHAnsi" w:eastAsiaTheme="minorEastAsia" w:hAnsiTheme="minorHAnsi" w:cstheme="minorBidi"/>
          <w:noProof/>
          <w:sz w:val="22"/>
          <w:szCs w:val="22"/>
        </w:rPr>
      </w:pPr>
      <w:hyperlink w:anchor="_Toc46833413" w:history="1">
        <w:r w:rsidR="007D1F37" w:rsidRPr="0009398D">
          <w:rPr>
            <w:rStyle w:val="Hyperlink"/>
            <w:rFonts w:ascii="Times New Roman Bold" w:hAnsi="Times New Roman Bold"/>
            <w:noProof/>
          </w:rPr>
          <w:t>2.0</w:t>
        </w:r>
        <w:r w:rsidR="007D1F37">
          <w:rPr>
            <w:rFonts w:asciiTheme="minorHAnsi" w:eastAsiaTheme="minorEastAsia" w:hAnsiTheme="minorHAnsi" w:cstheme="minorBidi"/>
            <w:noProof/>
            <w:sz w:val="22"/>
            <w:szCs w:val="22"/>
          </w:rPr>
          <w:tab/>
        </w:r>
        <w:r w:rsidR="007D1F37" w:rsidRPr="0009398D">
          <w:rPr>
            <w:rStyle w:val="Hyperlink"/>
            <w:noProof/>
          </w:rPr>
          <w:t>DEFINITIONS</w:t>
        </w:r>
        <w:r w:rsidR="007D1F37">
          <w:rPr>
            <w:noProof/>
            <w:webHidden/>
          </w:rPr>
          <w:tab/>
        </w:r>
        <w:r w:rsidR="007D1F37">
          <w:rPr>
            <w:noProof/>
            <w:webHidden/>
          </w:rPr>
          <w:fldChar w:fldCharType="begin"/>
        </w:r>
        <w:r w:rsidR="007D1F37">
          <w:rPr>
            <w:noProof/>
            <w:webHidden/>
          </w:rPr>
          <w:instrText xml:space="preserve"> PAGEREF _Toc46833413 \h </w:instrText>
        </w:r>
        <w:r w:rsidR="007D1F37">
          <w:rPr>
            <w:noProof/>
            <w:webHidden/>
          </w:rPr>
        </w:r>
        <w:r w:rsidR="007D1F37">
          <w:rPr>
            <w:noProof/>
            <w:webHidden/>
          </w:rPr>
          <w:fldChar w:fldCharType="separate"/>
        </w:r>
        <w:r w:rsidR="00DF631A">
          <w:rPr>
            <w:noProof/>
            <w:webHidden/>
          </w:rPr>
          <w:t>2</w:t>
        </w:r>
        <w:r w:rsidR="007D1F37">
          <w:rPr>
            <w:noProof/>
            <w:webHidden/>
          </w:rPr>
          <w:fldChar w:fldCharType="end"/>
        </w:r>
      </w:hyperlink>
    </w:p>
    <w:p w14:paraId="354134F8" w14:textId="6D1ED8A2" w:rsidR="007D1F37" w:rsidRDefault="002D46C8">
      <w:pPr>
        <w:pStyle w:val="TOC1"/>
        <w:rPr>
          <w:rFonts w:asciiTheme="minorHAnsi" w:eastAsiaTheme="minorEastAsia" w:hAnsiTheme="minorHAnsi" w:cstheme="minorBidi"/>
          <w:noProof/>
          <w:sz w:val="22"/>
          <w:szCs w:val="22"/>
        </w:rPr>
      </w:pPr>
      <w:hyperlink w:anchor="_Toc46833414" w:history="1">
        <w:r w:rsidR="007D1F37" w:rsidRPr="0009398D">
          <w:rPr>
            <w:rStyle w:val="Hyperlink"/>
            <w:rFonts w:ascii="Times New Roman Bold" w:hAnsi="Times New Roman Bold"/>
            <w:noProof/>
          </w:rPr>
          <w:t>3.0</w:t>
        </w:r>
        <w:r w:rsidR="007D1F37">
          <w:rPr>
            <w:rFonts w:asciiTheme="minorHAnsi" w:eastAsiaTheme="minorEastAsia" w:hAnsiTheme="minorHAnsi" w:cstheme="minorBidi"/>
            <w:noProof/>
            <w:sz w:val="22"/>
            <w:szCs w:val="22"/>
          </w:rPr>
          <w:tab/>
        </w:r>
        <w:r w:rsidR="007D1F37" w:rsidRPr="0009398D">
          <w:rPr>
            <w:rStyle w:val="Hyperlink"/>
            <w:noProof/>
          </w:rPr>
          <w:t>RESPONSIBLILITIES</w:t>
        </w:r>
        <w:r w:rsidR="007D1F37">
          <w:rPr>
            <w:noProof/>
            <w:webHidden/>
          </w:rPr>
          <w:tab/>
        </w:r>
        <w:r w:rsidR="007D1F37">
          <w:rPr>
            <w:noProof/>
            <w:webHidden/>
          </w:rPr>
          <w:fldChar w:fldCharType="begin"/>
        </w:r>
        <w:r w:rsidR="007D1F37">
          <w:rPr>
            <w:noProof/>
            <w:webHidden/>
          </w:rPr>
          <w:instrText xml:space="preserve"> PAGEREF _Toc46833414 \h </w:instrText>
        </w:r>
        <w:r w:rsidR="007D1F37">
          <w:rPr>
            <w:noProof/>
            <w:webHidden/>
          </w:rPr>
        </w:r>
        <w:r w:rsidR="007D1F37">
          <w:rPr>
            <w:noProof/>
            <w:webHidden/>
          </w:rPr>
          <w:fldChar w:fldCharType="separate"/>
        </w:r>
        <w:r w:rsidR="00DF631A">
          <w:rPr>
            <w:noProof/>
            <w:webHidden/>
          </w:rPr>
          <w:t>4</w:t>
        </w:r>
        <w:r w:rsidR="007D1F37">
          <w:rPr>
            <w:noProof/>
            <w:webHidden/>
          </w:rPr>
          <w:fldChar w:fldCharType="end"/>
        </w:r>
      </w:hyperlink>
    </w:p>
    <w:p w14:paraId="2199EA55" w14:textId="19469FAF" w:rsidR="007D1F37" w:rsidRDefault="002D46C8">
      <w:pPr>
        <w:pStyle w:val="TOC2"/>
        <w:rPr>
          <w:rFonts w:asciiTheme="minorHAnsi" w:eastAsiaTheme="minorEastAsia" w:hAnsiTheme="minorHAnsi" w:cstheme="minorBidi"/>
          <w:noProof/>
          <w:sz w:val="22"/>
          <w:szCs w:val="22"/>
        </w:rPr>
      </w:pPr>
      <w:hyperlink w:anchor="_Toc46833415" w:history="1">
        <w:r w:rsidR="007D1F37" w:rsidRPr="0009398D">
          <w:rPr>
            <w:rStyle w:val="Hyperlink"/>
            <w:rFonts w:ascii="Times New Roman Bold" w:hAnsi="Times New Roman Bold"/>
            <w:noProof/>
          </w:rPr>
          <w:t>3.1</w:t>
        </w:r>
        <w:r w:rsidR="007D1F37">
          <w:rPr>
            <w:rFonts w:asciiTheme="minorHAnsi" w:eastAsiaTheme="minorEastAsia" w:hAnsiTheme="minorHAnsi" w:cstheme="minorBidi"/>
            <w:noProof/>
            <w:sz w:val="22"/>
            <w:szCs w:val="22"/>
          </w:rPr>
          <w:tab/>
        </w:r>
        <w:r w:rsidR="007D1F37" w:rsidRPr="0009398D">
          <w:rPr>
            <w:rStyle w:val="Hyperlink"/>
            <w:noProof/>
          </w:rPr>
          <w:t>Division/Section Heads/ Project Managers (D/S/P)</w:t>
        </w:r>
        <w:r w:rsidR="007D1F37">
          <w:rPr>
            <w:noProof/>
            <w:webHidden/>
          </w:rPr>
          <w:tab/>
        </w:r>
        <w:r w:rsidR="007D1F37">
          <w:rPr>
            <w:noProof/>
            <w:webHidden/>
          </w:rPr>
          <w:fldChar w:fldCharType="begin"/>
        </w:r>
        <w:r w:rsidR="007D1F37">
          <w:rPr>
            <w:noProof/>
            <w:webHidden/>
          </w:rPr>
          <w:instrText xml:space="preserve"> PAGEREF _Toc46833415 \h </w:instrText>
        </w:r>
        <w:r w:rsidR="007D1F37">
          <w:rPr>
            <w:noProof/>
            <w:webHidden/>
          </w:rPr>
        </w:r>
        <w:r w:rsidR="007D1F37">
          <w:rPr>
            <w:noProof/>
            <w:webHidden/>
          </w:rPr>
          <w:fldChar w:fldCharType="separate"/>
        </w:r>
        <w:r w:rsidR="00DF631A">
          <w:rPr>
            <w:noProof/>
            <w:webHidden/>
          </w:rPr>
          <w:t>4</w:t>
        </w:r>
        <w:r w:rsidR="007D1F37">
          <w:rPr>
            <w:noProof/>
            <w:webHidden/>
          </w:rPr>
          <w:fldChar w:fldCharType="end"/>
        </w:r>
      </w:hyperlink>
    </w:p>
    <w:p w14:paraId="28BF895C" w14:textId="5C2E14C8" w:rsidR="007D1F37" w:rsidRDefault="002D46C8">
      <w:pPr>
        <w:pStyle w:val="TOC2"/>
        <w:rPr>
          <w:rFonts w:asciiTheme="minorHAnsi" w:eastAsiaTheme="minorEastAsia" w:hAnsiTheme="minorHAnsi" w:cstheme="minorBidi"/>
          <w:noProof/>
          <w:sz w:val="22"/>
          <w:szCs w:val="22"/>
        </w:rPr>
      </w:pPr>
      <w:hyperlink w:anchor="_Toc46833416" w:history="1">
        <w:r w:rsidR="007D1F37" w:rsidRPr="0009398D">
          <w:rPr>
            <w:rStyle w:val="Hyperlink"/>
            <w:rFonts w:ascii="Times New Roman Bold" w:hAnsi="Times New Roman Bold"/>
            <w:noProof/>
          </w:rPr>
          <w:t>3.2</w:t>
        </w:r>
        <w:r w:rsidR="007D1F37">
          <w:rPr>
            <w:rFonts w:asciiTheme="minorHAnsi" w:eastAsiaTheme="minorEastAsia" w:hAnsiTheme="minorHAnsi" w:cstheme="minorBidi"/>
            <w:noProof/>
            <w:sz w:val="22"/>
            <w:szCs w:val="22"/>
          </w:rPr>
          <w:tab/>
        </w:r>
        <w:r w:rsidR="007D1F37" w:rsidRPr="0009398D">
          <w:rPr>
            <w:rStyle w:val="Hyperlink"/>
            <w:noProof/>
          </w:rPr>
          <w:t>Facilities Engineering Services Section</w:t>
        </w:r>
        <w:r w:rsidR="007D1F37">
          <w:rPr>
            <w:noProof/>
            <w:webHidden/>
          </w:rPr>
          <w:tab/>
        </w:r>
        <w:r w:rsidR="007D1F37">
          <w:rPr>
            <w:noProof/>
            <w:webHidden/>
          </w:rPr>
          <w:fldChar w:fldCharType="begin"/>
        </w:r>
        <w:r w:rsidR="007D1F37">
          <w:rPr>
            <w:noProof/>
            <w:webHidden/>
          </w:rPr>
          <w:instrText xml:space="preserve"> PAGEREF _Toc46833416 \h </w:instrText>
        </w:r>
        <w:r w:rsidR="007D1F37">
          <w:rPr>
            <w:noProof/>
            <w:webHidden/>
          </w:rPr>
        </w:r>
        <w:r w:rsidR="007D1F37">
          <w:rPr>
            <w:noProof/>
            <w:webHidden/>
          </w:rPr>
          <w:fldChar w:fldCharType="separate"/>
        </w:r>
        <w:r w:rsidR="00DF631A">
          <w:rPr>
            <w:noProof/>
            <w:webHidden/>
          </w:rPr>
          <w:t>5</w:t>
        </w:r>
        <w:r w:rsidR="007D1F37">
          <w:rPr>
            <w:noProof/>
            <w:webHidden/>
          </w:rPr>
          <w:fldChar w:fldCharType="end"/>
        </w:r>
      </w:hyperlink>
    </w:p>
    <w:p w14:paraId="57055707" w14:textId="2794E33F" w:rsidR="007D1F37" w:rsidRDefault="002D46C8">
      <w:pPr>
        <w:pStyle w:val="TOC2"/>
        <w:rPr>
          <w:rFonts w:asciiTheme="minorHAnsi" w:eastAsiaTheme="minorEastAsia" w:hAnsiTheme="minorHAnsi" w:cstheme="minorBidi"/>
          <w:noProof/>
          <w:sz w:val="22"/>
          <w:szCs w:val="22"/>
        </w:rPr>
      </w:pPr>
      <w:hyperlink w:anchor="_Toc46833417" w:history="1">
        <w:r w:rsidR="007D1F37" w:rsidRPr="0009398D">
          <w:rPr>
            <w:rStyle w:val="Hyperlink"/>
            <w:rFonts w:ascii="Times New Roman Bold" w:hAnsi="Times New Roman Bold"/>
            <w:noProof/>
          </w:rPr>
          <w:t>3.3</w:t>
        </w:r>
        <w:r w:rsidR="007D1F37">
          <w:rPr>
            <w:rFonts w:asciiTheme="minorHAnsi" w:eastAsiaTheme="minorEastAsia" w:hAnsiTheme="minorHAnsi" w:cstheme="minorBidi"/>
            <w:noProof/>
            <w:sz w:val="22"/>
            <w:szCs w:val="22"/>
          </w:rPr>
          <w:tab/>
        </w:r>
        <w:r w:rsidR="007D1F37" w:rsidRPr="0009398D">
          <w:rPr>
            <w:rStyle w:val="Hyperlink"/>
            <w:noProof/>
          </w:rPr>
          <w:t>ES&amp;H Section, Environmental Protection Group</w:t>
        </w:r>
        <w:r w:rsidR="007D1F37">
          <w:rPr>
            <w:noProof/>
            <w:webHidden/>
          </w:rPr>
          <w:tab/>
        </w:r>
        <w:r w:rsidR="007D1F37">
          <w:rPr>
            <w:noProof/>
            <w:webHidden/>
          </w:rPr>
          <w:fldChar w:fldCharType="begin"/>
        </w:r>
        <w:r w:rsidR="007D1F37">
          <w:rPr>
            <w:noProof/>
            <w:webHidden/>
          </w:rPr>
          <w:instrText xml:space="preserve"> PAGEREF _Toc46833417 \h </w:instrText>
        </w:r>
        <w:r w:rsidR="007D1F37">
          <w:rPr>
            <w:noProof/>
            <w:webHidden/>
          </w:rPr>
        </w:r>
        <w:r w:rsidR="007D1F37">
          <w:rPr>
            <w:noProof/>
            <w:webHidden/>
          </w:rPr>
          <w:fldChar w:fldCharType="separate"/>
        </w:r>
        <w:r w:rsidR="00DF631A">
          <w:rPr>
            <w:noProof/>
            <w:webHidden/>
          </w:rPr>
          <w:t>5</w:t>
        </w:r>
        <w:r w:rsidR="007D1F37">
          <w:rPr>
            <w:noProof/>
            <w:webHidden/>
          </w:rPr>
          <w:fldChar w:fldCharType="end"/>
        </w:r>
      </w:hyperlink>
    </w:p>
    <w:p w14:paraId="02E881C3" w14:textId="1D369432" w:rsidR="007D1F37" w:rsidRDefault="002D46C8">
      <w:pPr>
        <w:pStyle w:val="TOC2"/>
        <w:rPr>
          <w:rFonts w:asciiTheme="minorHAnsi" w:eastAsiaTheme="minorEastAsia" w:hAnsiTheme="minorHAnsi" w:cstheme="minorBidi"/>
          <w:noProof/>
          <w:sz w:val="22"/>
          <w:szCs w:val="22"/>
        </w:rPr>
      </w:pPr>
      <w:hyperlink w:anchor="_Toc46833418" w:history="1">
        <w:r w:rsidR="007D1F37" w:rsidRPr="0009398D">
          <w:rPr>
            <w:rStyle w:val="Hyperlink"/>
            <w:rFonts w:ascii="Times New Roman Bold" w:hAnsi="Times New Roman Bold"/>
            <w:noProof/>
          </w:rPr>
          <w:t>3.4</w:t>
        </w:r>
        <w:r w:rsidR="007D1F37">
          <w:rPr>
            <w:rFonts w:asciiTheme="minorHAnsi" w:eastAsiaTheme="minorEastAsia" w:hAnsiTheme="minorHAnsi" w:cstheme="minorBidi"/>
            <w:noProof/>
            <w:sz w:val="22"/>
            <w:szCs w:val="22"/>
          </w:rPr>
          <w:tab/>
        </w:r>
        <w:r w:rsidR="007D1F37" w:rsidRPr="0009398D">
          <w:rPr>
            <w:rStyle w:val="Hyperlink"/>
            <w:noProof/>
          </w:rPr>
          <w:t>ES&amp;H Section, Industrial Hygiene Group</w:t>
        </w:r>
        <w:r w:rsidR="007D1F37">
          <w:rPr>
            <w:noProof/>
            <w:webHidden/>
          </w:rPr>
          <w:tab/>
        </w:r>
        <w:r w:rsidR="007D1F37">
          <w:rPr>
            <w:noProof/>
            <w:webHidden/>
          </w:rPr>
          <w:fldChar w:fldCharType="begin"/>
        </w:r>
        <w:r w:rsidR="007D1F37">
          <w:rPr>
            <w:noProof/>
            <w:webHidden/>
          </w:rPr>
          <w:instrText xml:space="preserve"> PAGEREF _Toc46833418 \h </w:instrText>
        </w:r>
        <w:r w:rsidR="007D1F37">
          <w:rPr>
            <w:noProof/>
            <w:webHidden/>
          </w:rPr>
        </w:r>
        <w:r w:rsidR="007D1F37">
          <w:rPr>
            <w:noProof/>
            <w:webHidden/>
          </w:rPr>
          <w:fldChar w:fldCharType="separate"/>
        </w:r>
        <w:r w:rsidR="00DF631A">
          <w:rPr>
            <w:noProof/>
            <w:webHidden/>
          </w:rPr>
          <w:t>5</w:t>
        </w:r>
        <w:r w:rsidR="007D1F37">
          <w:rPr>
            <w:noProof/>
            <w:webHidden/>
          </w:rPr>
          <w:fldChar w:fldCharType="end"/>
        </w:r>
      </w:hyperlink>
    </w:p>
    <w:p w14:paraId="2CC6BDA1" w14:textId="1777EAE9" w:rsidR="007D1F37" w:rsidRDefault="002D46C8">
      <w:pPr>
        <w:pStyle w:val="TOC2"/>
        <w:rPr>
          <w:rFonts w:asciiTheme="minorHAnsi" w:eastAsiaTheme="minorEastAsia" w:hAnsiTheme="minorHAnsi" w:cstheme="minorBidi"/>
          <w:noProof/>
          <w:sz w:val="22"/>
          <w:szCs w:val="22"/>
        </w:rPr>
      </w:pPr>
      <w:hyperlink w:anchor="_Toc46833419" w:history="1">
        <w:r w:rsidR="007D1F37" w:rsidRPr="0009398D">
          <w:rPr>
            <w:rStyle w:val="Hyperlink"/>
            <w:rFonts w:ascii="Times New Roman Bold" w:hAnsi="Times New Roman Bold"/>
            <w:noProof/>
          </w:rPr>
          <w:t>3.5</w:t>
        </w:r>
        <w:r w:rsidR="007D1F37">
          <w:rPr>
            <w:rFonts w:asciiTheme="minorHAnsi" w:eastAsiaTheme="minorEastAsia" w:hAnsiTheme="minorHAnsi" w:cstheme="minorBidi"/>
            <w:noProof/>
            <w:sz w:val="22"/>
            <w:szCs w:val="22"/>
          </w:rPr>
          <w:tab/>
        </w:r>
        <w:r w:rsidR="007D1F37" w:rsidRPr="0009398D">
          <w:rPr>
            <w:rStyle w:val="Hyperlink"/>
            <w:noProof/>
          </w:rPr>
          <w:t>ES&amp;H Section, Radiation Protection Group</w:t>
        </w:r>
        <w:r w:rsidR="007D1F37">
          <w:rPr>
            <w:noProof/>
            <w:webHidden/>
          </w:rPr>
          <w:tab/>
        </w:r>
        <w:r w:rsidR="007D1F37">
          <w:rPr>
            <w:noProof/>
            <w:webHidden/>
          </w:rPr>
          <w:fldChar w:fldCharType="begin"/>
        </w:r>
        <w:r w:rsidR="007D1F37">
          <w:rPr>
            <w:noProof/>
            <w:webHidden/>
          </w:rPr>
          <w:instrText xml:space="preserve"> PAGEREF _Toc46833419 \h </w:instrText>
        </w:r>
        <w:r w:rsidR="007D1F37">
          <w:rPr>
            <w:noProof/>
            <w:webHidden/>
          </w:rPr>
        </w:r>
        <w:r w:rsidR="007D1F37">
          <w:rPr>
            <w:noProof/>
            <w:webHidden/>
          </w:rPr>
          <w:fldChar w:fldCharType="separate"/>
        </w:r>
        <w:r w:rsidR="00DF631A">
          <w:rPr>
            <w:noProof/>
            <w:webHidden/>
          </w:rPr>
          <w:t>5</w:t>
        </w:r>
        <w:r w:rsidR="007D1F37">
          <w:rPr>
            <w:noProof/>
            <w:webHidden/>
          </w:rPr>
          <w:fldChar w:fldCharType="end"/>
        </w:r>
      </w:hyperlink>
    </w:p>
    <w:p w14:paraId="5F658E46" w14:textId="16E5E082" w:rsidR="007D1F37" w:rsidRDefault="002D46C8">
      <w:pPr>
        <w:pStyle w:val="TOC1"/>
        <w:rPr>
          <w:rFonts w:asciiTheme="minorHAnsi" w:eastAsiaTheme="minorEastAsia" w:hAnsiTheme="minorHAnsi" w:cstheme="minorBidi"/>
          <w:noProof/>
          <w:sz w:val="22"/>
          <w:szCs w:val="22"/>
        </w:rPr>
      </w:pPr>
      <w:hyperlink w:anchor="_Toc46833420" w:history="1">
        <w:r w:rsidR="007D1F37" w:rsidRPr="0009398D">
          <w:rPr>
            <w:rStyle w:val="Hyperlink"/>
            <w:rFonts w:ascii="Times New Roman Bold" w:hAnsi="Times New Roman Bold"/>
            <w:noProof/>
          </w:rPr>
          <w:t>4.0</w:t>
        </w:r>
        <w:r w:rsidR="007D1F37">
          <w:rPr>
            <w:rFonts w:asciiTheme="minorHAnsi" w:eastAsiaTheme="minorEastAsia" w:hAnsiTheme="minorHAnsi" w:cstheme="minorBidi"/>
            <w:noProof/>
            <w:sz w:val="22"/>
            <w:szCs w:val="22"/>
          </w:rPr>
          <w:tab/>
        </w:r>
        <w:r w:rsidR="007D1F37" w:rsidRPr="0009398D">
          <w:rPr>
            <w:rStyle w:val="Hyperlink"/>
            <w:noProof/>
          </w:rPr>
          <w:t>PROGRAM DESCRIPTION</w:t>
        </w:r>
        <w:r w:rsidR="007D1F37">
          <w:rPr>
            <w:noProof/>
            <w:webHidden/>
          </w:rPr>
          <w:tab/>
        </w:r>
        <w:r w:rsidR="007D1F37">
          <w:rPr>
            <w:noProof/>
            <w:webHidden/>
          </w:rPr>
          <w:fldChar w:fldCharType="begin"/>
        </w:r>
        <w:r w:rsidR="007D1F37">
          <w:rPr>
            <w:noProof/>
            <w:webHidden/>
          </w:rPr>
          <w:instrText xml:space="preserve"> PAGEREF _Toc46833420 \h </w:instrText>
        </w:r>
        <w:r w:rsidR="007D1F37">
          <w:rPr>
            <w:noProof/>
            <w:webHidden/>
          </w:rPr>
        </w:r>
        <w:r w:rsidR="007D1F37">
          <w:rPr>
            <w:noProof/>
            <w:webHidden/>
          </w:rPr>
          <w:fldChar w:fldCharType="separate"/>
        </w:r>
        <w:r w:rsidR="00DF631A">
          <w:rPr>
            <w:noProof/>
            <w:webHidden/>
          </w:rPr>
          <w:t>5</w:t>
        </w:r>
        <w:r w:rsidR="007D1F37">
          <w:rPr>
            <w:noProof/>
            <w:webHidden/>
          </w:rPr>
          <w:fldChar w:fldCharType="end"/>
        </w:r>
      </w:hyperlink>
    </w:p>
    <w:p w14:paraId="560FFA88" w14:textId="0D2D6534" w:rsidR="007D1F37" w:rsidRDefault="002D46C8">
      <w:pPr>
        <w:pStyle w:val="TOC1"/>
        <w:rPr>
          <w:rFonts w:asciiTheme="minorHAnsi" w:eastAsiaTheme="minorEastAsia" w:hAnsiTheme="minorHAnsi" w:cstheme="minorBidi"/>
          <w:noProof/>
          <w:sz w:val="22"/>
          <w:szCs w:val="22"/>
        </w:rPr>
      </w:pPr>
      <w:hyperlink w:anchor="_Toc46833421" w:history="1">
        <w:r w:rsidR="007D1F37" w:rsidRPr="0009398D">
          <w:rPr>
            <w:rStyle w:val="Hyperlink"/>
            <w:rFonts w:ascii="Times New Roman Bold" w:hAnsi="Times New Roman Bold"/>
            <w:noProof/>
          </w:rPr>
          <w:t>5.0</w:t>
        </w:r>
        <w:r w:rsidR="007D1F37">
          <w:rPr>
            <w:rFonts w:asciiTheme="minorHAnsi" w:eastAsiaTheme="minorEastAsia" w:hAnsiTheme="minorHAnsi" w:cstheme="minorBidi"/>
            <w:noProof/>
            <w:sz w:val="22"/>
            <w:szCs w:val="22"/>
          </w:rPr>
          <w:tab/>
        </w:r>
        <w:r w:rsidR="007D1F37" w:rsidRPr="0009398D">
          <w:rPr>
            <w:rStyle w:val="Hyperlink"/>
            <w:noProof/>
          </w:rPr>
          <w:t>APPENDIX A</w:t>
        </w:r>
        <w:r w:rsidR="007D1F37">
          <w:rPr>
            <w:noProof/>
            <w:webHidden/>
          </w:rPr>
          <w:tab/>
        </w:r>
        <w:r w:rsidR="007D1F37">
          <w:rPr>
            <w:noProof/>
            <w:webHidden/>
          </w:rPr>
          <w:fldChar w:fldCharType="begin"/>
        </w:r>
        <w:r w:rsidR="007D1F37">
          <w:rPr>
            <w:noProof/>
            <w:webHidden/>
          </w:rPr>
          <w:instrText xml:space="preserve"> PAGEREF _Toc46833421 \h </w:instrText>
        </w:r>
        <w:r w:rsidR="007D1F37">
          <w:rPr>
            <w:noProof/>
            <w:webHidden/>
          </w:rPr>
        </w:r>
        <w:r w:rsidR="007D1F37">
          <w:rPr>
            <w:noProof/>
            <w:webHidden/>
          </w:rPr>
          <w:fldChar w:fldCharType="separate"/>
        </w:r>
        <w:r w:rsidR="00DF631A">
          <w:rPr>
            <w:noProof/>
            <w:webHidden/>
          </w:rPr>
          <w:t>8</w:t>
        </w:r>
        <w:r w:rsidR="007D1F37">
          <w:rPr>
            <w:noProof/>
            <w:webHidden/>
          </w:rPr>
          <w:fldChar w:fldCharType="end"/>
        </w:r>
      </w:hyperlink>
    </w:p>
    <w:p w14:paraId="3E0B0AD9" w14:textId="35E89EA1" w:rsidR="007D1F37" w:rsidRDefault="002D46C8">
      <w:pPr>
        <w:pStyle w:val="TOC2"/>
        <w:rPr>
          <w:rFonts w:asciiTheme="minorHAnsi" w:eastAsiaTheme="minorEastAsia" w:hAnsiTheme="minorHAnsi" w:cstheme="minorBidi"/>
          <w:noProof/>
          <w:sz w:val="22"/>
          <w:szCs w:val="22"/>
        </w:rPr>
      </w:pPr>
      <w:hyperlink w:anchor="_Toc46833422" w:history="1">
        <w:r w:rsidR="007D1F37" w:rsidRPr="0009398D">
          <w:rPr>
            <w:rStyle w:val="Hyperlink"/>
            <w:rFonts w:ascii="Times New Roman Bold" w:hAnsi="Times New Roman Bold"/>
            <w:noProof/>
          </w:rPr>
          <w:t>5.1</w:t>
        </w:r>
        <w:r w:rsidR="007D1F37">
          <w:rPr>
            <w:rFonts w:asciiTheme="minorHAnsi" w:eastAsiaTheme="minorEastAsia" w:hAnsiTheme="minorHAnsi" w:cstheme="minorBidi"/>
            <w:noProof/>
            <w:sz w:val="22"/>
            <w:szCs w:val="22"/>
          </w:rPr>
          <w:tab/>
        </w:r>
        <w:r w:rsidR="007D1F37" w:rsidRPr="0009398D">
          <w:rPr>
            <w:rStyle w:val="Hyperlink"/>
            <w:noProof/>
          </w:rPr>
          <w:t>Asbestos [35 IAC Part 228]</w:t>
        </w:r>
        <w:r w:rsidR="007D1F37">
          <w:rPr>
            <w:noProof/>
            <w:webHidden/>
          </w:rPr>
          <w:tab/>
        </w:r>
        <w:r w:rsidR="007D1F37">
          <w:rPr>
            <w:noProof/>
            <w:webHidden/>
          </w:rPr>
          <w:fldChar w:fldCharType="begin"/>
        </w:r>
        <w:r w:rsidR="007D1F37">
          <w:rPr>
            <w:noProof/>
            <w:webHidden/>
          </w:rPr>
          <w:instrText xml:space="preserve"> PAGEREF _Toc46833422 \h </w:instrText>
        </w:r>
        <w:r w:rsidR="007D1F37">
          <w:rPr>
            <w:noProof/>
            <w:webHidden/>
          </w:rPr>
        </w:r>
        <w:r w:rsidR="007D1F37">
          <w:rPr>
            <w:noProof/>
            <w:webHidden/>
          </w:rPr>
          <w:fldChar w:fldCharType="separate"/>
        </w:r>
        <w:r w:rsidR="00DF631A">
          <w:rPr>
            <w:noProof/>
            <w:webHidden/>
          </w:rPr>
          <w:t>8</w:t>
        </w:r>
        <w:r w:rsidR="007D1F37">
          <w:rPr>
            <w:noProof/>
            <w:webHidden/>
          </w:rPr>
          <w:fldChar w:fldCharType="end"/>
        </w:r>
      </w:hyperlink>
    </w:p>
    <w:p w14:paraId="48ABFFB2" w14:textId="6475E4A3" w:rsidR="007D1F37" w:rsidRDefault="002D46C8">
      <w:pPr>
        <w:pStyle w:val="TOC2"/>
        <w:rPr>
          <w:rFonts w:asciiTheme="minorHAnsi" w:eastAsiaTheme="minorEastAsia" w:hAnsiTheme="minorHAnsi" w:cstheme="minorBidi"/>
          <w:noProof/>
          <w:sz w:val="22"/>
          <w:szCs w:val="22"/>
        </w:rPr>
      </w:pPr>
      <w:hyperlink w:anchor="_Toc46833423" w:history="1">
        <w:r w:rsidR="007D1F37" w:rsidRPr="0009398D">
          <w:rPr>
            <w:rStyle w:val="Hyperlink"/>
            <w:rFonts w:ascii="Times New Roman Bold" w:hAnsi="Times New Roman Bold"/>
            <w:noProof/>
          </w:rPr>
          <w:t>5.2</w:t>
        </w:r>
        <w:r w:rsidR="007D1F37">
          <w:rPr>
            <w:rFonts w:asciiTheme="minorHAnsi" w:eastAsiaTheme="minorEastAsia" w:hAnsiTheme="minorHAnsi" w:cstheme="minorBidi"/>
            <w:noProof/>
            <w:sz w:val="22"/>
            <w:szCs w:val="22"/>
          </w:rPr>
          <w:tab/>
        </w:r>
        <w:r w:rsidR="007D1F37" w:rsidRPr="0009398D">
          <w:rPr>
            <w:rStyle w:val="Hyperlink"/>
            <w:noProof/>
          </w:rPr>
          <w:t>Clean Air Act 112(r ) See Toxic or Flammable Substance below.</w:t>
        </w:r>
        <w:r w:rsidR="007D1F37">
          <w:rPr>
            <w:noProof/>
            <w:webHidden/>
          </w:rPr>
          <w:tab/>
        </w:r>
        <w:r w:rsidR="007D1F37">
          <w:rPr>
            <w:noProof/>
            <w:webHidden/>
          </w:rPr>
          <w:fldChar w:fldCharType="begin"/>
        </w:r>
        <w:r w:rsidR="007D1F37">
          <w:rPr>
            <w:noProof/>
            <w:webHidden/>
          </w:rPr>
          <w:instrText xml:space="preserve"> PAGEREF _Toc46833423 \h </w:instrText>
        </w:r>
        <w:r w:rsidR="007D1F37">
          <w:rPr>
            <w:noProof/>
            <w:webHidden/>
          </w:rPr>
        </w:r>
        <w:r w:rsidR="007D1F37">
          <w:rPr>
            <w:noProof/>
            <w:webHidden/>
          </w:rPr>
          <w:fldChar w:fldCharType="separate"/>
        </w:r>
        <w:r w:rsidR="00DF631A">
          <w:rPr>
            <w:noProof/>
            <w:webHidden/>
          </w:rPr>
          <w:t>8</w:t>
        </w:r>
        <w:r w:rsidR="007D1F37">
          <w:rPr>
            <w:noProof/>
            <w:webHidden/>
          </w:rPr>
          <w:fldChar w:fldCharType="end"/>
        </w:r>
      </w:hyperlink>
    </w:p>
    <w:p w14:paraId="097D39D7" w14:textId="0999D0A3" w:rsidR="007D1F37" w:rsidRDefault="002D46C8">
      <w:pPr>
        <w:pStyle w:val="TOC2"/>
        <w:rPr>
          <w:rFonts w:asciiTheme="minorHAnsi" w:eastAsiaTheme="minorEastAsia" w:hAnsiTheme="minorHAnsi" w:cstheme="minorBidi"/>
          <w:noProof/>
          <w:sz w:val="22"/>
          <w:szCs w:val="22"/>
        </w:rPr>
      </w:pPr>
      <w:hyperlink w:anchor="_Toc46833424" w:history="1">
        <w:r w:rsidR="007D1F37" w:rsidRPr="0009398D">
          <w:rPr>
            <w:rStyle w:val="Hyperlink"/>
            <w:rFonts w:ascii="Times New Roman Bold" w:hAnsi="Times New Roman Bold"/>
            <w:noProof/>
          </w:rPr>
          <w:t>5.3</w:t>
        </w:r>
        <w:r w:rsidR="007D1F37">
          <w:rPr>
            <w:rFonts w:asciiTheme="minorHAnsi" w:eastAsiaTheme="minorEastAsia" w:hAnsiTheme="minorHAnsi" w:cstheme="minorBidi"/>
            <w:noProof/>
            <w:sz w:val="22"/>
            <w:szCs w:val="22"/>
          </w:rPr>
          <w:tab/>
        </w:r>
        <w:r w:rsidR="007D1F37" w:rsidRPr="0009398D">
          <w:rPr>
            <w:rStyle w:val="Hyperlink"/>
            <w:noProof/>
          </w:rPr>
          <w:t>Coating Operations   [35 IAC, Part 218, Subpart F]</w:t>
        </w:r>
        <w:r w:rsidR="007D1F37">
          <w:rPr>
            <w:noProof/>
            <w:webHidden/>
          </w:rPr>
          <w:tab/>
        </w:r>
        <w:r w:rsidR="007D1F37">
          <w:rPr>
            <w:noProof/>
            <w:webHidden/>
          </w:rPr>
          <w:fldChar w:fldCharType="begin"/>
        </w:r>
        <w:r w:rsidR="007D1F37">
          <w:rPr>
            <w:noProof/>
            <w:webHidden/>
          </w:rPr>
          <w:instrText xml:space="preserve"> PAGEREF _Toc46833424 \h </w:instrText>
        </w:r>
        <w:r w:rsidR="007D1F37">
          <w:rPr>
            <w:noProof/>
            <w:webHidden/>
          </w:rPr>
        </w:r>
        <w:r w:rsidR="007D1F37">
          <w:rPr>
            <w:noProof/>
            <w:webHidden/>
          </w:rPr>
          <w:fldChar w:fldCharType="separate"/>
        </w:r>
        <w:r w:rsidR="00DF631A">
          <w:rPr>
            <w:noProof/>
            <w:webHidden/>
          </w:rPr>
          <w:t>8</w:t>
        </w:r>
        <w:r w:rsidR="007D1F37">
          <w:rPr>
            <w:noProof/>
            <w:webHidden/>
          </w:rPr>
          <w:fldChar w:fldCharType="end"/>
        </w:r>
      </w:hyperlink>
    </w:p>
    <w:p w14:paraId="2420AF58" w14:textId="41BB535B" w:rsidR="007D1F37" w:rsidRDefault="002D46C8">
      <w:pPr>
        <w:pStyle w:val="TOC2"/>
        <w:rPr>
          <w:rFonts w:asciiTheme="minorHAnsi" w:eastAsiaTheme="minorEastAsia" w:hAnsiTheme="minorHAnsi" w:cstheme="minorBidi"/>
          <w:noProof/>
          <w:sz w:val="22"/>
          <w:szCs w:val="22"/>
        </w:rPr>
      </w:pPr>
      <w:hyperlink w:anchor="_Toc46833425" w:history="1">
        <w:r w:rsidR="007D1F37" w:rsidRPr="0009398D">
          <w:rPr>
            <w:rStyle w:val="Hyperlink"/>
            <w:rFonts w:ascii="Times New Roman Bold" w:hAnsi="Times New Roman Bold"/>
            <w:noProof/>
          </w:rPr>
          <w:t>5.4</w:t>
        </w:r>
        <w:r w:rsidR="007D1F37">
          <w:rPr>
            <w:rFonts w:asciiTheme="minorHAnsi" w:eastAsiaTheme="minorEastAsia" w:hAnsiTheme="minorHAnsi" w:cstheme="minorBidi"/>
            <w:noProof/>
            <w:sz w:val="22"/>
            <w:szCs w:val="22"/>
          </w:rPr>
          <w:tab/>
        </w:r>
        <w:r w:rsidR="007D1F37" w:rsidRPr="0009398D">
          <w:rPr>
            <w:rStyle w:val="Hyperlink"/>
            <w:noProof/>
          </w:rPr>
          <w:t>Cold Cleaning [35 IAC, Part 218, Subpart E]</w:t>
        </w:r>
        <w:r w:rsidR="007D1F37">
          <w:rPr>
            <w:noProof/>
            <w:webHidden/>
          </w:rPr>
          <w:tab/>
        </w:r>
        <w:r w:rsidR="007D1F37">
          <w:rPr>
            <w:noProof/>
            <w:webHidden/>
          </w:rPr>
          <w:fldChar w:fldCharType="begin"/>
        </w:r>
        <w:r w:rsidR="007D1F37">
          <w:rPr>
            <w:noProof/>
            <w:webHidden/>
          </w:rPr>
          <w:instrText xml:space="preserve"> PAGEREF _Toc46833425 \h </w:instrText>
        </w:r>
        <w:r w:rsidR="007D1F37">
          <w:rPr>
            <w:noProof/>
            <w:webHidden/>
          </w:rPr>
        </w:r>
        <w:r w:rsidR="007D1F37">
          <w:rPr>
            <w:noProof/>
            <w:webHidden/>
          </w:rPr>
          <w:fldChar w:fldCharType="separate"/>
        </w:r>
        <w:r w:rsidR="00DF631A">
          <w:rPr>
            <w:noProof/>
            <w:webHidden/>
          </w:rPr>
          <w:t>8</w:t>
        </w:r>
        <w:r w:rsidR="007D1F37">
          <w:rPr>
            <w:noProof/>
            <w:webHidden/>
          </w:rPr>
          <w:fldChar w:fldCharType="end"/>
        </w:r>
      </w:hyperlink>
    </w:p>
    <w:p w14:paraId="14F38C54" w14:textId="346124F5" w:rsidR="007D1F37" w:rsidRDefault="002D46C8">
      <w:pPr>
        <w:pStyle w:val="TOC2"/>
        <w:rPr>
          <w:rFonts w:asciiTheme="minorHAnsi" w:eastAsiaTheme="minorEastAsia" w:hAnsiTheme="minorHAnsi" w:cstheme="minorBidi"/>
          <w:noProof/>
          <w:sz w:val="22"/>
          <w:szCs w:val="22"/>
        </w:rPr>
      </w:pPr>
      <w:hyperlink w:anchor="_Toc46833426" w:history="1">
        <w:r w:rsidR="007D1F37" w:rsidRPr="0009398D">
          <w:rPr>
            <w:rStyle w:val="Hyperlink"/>
            <w:rFonts w:ascii="Times New Roman Bold" w:hAnsi="Times New Roman Bold"/>
            <w:noProof/>
          </w:rPr>
          <w:t>5.5</w:t>
        </w:r>
        <w:r w:rsidR="007D1F37">
          <w:rPr>
            <w:rFonts w:asciiTheme="minorHAnsi" w:eastAsiaTheme="minorEastAsia" w:hAnsiTheme="minorHAnsi" w:cstheme="minorBidi"/>
            <w:noProof/>
            <w:sz w:val="22"/>
            <w:szCs w:val="22"/>
          </w:rPr>
          <w:tab/>
        </w:r>
        <w:r w:rsidR="007D1F37" w:rsidRPr="0009398D">
          <w:rPr>
            <w:rStyle w:val="Hyperlink"/>
            <w:noProof/>
          </w:rPr>
          <w:t>Criteria Pollutants [35 IAC Subtitle B; 40 CFR 50]</w:t>
        </w:r>
        <w:r w:rsidR="007D1F37">
          <w:rPr>
            <w:noProof/>
            <w:webHidden/>
          </w:rPr>
          <w:tab/>
        </w:r>
        <w:r w:rsidR="007D1F37">
          <w:rPr>
            <w:noProof/>
            <w:webHidden/>
          </w:rPr>
          <w:fldChar w:fldCharType="begin"/>
        </w:r>
        <w:r w:rsidR="007D1F37">
          <w:rPr>
            <w:noProof/>
            <w:webHidden/>
          </w:rPr>
          <w:instrText xml:space="preserve"> PAGEREF _Toc46833426 \h </w:instrText>
        </w:r>
        <w:r w:rsidR="007D1F37">
          <w:rPr>
            <w:noProof/>
            <w:webHidden/>
          </w:rPr>
        </w:r>
        <w:r w:rsidR="007D1F37">
          <w:rPr>
            <w:noProof/>
            <w:webHidden/>
          </w:rPr>
          <w:fldChar w:fldCharType="separate"/>
        </w:r>
        <w:r w:rsidR="00DF631A">
          <w:rPr>
            <w:noProof/>
            <w:webHidden/>
          </w:rPr>
          <w:t>8</w:t>
        </w:r>
        <w:r w:rsidR="007D1F37">
          <w:rPr>
            <w:noProof/>
            <w:webHidden/>
          </w:rPr>
          <w:fldChar w:fldCharType="end"/>
        </w:r>
      </w:hyperlink>
    </w:p>
    <w:p w14:paraId="5E5B1F52" w14:textId="08822583" w:rsidR="007D1F37" w:rsidRDefault="002D46C8">
      <w:pPr>
        <w:pStyle w:val="TOC2"/>
        <w:rPr>
          <w:rFonts w:asciiTheme="minorHAnsi" w:eastAsiaTheme="minorEastAsia" w:hAnsiTheme="minorHAnsi" w:cstheme="minorBidi"/>
          <w:noProof/>
          <w:sz w:val="22"/>
          <w:szCs w:val="22"/>
        </w:rPr>
      </w:pPr>
      <w:hyperlink w:anchor="_Toc46833427" w:history="1">
        <w:r w:rsidR="007D1F37" w:rsidRPr="0009398D">
          <w:rPr>
            <w:rStyle w:val="Hyperlink"/>
            <w:rFonts w:ascii="Times New Roman Bold" w:hAnsi="Times New Roman Bold"/>
            <w:noProof/>
          </w:rPr>
          <w:t>5.6</w:t>
        </w:r>
        <w:r w:rsidR="007D1F37">
          <w:rPr>
            <w:rFonts w:asciiTheme="minorHAnsi" w:eastAsiaTheme="minorEastAsia" w:hAnsiTheme="minorHAnsi" w:cstheme="minorBidi"/>
            <w:noProof/>
            <w:sz w:val="22"/>
            <w:szCs w:val="22"/>
          </w:rPr>
          <w:tab/>
        </w:r>
        <w:r w:rsidR="007D1F37" w:rsidRPr="0009398D">
          <w:rPr>
            <w:rStyle w:val="Hyperlink"/>
            <w:noProof/>
          </w:rPr>
          <w:t>Fleet Vehicles [35 IAC Part 241]</w:t>
        </w:r>
        <w:r w:rsidR="007D1F37">
          <w:rPr>
            <w:noProof/>
            <w:webHidden/>
          </w:rPr>
          <w:tab/>
        </w:r>
        <w:r w:rsidR="007D1F37">
          <w:rPr>
            <w:noProof/>
            <w:webHidden/>
          </w:rPr>
          <w:fldChar w:fldCharType="begin"/>
        </w:r>
        <w:r w:rsidR="007D1F37">
          <w:rPr>
            <w:noProof/>
            <w:webHidden/>
          </w:rPr>
          <w:instrText xml:space="preserve"> PAGEREF _Toc46833427 \h </w:instrText>
        </w:r>
        <w:r w:rsidR="007D1F37">
          <w:rPr>
            <w:noProof/>
            <w:webHidden/>
          </w:rPr>
        </w:r>
        <w:r w:rsidR="007D1F37">
          <w:rPr>
            <w:noProof/>
            <w:webHidden/>
          </w:rPr>
          <w:fldChar w:fldCharType="separate"/>
        </w:r>
        <w:r w:rsidR="00DF631A">
          <w:rPr>
            <w:noProof/>
            <w:webHidden/>
          </w:rPr>
          <w:t>9</w:t>
        </w:r>
        <w:r w:rsidR="007D1F37">
          <w:rPr>
            <w:noProof/>
            <w:webHidden/>
          </w:rPr>
          <w:fldChar w:fldCharType="end"/>
        </w:r>
      </w:hyperlink>
    </w:p>
    <w:p w14:paraId="68CD7E74" w14:textId="1F375F82" w:rsidR="007D1F37" w:rsidRDefault="002D46C8">
      <w:pPr>
        <w:pStyle w:val="TOC2"/>
        <w:rPr>
          <w:rFonts w:asciiTheme="minorHAnsi" w:eastAsiaTheme="minorEastAsia" w:hAnsiTheme="minorHAnsi" w:cstheme="minorBidi"/>
          <w:noProof/>
          <w:sz w:val="22"/>
          <w:szCs w:val="22"/>
        </w:rPr>
      </w:pPr>
      <w:hyperlink w:anchor="_Toc46833428" w:history="1">
        <w:r w:rsidR="007D1F37" w:rsidRPr="0009398D">
          <w:rPr>
            <w:rStyle w:val="Hyperlink"/>
            <w:rFonts w:ascii="Times New Roman Bold" w:hAnsi="Times New Roman Bold"/>
            <w:noProof/>
          </w:rPr>
          <w:t>5.7</w:t>
        </w:r>
        <w:r w:rsidR="007D1F37">
          <w:rPr>
            <w:rFonts w:asciiTheme="minorHAnsi" w:eastAsiaTheme="minorEastAsia" w:hAnsiTheme="minorHAnsi" w:cstheme="minorBidi"/>
            <w:noProof/>
            <w:sz w:val="22"/>
            <w:szCs w:val="22"/>
          </w:rPr>
          <w:tab/>
        </w:r>
        <w:r w:rsidR="007D1F37" w:rsidRPr="0009398D">
          <w:rPr>
            <w:rStyle w:val="Hyperlink"/>
            <w:noProof/>
          </w:rPr>
          <w:t>Hazardous Air Pollutants (HAPs) [35 IAC Subtitle B; 40 CFR 61]</w:t>
        </w:r>
        <w:r w:rsidR="007D1F37">
          <w:rPr>
            <w:noProof/>
            <w:webHidden/>
          </w:rPr>
          <w:tab/>
        </w:r>
        <w:r w:rsidR="007D1F37">
          <w:rPr>
            <w:noProof/>
            <w:webHidden/>
          </w:rPr>
          <w:fldChar w:fldCharType="begin"/>
        </w:r>
        <w:r w:rsidR="007D1F37">
          <w:rPr>
            <w:noProof/>
            <w:webHidden/>
          </w:rPr>
          <w:instrText xml:space="preserve"> PAGEREF _Toc46833428 \h </w:instrText>
        </w:r>
        <w:r w:rsidR="007D1F37">
          <w:rPr>
            <w:noProof/>
            <w:webHidden/>
          </w:rPr>
        </w:r>
        <w:r w:rsidR="007D1F37">
          <w:rPr>
            <w:noProof/>
            <w:webHidden/>
          </w:rPr>
          <w:fldChar w:fldCharType="separate"/>
        </w:r>
        <w:r w:rsidR="00DF631A">
          <w:rPr>
            <w:noProof/>
            <w:webHidden/>
          </w:rPr>
          <w:t>9</w:t>
        </w:r>
        <w:r w:rsidR="007D1F37">
          <w:rPr>
            <w:noProof/>
            <w:webHidden/>
          </w:rPr>
          <w:fldChar w:fldCharType="end"/>
        </w:r>
      </w:hyperlink>
    </w:p>
    <w:p w14:paraId="2E791709" w14:textId="031AC31E" w:rsidR="007D1F37" w:rsidRDefault="002D46C8">
      <w:pPr>
        <w:pStyle w:val="TOC2"/>
        <w:rPr>
          <w:rFonts w:asciiTheme="minorHAnsi" w:eastAsiaTheme="minorEastAsia" w:hAnsiTheme="minorHAnsi" w:cstheme="minorBidi"/>
          <w:noProof/>
          <w:sz w:val="22"/>
          <w:szCs w:val="22"/>
        </w:rPr>
      </w:pPr>
      <w:hyperlink w:anchor="_Toc46833429" w:history="1">
        <w:r w:rsidR="007D1F37" w:rsidRPr="0009398D">
          <w:rPr>
            <w:rStyle w:val="Hyperlink"/>
            <w:rFonts w:ascii="Times New Roman Bold" w:hAnsi="Times New Roman Bold"/>
            <w:noProof/>
          </w:rPr>
          <w:t>5.8</w:t>
        </w:r>
        <w:r w:rsidR="007D1F37">
          <w:rPr>
            <w:rFonts w:asciiTheme="minorHAnsi" w:eastAsiaTheme="minorEastAsia" w:hAnsiTheme="minorHAnsi" w:cstheme="minorBidi"/>
            <w:noProof/>
            <w:sz w:val="22"/>
            <w:szCs w:val="22"/>
          </w:rPr>
          <w:tab/>
        </w:r>
        <w:r w:rsidR="007D1F37" w:rsidRPr="0009398D">
          <w:rPr>
            <w:rStyle w:val="Hyperlink"/>
            <w:noProof/>
          </w:rPr>
          <w:t>Ozone Depleting Substances  [40 CFR 82]</w:t>
        </w:r>
        <w:r w:rsidR="007D1F37">
          <w:rPr>
            <w:noProof/>
            <w:webHidden/>
          </w:rPr>
          <w:tab/>
        </w:r>
        <w:r w:rsidR="007D1F37">
          <w:rPr>
            <w:noProof/>
            <w:webHidden/>
          </w:rPr>
          <w:fldChar w:fldCharType="begin"/>
        </w:r>
        <w:r w:rsidR="007D1F37">
          <w:rPr>
            <w:noProof/>
            <w:webHidden/>
          </w:rPr>
          <w:instrText xml:space="preserve"> PAGEREF _Toc46833429 \h </w:instrText>
        </w:r>
        <w:r w:rsidR="007D1F37">
          <w:rPr>
            <w:noProof/>
            <w:webHidden/>
          </w:rPr>
        </w:r>
        <w:r w:rsidR="007D1F37">
          <w:rPr>
            <w:noProof/>
            <w:webHidden/>
          </w:rPr>
          <w:fldChar w:fldCharType="separate"/>
        </w:r>
        <w:r w:rsidR="00DF631A">
          <w:rPr>
            <w:noProof/>
            <w:webHidden/>
          </w:rPr>
          <w:t>9</w:t>
        </w:r>
        <w:r w:rsidR="007D1F37">
          <w:rPr>
            <w:noProof/>
            <w:webHidden/>
          </w:rPr>
          <w:fldChar w:fldCharType="end"/>
        </w:r>
      </w:hyperlink>
    </w:p>
    <w:p w14:paraId="76758783" w14:textId="2A5F14F8" w:rsidR="007D1F37" w:rsidRDefault="002D46C8">
      <w:pPr>
        <w:pStyle w:val="TOC2"/>
        <w:rPr>
          <w:rFonts w:asciiTheme="minorHAnsi" w:eastAsiaTheme="minorEastAsia" w:hAnsiTheme="minorHAnsi" w:cstheme="minorBidi"/>
          <w:noProof/>
          <w:sz w:val="22"/>
          <w:szCs w:val="22"/>
        </w:rPr>
      </w:pPr>
      <w:hyperlink w:anchor="_Toc46833430" w:history="1">
        <w:r w:rsidR="007D1F37" w:rsidRPr="0009398D">
          <w:rPr>
            <w:rStyle w:val="Hyperlink"/>
            <w:rFonts w:ascii="Times New Roman Bold" w:hAnsi="Times New Roman Bold"/>
            <w:noProof/>
          </w:rPr>
          <w:t>5.9</w:t>
        </w:r>
        <w:r w:rsidR="007D1F37">
          <w:rPr>
            <w:rFonts w:asciiTheme="minorHAnsi" w:eastAsiaTheme="minorEastAsia" w:hAnsiTheme="minorHAnsi" w:cstheme="minorBidi"/>
            <w:noProof/>
            <w:sz w:val="22"/>
            <w:szCs w:val="22"/>
          </w:rPr>
          <w:tab/>
        </w:r>
        <w:r w:rsidR="007D1F37" w:rsidRPr="0009398D">
          <w:rPr>
            <w:rStyle w:val="Hyperlink"/>
            <w:noProof/>
          </w:rPr>
          <w:t>Radionuclide [35 IAC Subtitle B; 40 CFR 61, Subpart H]</w:t>
        </w:r>
        <w:r w:rsidR="007D1F37">
          <w:rPr>
            <w:noProof/>
            <w:webHidden/>
          </w:rPr>
          <w:tab/>
        </w:r>
        <w:r w:rsidR="007D1F37">
          <w:rPr>
            <w:noProof/>
            <w:webHidden/>
          </w:rPr>
          <w:fldChar w:fldCharType="begin"/>
        </w:r>
        <w:r w:rsidR="007D1F37">
          <w:rPr>
            <w:noProof/>
            <w:webHidden/>
          </w:rPr>
          <w:instrText xml:space="preserve"> PAGEREF _Toc46833430 \h </w:instrText>
        </w:r>
        <w:r w:rsidR="007D1F37">
          <w:rPr>
            <w:noProof/>
            <w:webHidden/>
          </w:rPr>
        </w:r>
        <w:r w:rsidR="007D1F37">
          <w:rPr>
            <w:noProof/>
            <w:webHidden/>
          </w:rPr>
          <w:fldChar w:fldCharType="separate"/>
        </w:r>
        <w:r w:rsidR="00DF631A">
          <w:rPr>
            <w:noProof/>
            <w:webHidden/>
          </w:rPr>
          <w:t>9</w:t>
        </w:r>
        <w:r w:rsidR="007D1F37">
          <w:rPr>
            <w:noProof/>
            <w:webHidden/>
          </w:rPr>
          <w:fldChar w:fldCharType="end"/>
        </w:r>
      </w:hyperlink>
    </w:p>
    <w:p w14:paraId="15DCA53A" w14:textId="478C77C9" w:rsidR="007D1F37" w:rsidRDefault="002D46C8">
      <w:pPr>
        <w:pStyle w:val="TOC2"/>
        <w:rPr>
          <w:rFonts w:asciiTheme="minorHAnsi" w:eastAsiaTheme="minorEastAsia" w:hAnsiTheme="minorHAnsi" w:cstheme="minorBidi"/>
          <w:noProof/>
          <w:sz w:val="22"/>
          <w:szCs w:val="22"/>
        </w:rPr>
      </w:pPr>
      <w:hyperlink w:anchor="_Toc46833431" w:history="1">
        <w:r w:rsidR="007D1F37" w:rsidRPr="0009398D">
          <w:rPr>
            <w:rStyle w:val="Hyperlink"/>
            <w:rFonts w:ascii="Times New Roman Bold" w:hAnsi="Times New Roman Bold"/>
            <w:noProof/>
          </w:rPr>
          <w:t>5.10</w:t>
        </w:r>
        <w:r w:rsidR="007D1F37">
          <w:rPr>
            <w:rFonts w:asciiTheme="minorHAnsi" w:eastAsiaTheme="minorEastAsia" w:hAnsiTheme="minorHAnsi" w:cstheme="minorBidi"/>
            <w:noProof/>
            <w:sz w:val="22"/>
            <w:szCs w:val="22"/>
          </w:rPr>
          <w:tab/>
        </w:r>
        <w:r w:rsidR="007D1F37" w:rsidRPr="0009398D">
          <w:rPr>
            <w:rStyle w:val="Hyperlink"/>
            <w:noProof/>
          </w:rPr>
          <w:t>Toxic or Flammable Substances [40 CFR Part 68]</w:t>
        </w:r>
        <w:r w:rsidR="007D1F37">
          <w:rPr>
            <w:noProof/>
            <w:webHidden/>
          </w:rPr>
          <w:tab/>
        </w:r>
        <w:r w:rsidR="007D1F37">
          <w:rPr>
            <w:noProof/>
            <w:webHidden/>
          </w:rPr>
          <w:fldChar w:fldCharType="begin"/>
        </w:r>
        <w:r w:rsidR="007D1F37">
          <w:rPr>
            <w:noProof/>
            <w:webHidden/>
          </w:rPr>
          <w:instrText xml:space="preserve"> PAGEREF _Toc46833431 \h </w:instrText>
        </w:r>
        <w:r w:rsidR="007D1F37">
          <w:rPr>
            <w:noProof/>
            <w:webHidden/>
          </w:rPr>
        </w:r>
        <w:r w:rsidR="007D1F37">
          <w:rPr>
            <w:noProof/>
            <w:webHidden/>
          </w:rPr>
          <w:fldChar w:fldCharType="separate"/>
        </w:r>
        <w:r w:rsidR="00DF631A">
          <w:rPr>
            <w:noProof/>
            <w:webHidden/>
          </w:rPr>
          <w:t>10</w:t>
        </w:r>
        <w:r w:rsidR="007D1F37">
          <w:rPr>
            <w:noProof/>
            <w:webHidden/>
          </w:rPr>
          <w:fldChar w:fldCharType="end"/>
        </w:r>
      </w:hyperlink>
    </w:p>
    <w:p w14:paraId="4CBB66A1" w14:textId="0567E8F8" w:rsidR="007D1F37" w:rsidRDefault="002D46C8">
      <w:pPr>
        <w:pStyle w:val="TOC1"/>
        <w:rPr>
          <w:rFonts w:asciiTheme="minorHAnsi" w:eastAsiaTheme="minorEastAsia" w:hAnsiTheme="minorHAnsi" w:cstheme="minorBidi"/>
          <w:noProof/>
          <w:sz w:val="22"/>
          <w:szCs w:val="22"/>
        </w:rPr>
      </w:pPr>
      <w:hyperlink w:anchor="_Toc46833432" w:history="1">
        <w:r w:rsidR="007D1F37" w:rsidRPr="0009398D">
          <w:rPr>
            <w:rStyle w:val="Hyperlink"/>
            <w:rFonts w:ascii="Times New Roman Bold" w:hAnsi="Times New Roman Bold"/>
            <w:noProof/>
          </w:rPr>
          <w:t>6.0</w:t>
        </w:r>
        <w:r w:rsidR="007D1F37">
          <w:rPr>
            <w:rFonts w:asciiTheme="minorHAnsi" w:eastAsiaTheme="minorEastAsia" w:hAnsiTheme="minorHAnsi" w:cstheme="minorBidi"/>
            <w:noProof/>
            <w:sz w:val="22"/>
            <w:szCs w:val="22"/>
          </w:rPr>
          <w:tab/>
        </w:r>
        <w:r w:rsidR="007D1F37" w:rsidRPr="0009398D">
          <w:rPr>
            <w:rStyle w:val="Hyperlink"/>
            <w:noProof/>
          </w:rPr>
          <w:t>APPENDIX B</w:t>
        </w:r>
        <w:r w:rsidR="007D1F37">
          <w:rPr>
            <w:noProof/>
            <w:webHidden/>
          </w:rPr>
          <w:tab/>
        </w:r>
        <w:r w:rsidR="007D1F37">
          <w:rPr>
            <w:noProof/>
            <w:webHidden/>
          </w:rPr>
          <w:fldChar w:fldCharType="begin"/>
        </w:r>
        <w:r w:rsidR="007D1F37">
          <w:rPr>
            <w:noProof/>
            <w:webHidden/>
          </w:rPr>
          <w:instrText xml:space="preserve"> PAGEREF _Toc46833432 \h </w:instrText>
        </w:r>
        <w:r w:rsidR="007D1F37">
          <w:rPr>
            <w:noProof/>
            <w:webHidden/>
          </w:rPr>
        </w:r>
        <w:r w:rsidR="007D1F37">
          <w:rPr>
            <w:noProof/>
            <w:webHidden/>
          </w:rPr>
          <w:fldChar w:fldCharType="separate"/>
        </w:r>
        <w:r w:rsidR="00DF631A">
          <w:rPr>
            <w:noProof/>
            <w:webHidden/>
          </w:rPr>
          <w:t>11</w:t>
        </w:r>
        <w:r w:rsidR="007D1F37">
          <w:rPr>
            <w:noProof/>
            <w:webHidden/>
          </w:rPr>
          <w:fldChar w:fldCharType="end"/>
        </w:r>
      </w:hyperlink>
    </w:p>
    <w:p w14:paraId="4C5D100B" w14:textId="6DEB7ABA" w:rsidR="007D1F37" w:rsidRDefault="002D46C8">
      <w:pPr>
        <w:pStyle w:val="TOC2"/>
        <w:rPr>
          <w:rFonts w:asciiTheme="minorHAnsi" w:eastAsiaTheme="minorEastAsia" w:hAnsiTheme="minorHAnsi" w:cstheme="minorBidi"/>
          <w:noProof/>
          <w:sz w:val="22"/>
          <w:szCs w:val="22"/>
        </w:rPr>
      </w:pPr>
      <w:hyperlink w:anchor="_Toc46833433" w:history="1">
        <w:r w:rsidR="007D1F37" w:rsidRPr="0009398D">
          <w:rPr>
            <w:rStyle w:val="Hyperlink"/>
            <w:rFonts w:ascii="Times New Roman Bold" w:hAnsi="Times New Roman Bold"/>
            <w:noProof/>
          </w:rPr>
          <w:t>6.1</w:t>
        </w:r>
        <w:r w:rsidR="007D1F37">
          <w:rPr>
            <w:rFonts w:asciiTheme="minorHAnsi" w:eastAsiaTheme="minorEastAsia" w:hAnsiTheme="minorHAnsi" w:cstheme="minorBidi"/>
            <w:noProof/>
            <w:sz w:val="22"/>
            <w:szCs w:val="22"/>
          </w:rPr>
          <w:tab/>
        </w:r>
        <w:r w:rsidR="007D1F37" w:rsidRPr="0009398D">
          <w:rPr>
            <w:rStyle w:val="Hyperlink"/>
            <w:noProof/>
          </w:rPr>
          <w:t>Exemptions from State Permitting Requirements</w:t>
        </w:r>
        <w:r w:rsidR="007D1F37">
          <w:rPr>
            <w:noProof/>
            <w:webHidden/>
          </w:rPr>
          <w:tab/>
        </w:r>
        <w:r w:rsidR="007D1F37">
          <w:rPr>
            <w:noProof/>
            <w:webHidden/>
          </w:rPr>
          <w:fldChar w:fldCharType="begin"/>
        </w:r>
        <w:r w:rsidR="007D1F37">
          <w:rPr>
            <w:noProof/>
            <w:webHidden/>
          </w:rPr>
          <w:instrText xml:space="preserve"> PAGEREF _Toc46833433 \h </w:instrText>
        </w:r>
        <w:r w:rsidR="007D1F37">
          <w:rPr>
            <w:noProof/>
            <w:webHidden/>
          </w:rPr>
        </w:r>
        <w:r w:rsidR="007D1F37">
          <w:rPr>
            <w:noProof/>
            <w:webHidden/>
          </w:rPr>
          <w:fldChar w:fldCharType="separate"/>
        </w:r>
        <w:r w:rsidR="00DF631A">
          <w:rPr>
            <w:noProof/>
            <w:webHidden/>
          </w:rPr>
          <w:t>11</w:t>
        </w:r>
        <w:r w:rsidR="007D1F37">
          <w:rPr>
            <w:noProof/>
            <w:webHidden/>
          </w:rPr>
          <w:fldChar w:fldCharType="end"/>
        </w:r>
      </w:hyperlink>
    </w:p>
    <w:p w14:paraId="293D62DE" w14:textId="37B3436F" w:rsidR="007D1F37" w:rsidRDefault="002D46C8">
      <w:pPr>
        <w:pStyle w:val="TOC1"/>
        <w:rPr>
          <w:rFonts w:asciiTheme="minorHAnsi" w:eastAsiaTheme="minorEastAsia" w:hAnsiTheme="minorHAnsi" w:cstheme="minorBidi"/>
          <w:noProof/>
          <w:sz w:val="22"/>
          <w:szCs w:val="22"/>
        </w:rPr>
      </w:pPr>
      <w:hyperlink w:anchor="_Toc46833434" w:history="1">
        <w:r w:rsidR="007D1F37" w:rsidRPr="0009398D">
          <w:rPr>
            <w:rStyle w:val="Hyperlink"/>
            <w:rFonts w:ascii="Times New Roman Bold" w:hAnsi="Times New Roman Bold"/>
            <w:noProof/>
          </w:rPr>
          <w:t>7.0</w:t>
        </w:r>
        <w:r w:rsidR="007D1F37">
          <w:rPr>
            <w:rFonts w:asciiTheme="minorHAnsi" w:eastAsiaTheme="minorEastAsia" w:hAnsiTheme="minorHAnsi" w:cstheme="minorBidi"/>
            <w:noProof/>
            <w:sz w:val="22"/>
            <w:szCs w:val="22"/>
          </w:rPr>
          <w:tab/>
        </w:r>
        <w:r w:rsidR="007D1F37" w:rsidRPr="0009398D">
          <w:rPr>
            <w:rStyle w:val="Hyperlink"/>
            <w:noProof/>
          </w:rPr>
          <w:t>APPENDIX C</w:t>
        </w:r>
        <w:r w:rsidR="007D1F37">
          <w:rPr>
            <w:noProof/>
            <w:webHidden/>
          </w:rPr>
          <w:tab/>
        </w:r>
        <w:r w:rsidR="007D1F37">
          <w:rPr>
            <w:noProof/>
            <w:webHidden/>
          </w:rPr>
          <w:fldChar w:fldCharType="begin"/>
        </w:r>
        <w:r w:rsidR="007D1F37">
          <w:rPr>
            <w:noProof/>
            <w:webHidden/>
          </w:rPr>
          <w:instrText xml:space="preserve"> PAGEREF _Toc46833434 \h </w:instrText>
        </w:r>
        <w:r w:rsidR="007D1F37">
          <w:rPr>
            <w:noProof/>
            <w:webHidden/>
          </w:rPr>
        </w:r>
        <w:r w:rsidR="007D1F37">
          <w:rPr>
            <w:noProof/>
            <w:webHidden/>
          </w:rPr>
          <w:fldChar w:fldCharType="separate"/>
        </w:r>
        <w:r w:rsidR="00DF631A">
          <w:rPr>
            <w:noProof/>
            <w:webHidden/>
          </w:rPr>
          <w:t>12</w:t>
        </w:r>
        <w:r w:rsidR="007D1F37">
          <w:rPr>
            <w:noProof/>
            <w:webHidden/>
          </w:rPr>
          <w:fldChar w:fldCharType="end"/>
        </w:r>
      </w:hyperlink>
    </w:p>
    <w:p w14:paraId="3306B591" w14:textId="674DB995" w:rsidR="007D1F37" w:rsidRDefault="002D46C8">
      <w:pPr>
        <w:pStyle w:val="TOC2"/>
        <w:rPr>
          <w:rFonts w:asciiTheme="minorHAnsi" w:eastAsiaTheme="minorEastAsia" w:hAnsiTheme="minorHAnsi" w:cstheme="minorBidi"/>
          <w:noProof/>
          <w:sz w:val="22"/>
          <w:szCs w:val="22"/>
        </w:rPr>
      </w:pPr>
      <w:hyperlink w:anchor="_Toc46833435" w:history="1">
        <w:r w:rsidR="007D1F37" w:rsidRPr="0009398D">
          <w:rPr>
            <w:rStyle w:val="Hyperlink"/>
            <w:rFonts w:ascii="Times New Roman Bold" w:hAnsi="Times New Roman Bold"/>
            <w:noProof/>
          </w:rPr>
          <w:t>7.1</w:t>
        </w:r>
        <w:r w:rsidR="007D1F37">
          <w:rPr>
            <w:rFonts w:asciiTheme="minorHAnsi" w:eastAsiaTheme="minorEastAsia" w:hAnsiTheme="minorHAnsi" w:cstheme="minorBidi"/>
            <w:noProof/>
            <w:sz w:val="22"/>
            <w:szCs w:val="22"/>
          </w:rPr>
          <w:tab/>
        </w:r>
        <w:r w:rsidR="007D1F37" w:rsidRPr="0009398D">
          <w:rPr>
            <w:rStyle w:val="Hyperlink"/>
            <w:noProof/>
          </w:rPr>
          <w:t>Stationary Internal Combustion Engines</w:t>
        </w:r>
        <w:r w:rsidR="007D1F37">
          <w:rPr>
            <w:noProof/>
            <w:webHidden/>
          </w:rPr>
          <w:tab/>
        </w:r>
        <w:r w:rsidR="007D1F37">
          <w:rPr>
            <w:noProof/>
            <w:webHidden/>
          </w:rPr>
          <w:fldChar w:fldCharType="begin"/>
        </w:r>
        <w:r w:rsidR="007D1F37">
          <w:rPr>
            <w:noProof/>
            <w:webHidden/>
          </w:rPr>
          <w:instrText xml:space="preserve"> PAGEREF _Toc46833435 \h </w:instrText>
        </w:r>
        <w:r w:rsidR="007D1F37">
          <w:rPr>
            <w:noProof/>
            <w:webHidden/>
          </w:rPr>
        </w:r>
        <w:r w:rsidR="007D1F37">
          <w:rPr>
            <w:noProof/>
            <w:webHidden/>
          </w:rPr>
          <w:fldChar w:fldCharType="separate"/>
        </w:r>
        <w:r w:rsidR="00DF631A">
          <w:rPr>
            <w:noProof/>
            <w:webHidden/>
          </w:rPr>
          <w:t>12</w:t>
        </w:r>
        <w:r w:rsidR="007D1F37">
          <w:rPr>
            <w:noProof/>
            <w:webHidden/>
          </w:rPr>
          <w:fldChar w:fldCharType="end"/>
        </w:r>
      </w:hyperlink>
    </w:p>
    <w:p w14:paraId="23704A21" w14:textId="368CFB62" w:rsidR="007D1F37" w:rsidRDefault="002D46C8">
      <w:pPr>
        <w:pStyle w:val="TOC2"/>
        <w:rPr>
          <w:rFonts w:asciiTheme="minorHAnsi" w:eastAsiaTheme="minorEastAsia" w:hAnsiTheme="minorHAnsi" w:cstheme="minorBidi"/>
          <w:noProof/>
          <w:sz w:val="22"/>
          <w:szCs w:val="22"/>
        </w:rPr>
      </w:pPr>
      <w:hyperlink w:anchor="_Toc46833436" w:history="1">
        <w:r w:rsidR="007D1F37" w:rsidRPr="0009398D">
          <w:rPr>
            <w:rStyle w:val="Hyperlink"/>
            <w:rFonts w:ascii="Times New Roman Bold" w:hAnsi="Times New Roman Bold"/>
            <w:noProof/>
          </w:rPr>
          <w:t>7.2</w:t>
        </w:r>
        <w:r w:rsidR="007D1F37">
          <w:rPr>
            <w:rFonts w:asciiTheme="minorHAnsi" w:eastAsiaTheme="minorEastAsia" w:hAnsiTheme="minorHAnsi" w:cstheme="minorBidi"/>
            <w:noProof/>
            <w:sz w:val="22"/>
            <w:szCs w:val="22"/>
          </w:rPr>
          <w:tab/>
        </w:r>
        <w:r w:rsidR="007D1F37" w:rsidRPr="0009398D">
          <w:rPr>
            <w:rStyle w:val="Hyperlink"/>
            <w:noProof/>
          </w:rPr>
          <w:t>Definitions</w:t>
        </w:r>
        <w:r w:rsidR="007D1F37">
          <w:rPr>
            <w:noProof/>
            <w:webHidden/>
          </w:rPr>
          <w:tab/>
        </w:r>
        <w:r w:rsidR="007D1F37">
          <w:rPr>
            <w:noProof/>
            <w:webHidden/>
          </w:rPr>
          <w:fldChar w:fldCharType="begin"/>
        </w:r>
        <w:r w:rsidR="007D1F37">
          <w:rPr>
            <w:noProof/>
            <w:webHidden/>
          </w:rPr>
          <w:instrText xml:space="preserve"> PAGEREF _Toc46833436 \h </w:instrText>
        </w:r>
        <w:r w:rsidR="007D1F37">
          <w:rPr>
            <w:noProof/>
            <w:webHidden/>
          </w:rPr>
        </w:r>
        <w:r w:rsidR="007D1F37">
          <w:rPr>
            <w:noProof/>
            <w:webHidden/>
          </w:rPr>
          <w:fldChar w:fldCharType="separate"/>
        </w:r>
        <w:r w:rsidR="00DF631A">
          <w:rPr>
            <w:noProof/>
            <w:webHidden/>
          </w:rPr>
          <w:t>12</w:t>
        </w:r>
        <w:r w:rsidR="007D1F37">
          <w:rPr>
            <w:noProof/>
            <w:webHidden/>
          </w:rPr>
          <w:fldChar w:fldCharType="end"/>
        </w:r>
      </w:hyperlink>
    </w:p>
    <w:p w14:paraId="25D88E49" w14:textId="39E1D3CF" w:rsidR="007D1F37" w:rsidRDefault="002D46C8">
      <w:pPr>
        <w:pStyle w:val="TOC2"/>
        <w:rPr>
          <w:rFonts w:asciiTheme="minorHAnsi" w:eastAsiaTheme="minorEastAsia" w:hAnsiTheme="minorHAnsi" w:cstheme="minorBidi"/>
          <w:noProof/>
          <w:sz w:val="22"/>
          <w:szCs w:val="22"/>
        </w:rPr>
      </w:pPr>
      <w:hyperlink w:anchor="_Toc46833437" w:history="1">
        <w:r w:rsidR="007D1F37" w:rsidRPr="0009398D">
          <w:rPr>
            <w:rStyle w:val="Hyperlink"/>
            <w:rFonts w:ascii="Times New Roman Bold" w:hAnsi="Times New Roman Bold"/>
            <w:noProof/>
          </w:rPr>
          <w:t>7.3</w:t>
        </w:r>
        <w:r w:rsidR="007D1F37">
          <w:rPr>
            <w:rFonts w:asciiTheme="minorHAnsi" w:eastAsiaTheme="minorEastAsia" w:hAnsiTheme="minorHAnsi" w:cstheme="minorBidi"/>
            <w:noProof/>
            <w:sz w:val="22"/>
            <w:szCs w:val="22"/>
          </w:rPr>
          <w:tab/>
        </w:r>
        <w:r w:rsidR="007D1F37" w:rsidRPr="0009398D">
          <w:rPr>
            <w:rStyle w:val="Hyperlink"/>
            <w:noProof/>
          </w:rPr>
          <w:t>Responsibilities</w:t>
        </w:r>
        <w:r w:rsidR="007D1F37">
          <w:rPr>
            <w:noProof/>
            <w:webHidden/>
          </w:rPr>
          <w:tab/>
        </w:r>
        <w:r w:rsidR="007D1F37">
          <w:rPr>
            <w:noProof/>
            <w:webHidden/>
          </w:rPr>
          <w:fldChar w:fldCharType="begin"/>
        </w:r>
        <w:r w:rsidR="007D1F37">
          <w:rPr>
            <w:noProof/>
            <w:webHidden/>
          </w:rPr>
          <w:instrText xml:space="preserve"> PAGEREF _Toc46833437 \h </w:instrText>
        </w:r>
        <w:r w:rsidR="007D1F37">
          <w:rPr>
            <w:noProof/>
            <w:webHidden/>
          </w:rPr>
        </w:r>
        <w:r w:rsidR="007D1F37">
          <w:rPr>
            <w:noProof/>
            <w:webHidden/>
          </w:rPr>
          <w:fldChar w:fldCharType="separate"/>
        </w:r>
        <w:r w:rsidR="00DF631A">
          <w:rPr>
            <w:noProof/>
            <w:webHidden/>
          </w:rPr>
          <w:t>13</w:t>
        </w:r>
        <w:r w:rsidR="007D1F37">
          <w:rPr>
            <w:noProof/>
            <w:webHidden/>
          </w:rPr>
          <w:fldChar w:fldCharType="end"/>
        </w:r>
      </w:hyperlink>
    </w:p>
    <w:p w14:paraId="7FD74621" w14:textId="14A40584" w:rsidR="007D1F37" w:rsidRDefault="002D46C8">
      <w:pPr>
        <w:pStyle w:val="TOC3"/>
        <w:tabs>
          <w:tab w:val="left" w:pos="1930"/>
        </w:tabs>
        <w:rPr>
          <w:rFonts w:asciiTheme="minorHAnsi" w:eastAsiaTheme="minorEastAsia" w:hAnsiTheme="minorHAnsi" w:cstheme="minorBidi"/>
          <w:noProof/>
          <w:sz w:val="22"/>
          <w:szCs w:val="22"/>
        </w:rPr>
      </w:pPr>
      <w:hyperlink w:anchor="_Toc46833438" w:history="1">
        <w:r w:rsidR="007D1F37" w:rsidRPr="0009398D">
          <w:rPr>
            <w:rStyle w:val="Hyperlink"/>
            <w:rFonts w:ascii="Times New Roman Bold" w:hAnsi="Times New Roman Bold"/>
            <w:noProof/>
          </w:rPr>
          <w:t>7.3.1.</w:t>
        </w:r>
        <w:r w:rsidR="007D1F37">
          <w:rPr>
            <w:rFonts w:asciiTheme="minorHAnsi" w:eastAsiaTheme="minorEastAsia" w:hAnsiTheme="minorHAnsi" w:cstheme="minorBidi"/>
            <w:noProof/>
            <w:sz w:val="22"/>
            <w:szCs w:val="22"/>
          </w:rPr>
          <w:tab/>
        </w:r>
        <w:r w:rsidR="007D1F37" w:rsidRPr="0009398D">
          <w:rPr>
            <w:rStyle w:val="Hyperlink"/>
            <w:noProof/>
          </w:rPr>
          <w:t>Division/Section Heads and Project Managers (DSP)</w:t>
        </w:r>
        <w:r w:rsidR="007D1F37">
          <w:rPr>
            <w:noProof/>
            <w:webHidden/>
          </w:rPr>
          <w:tab/>
        </w:r>
        <w:r w:rsidR="007D1F37">
          <w:rPr>
            <w:noProof/>
            <w:webHidden/>
          </w:rPr>
          <w:fldChar w:fldCharType="begin"/>
        </w:r>
        <w:r w:rsidR="007D1F37">
          <w:rPr>
            <w:noProof/>
            <w:webHidden/>
          </w:rPr>
          <w:instrText xml:space="preserve"> PAGEREF _Toc46833438 \h </w:instrText>
        </w:r>
        <w:r w:rsidR="007D1F37">
          <w:rPr>
            <w:noProof/>
            <w:webHidden/>
          </w:rPr>
        </w:r>
        <w:r w:rsidR="007D1F37">
          <w:rPr>
            <w:noProof/>
            <w:webHidden/>
          </w:rPr>
          <w:fldChar w:fldCharType="separate"/>
        </w:r>
        <w:r w:rsidR="00DF631A">
          <w:rPr>
            <w:noProof/>
            <w:webHidden/>
          </w:rPr>
          <w:t>13</w:t>
        </w:r>
        <w:r w:rsidR="007D1F37">
          <w:rPr>
            <w:noProof/>
            <w:webHidden/>
          </w:rPr>
          <w:fldChar w:fldCharType="end"/>
        </w:r>
      </w:hyperlink>
    </w:p>
    <w:p w14:paraId="00AA685D" w14:textId="5079A010" w:rsidR="007D1F37" w:rsidRDefault="002D46C8">
      <w:pPr>
        <w:pStyle w:val="TOC3"/>
        <w:tabs>
          <w:tab w:val="left" w:pos="1930"/>
        </w:tabs>
        <w:rPr>
          <w:rFonts w:asciiTheme="minorHAnsi" w:eastAsiaTheme="minorEastAsia" w:hAnsiTheme="minorHAnsi" w:cstheme="minorBidi"/>
          <w:noProof/>
          <w:sz w:val="22"/>
          <w:szCs w:val="22"/>
        </w:rPr>
      </w:pPr>
      <w:hyperlink w:anchor="_Toc46833439" w:history="1">
        <w:r w:rsidR="007D1F37" w:rsidRPr="0009398D">
          <w:rPr>
            <w:rStyle w:val="Hyperlink"/>
            <w:rFonts w:ascii="Times New Roman Bold" w:hAnsi="Times New Roman Bold"/>
            <w:noProof/>
          </w:rPr>
          <w:t>7.3.2.</w:t>
        </w:r>
        <w:r w:rsidR="007D1F37">
          <w:rPr>
            <w:rFonts w:asciiTheme="minorHAnsi" w:eastAsiaTheme="minorEastAsia" w:hAnsiTheme="minorHAnsi" w:cstheme="minorBidi"/>
            <w:noProof/>
            <w:sz w:val="22"/>
            <w:szCs w:val="22"/>
          </w:rPr>
          <w:tab/>
        </w:r>
        <w:r w:rsidR="007D1F37" w:rsidRPr="0009398D">
          <w:rPr>
            <w:rStyle w:val="Hyperlink"/>
            <w:noProof/>
          </w:rPr>
          <w:t>ES&amp;H Section Environmental Protection Group</w:t>
        </w:r>
        <w:r w:rsidR="007D1F37">
          <w:rPr>
            <w:noProof/>
            <w:webHidden/>
          </w:rPr>
          <w:tab/>
        </w:r>
        <w:r w:rsidR="007D1F37">
          <w:rPr>
            <w:noProof/>
            <w:webHidden/>
          </w:rPr>
          <w:fldChar w:fldCharType="begin"/>
        </w:r>
        <w:r w:rsidR="007D1F37">
          <w:rPr>
            <w:noProof/>
            <w:webHidden/>
          </w:rPr>
          <w:instrText xml:space="preserve"> PAGEREF _Toc46833439 \h </w:instrText>
        </w:r>
        <w:r w:rsidR="007D1F37">
          <w:rPr>
            <w:noProof/>
            <w:webHidden/>
          </w:rPr>
        </w:r>
        <w:r w:rsidR="007D1F37">
          <w:rPr>
            <w:noProof/>
            <w:webHidden/>
          </w:rPr>
          <w:fldChar w:fldCharType="separate"/>
        </w:r>
        <w:r w:rsidR="00DF631A">
          <w:rPr>
            <w:noProof/>
            <w:webHidden/>
          </w:rPr>
          <w:t>13</w:t>
        </w:r>
        <w:r w:rsidR="007D1F37">
          <w:rPr>
            <w:noProof/>
            <w:webHidden/>
          </w:rPr>
          <w:fldChar w:fldCharType="end"/>
        </w:r>
      </w:hyperlink>
    </w:p>
    <w:p w14:paraId="24725B61" w14:textId="0DE1D8C2" w:rsidR="007D1F37" w:rsidRDefault="002D46C8">
      <w:pPr>
        <w:pStyle w:val="TOC1"/>
        <w:rPr>
          <w:rFonts w:asciiTheme="minorHAnsi" w:eastAsiaTheme="minorEastAsia" w:hAnsiTheme="minorHAnsi" w:cstheme="minorBidi"/>
          <w:noProof/>
          <w:sz w:val="22"/>
          <w:szCs w:val="22"/>
        </w:rPr>
      </w:pPr>
      <w:hyperlink w:anchor="_Toc46833440" w:history="1">
        <w:r w:rsidR="007D1F37" w:rsidRPr="0009398D">
          <w:rPr>
            <w:rStyle w:val="Hyperlink"/>
            <w:rFonts w:ascii="Times New Roman Bold" w:hAnsi="Times New Roman Bold"/>
            <w:noProof/>
          </w:rPr>
          <w:t>8.0</w:t>
        </w:r>
        <w:r w:rsidR="007D1F37">
          <w:rPr>
            <w:rFonts w:asciiTheme="minorHAnsi" w:eastAsiaTheme="minorEastAsia" w:hAnsiTheme="minorHAnsi" w:cstheme="minorBidi"/>
            <w:noProof/>
            <w:sz w:val="22"/>
            <w:szCs w:val="22"/>
          </w:rPr>
          <w:tab/>
        </w:r>
        <w:r w:rsidR="007D1F37" w:rsidRPr="0009398D">
          <w:rPr>
            <w:rStyle w:val="Hyperlink"/>
            <w:noProof/>
          </w:rPr>
          <w:t>APPENDIX D</w:t>
        </w:r>
        <w:r w:rsidR="007D1F37">
          <w:rPr>
            <w:noProof/>
            <w:webHidden/>
          </w:rPr>
          <w:tab/>
        </w:r>
        <w:r w:rsidR="007D1F37">
          <w:rPr>
            <w:noProof/>
            <w:webHidden/>
          </w:rPr>
          <w:fldChar w:fldCharType="begin"/>
        </w:r>
        <w:r w:rsidR="007D1F37">
          <w:rPr>
            <w:noProof/>
            <w:webHidden/>
          </w:rPr>
          <w:instrText xml:space="preserve"> PAGEREF _Toc46833440 \h </w:instrText>
        </w:r>
        <w:r w:rsidR="007D1F37">
          <w:rPr>
            <w:noProof/>
            <w:webHidden/>
          </w:rPr>
        </w:r>
        <w:r w:rsidR="007D1F37">
          <w:rPr>
            <w:noProof/>
            <w:webHidden/>
          </w:rPr>
          <w:fldChar w:fldCharType="separate"/>
        </w:r>
        <w:r w:rsidR="00DF631A">
          <w:rPr>
            <w:noProof/>
            <w:webHidden/>
          </w:rPr>
          <w:t>14</w:t>
        </w:r>
        <w:r w:rsidR="007D1F37">
          <w:rPr>
            <w:noProof/>
            <w:webHidden/>
          </w:rPr>
          <w:fldChar w:fldCharType="end"/>
        </w:r>
      </w:hyperlink>
    </w:p>
    <w:p w14:paraId="5228566E" w14:textId="767AD5EA" w:rsidR="007D1F37" w:rsidRDefault="002D46C8">
      <w:pPr>
        <w:pStyle w:val="TOC2"/>
        <w:rPr>
          <w:rFonts w:asciiTheme="minorHAnsi" w:eastAsiaTheme="minorEastAsia" w:hAnsiTheme="minorHAnsi" w:cstheme="minorBidi"/>
          <w:noProof/>
          <w:sz w:val="22"/>
          <w:szCs w:val="22"/>
        </w:rPr>
      </w:pPr>
      <w:hyperlink w:anchor="_Toc46833441" w:history="1">
        <w:r w:rsidR="007D1F37" w:rsidRPr="0009398D">
          <w:rPr>
            <w:rStyle w:val="Hyperlink"/>
            <w:rFonts w:ascii="Times New Roman Bold" w:hAnsi="Times New Roman Bold"/>
            <w:noProof/>
          </w:rPr>
          <w:t>8.1</w:t>
        </w:r>
        <w:r w:rsidR="007D1F37">
          <w:rPr>
            <w:rFonts w:asciiTheme="minorHAnsi" w:eastAsiaTheme="minorEastAsia" w:hAnsiTheme="minorHAnsi" w:cstheme="minorBidi"/>
            <w:noProof/>
            <w:sz w:val="22"/>
            <w:szCs w:val="22"/>
          </w:rPr>
          <w:tab/>
        </w:r>
        <w:r w:rsidR="007D1F37" w:rsidRPr="0009398D">
          <w:rPr>
            <w:rStyle w:val="Hyperlink"/>
            <w:noProof/>
          </w:rPr>
          <w:t>Conditions for Operating Non-Exempt Emission Units</w:t>
        </w:r>
        <w:r w:rsidR="007D1F37">
          <w:rPr>
            <w:noProof/>
            <w:webHidden/>
          </w:rPr>
          <w:tab/>
        </w:r>
        <w:r w:rsidR="007D1F37">
          <w:rPr>
            <w:noProof/>
            <w:webHidden/>
          </w:rPr>
          <w:fldChar w:fldCharType="begin"/>
        </w:r>
        <w:r w:rsidR="007D1F37">
          <w:rPr>
            <w:noProof/>
            <w:webHidden/>
          </w:rPr>
          <w:instrText xml:space="preserve"> PAGEREF _Toc46833441 \h </w:instrText>
        </w:r>
        <w:r w:rsidR="007D1F37">
          <w:rPr>
            <w:noProof/>
            <w:webHidden/>
          </w:rPr>
        </w:r>
        <w:r w:rsidR="007D1F37">
          <w:rPr>
            <w:noProof/>
            <w:webHidden/>
          </w:rPr>
          <w:fldChar w:fldCharType="separate"/>
        </w:r>
        <w:r w:rsidR="00DF631A">
          <w:rPr>
            <w:noProof/>
            <w:webHidden/>
          </w:rPr>
          <w:t>14</w:t>
        </w:r>
        <w:r w:rsidR="007D1F37">
          <w:rPr>
            <w:noProof/>
            <w:webHidden/>
          </w:rPr>
          <w:fldChar w:fldCharType="end"/>
        </w:r>
      </w:hyperlink>
    </w:p>
    <w:p w14:paraId="0C1BB7E9" w14:textId="3F6CEAD6" w:rsidR="00A96FFC" w:rsidRDefault="001D7387" w:rsidP="003559A3">
      <w:pPr>
        <w:tabs>
          <w:tab w:val="right" w:leader="dot" w:pos="9720"/>
        </w:tabs>
        <w:jc w:val="left"/>
        <w:rPr>
          <w:bCs/>
        </w:rPr>
      </w:pPr>
      <w:r>
        <w:rPr>
          <w:bCs/>
        </w:rPr>
        <w:fldChar w:fldCharType="end"/>
      </w:r>
    </w:p>
    <w:p w14:paraId="1E6B0E42" w14:textId="77777777" w:rsidR="00084E8E" w:rsidRPr="00FA370A" w:rsidRDefault="00084E8E" w:rsidP="002441F5">
      <w:pPr>
        <w:jc w:val="left"/>
        <w:rPr>
          <w:bCs/>
        </w:rPr>
      </w:pPr>
    </w:p>
    <w:p w14:paraId="0C0EBEB0" w14:textId="77777777" w:rsidR="00A96FFC" w:rsidRPr="00A96FFC" w:rsidRDefault="00A96FFC">
      <w:pPr>
        <w:rPr>
          <w:bCs/>
        </w:rPr>
      </w:pPr>
    </w:p>
    <w:p w14:paraId="2CB62F12" w14:textId="77777777" w:rsidR="00A96FFC" w:rsidRPr="00A96FFC" w:rsidRDefault="00A96FFC">
      <w:pPr>
        <w:rPr>
          <w:bCs/>
        </w:rPr>
        <w:sectPr w:rsidR="00A96FFC" w:rsidRPr="00A96FFC" w:rsidSect="001F0772">
          <w:pgSz w:w="12240" w:h="15840" w:code="1"/>
          <w:pgMar w:top="720" w:right="1080" w:bottom="720" w:left="1440" w:header="720" w:footer="389" w:gutter="0"/>
          <w:pgNumType w:start="1"/>
          <w:cols w:space="720"/>
          <w:docGrid w:linePitch="360"/>
        </w:sectPr>
      </w:pPr>
    </w:p>
    <w:p w14:paraId="67254D80" w14:textId="77777777" w:rsidR="00CE5B8A" w:rsidRPr="00786E60" w:rsidRDefault="007D5A75" w:rsidP="007D5A75">
      <w:pPr>
        <w:pStyle w:val="Heading1"/>
      </w:pPr>
      <w:bookmarkStart w:id="0" w:name="_Toc46833412"/>
      <w:r w:rsidRPr="00786E60">
        <w:lastRenderedPageBreak/>
        <w:t>INTRODUCTION</w:t>
      </w:r>
      <w:bookmarkEnd w:id="0"/>
    </w:p>
    <w:p w14:paraId="1D1B1546" w14:textId="77777777" w:rsidR="00D435EC" w:rsidRPr="00786E60" w:rsidRDefault="00D435EC"/>
    <w:p w14:paraId="330BD5E1" w14:textId="4DBA7C09" w:rsidR="00BF736A" w:rsidRPr="00786E60" w:rsidRDefault="00BF736A" w:rsidP="00BF736A">
      <w:r w:rsidRPr="00786E60">
        <w:t>The purpose of this chapter is to ensure that air emissions originating from Fermilab operations</w:t>
      </w:r>
      <w:r w:rsidR="00C173D7" w:rsidRPr="00786E60">
        <w:t xml:space="preserve"> in Batavia, Illinois </w:t>
      </w:r>
      <w:r w:rsidRPr="00786E60">
        <w:t xml:space="preserve">comply with </w:t>
      </w:r>
      <w:r w:rsidR="00813A3D" w:rsidRPr="00786E60">
        <w:t>U.S. Environmental Protection Agency (</w:t>
      </w:r>
      <w:r w:rsidRPr="00786E60">
        <w:t>EPA</w:t>
      </w:r>
      <w:r w:rsidR="00813A3D" w:rsidRPr="00786E60">
        <w:t>)</w:t>
      </w:r>
      <w:r w:rsidRPr="00786E60">
        <w:t xml:space="preserve">, </w:t>
      </w:r>
      <w:r w:rsidR="00813A3D" w:rsidRPr="00786E60">
        <w:t>Illinois Environmental Protection Agency (</w:t>
      </w:r>
      <w:r w:rsidRPr="00786E60">
        <w:t>IEPA</w:t>
      </w:r>
      <w:r w:rsidR="00813A3D" w:rsidRPr="00786E60">
        <w:t>)</w:t>
      </w:r>
      <w:r w:rsidRPr="00786E60">
        <w:t xml:space="preserve"> and Kane and DuPage counties air pollution regulations, </w:t>
      </w:r>
      <w:r w:rsidR="00761B2E" w:rsidRPr="00786E60">
        <w:t xml:space="preserve">including </w:t>
      </w:r>
      <w:r w:rsidRPr="00786E60">
        <w:t>all conditions listed in</w:t>
      </w:r>
      <w:r w:rsidR="002F4BBE" w:rsidRPr="00786E60">
        <w:t xml:space="preserve"> this chapter</w:t>
      </w:r>
      <w:r w:rsidRPr="00786E60">
        <w:t xml:space="preserve">.  The Laboratory shall also comply with all restrictions and requirements on the use of materials (such as ozone depleting substances) regulated by the Clean Air Act </w:t>
      </w:r>
      <w:r w:rsidR="009D7835" w:rsidRPr="00786E60">
        <w:t xml:space="preserve">(CAA) </w:t>
      </w:r>
      <w:r w:rsidRPr="00786E60">
        <w:t>and with rules governing the acquisition of fleet vehicles in the Chicago ozone nonattainment area.</w:t>
      </w:r>
      <w:r w:rsidR="00C173D7" w:rsidRPr="00786E60">
        <w:t xml:space="preserve">  </w:t>
      </w:r>
    </w:p>
    <w:p w14:paraId="06355657" w14:textId="24F57575" w:rsidR="00C173D7" w:rsidRPr="00786E60" w:rsidRDefault="00C173D7" w:rsidP="00BF736A"/>
    <w:p w14:paraId="77A7D2EE" w14:textId="35275832" w:rsidR="00C173D7" w:rsidRPr="00786E60" w:rsidRDefault="00C173D7" w:rsidP="00BF736A">
      <w:r w:rsidRPr="00786E60">
        <w:t xml:space="preserve">Additionally, all Fermilab leased spaces shall comply with the U.S. EPA, pertinent state and </w:t>
      </w:r>
      <w:r w:rsidR="00822C50" w:rsidRPr="00786E60">
        <w:t>local</w:t>
      </w:r>
      <w:r w:rsidRPr="00786E60">
        <w:t xml:space="preserve"> air pollution regulations and conditions listed in </w:t>
      </w:r>
      <w:r w:rsidR="00AD4F91" w:rsidRPr="00786E60">
        <w:t xml:space="preserve">the </w:t>
      </w:r>
      <w:r w:rsidR="00822C50" w:rsidRPr="00786E60">
        <w:t>policies, procedures, and</w:t>
      </w:r>
      <w:r w:rsidR="00847E94" w:rsidRPr="00786E60">
        <w:t>/or</w:t>
      </w:r>
      <w:r w:rsidR="00822C50" w:rsidRPr="00786E60">
        <w:t xml:space="preserve"> program</w:t>
      </w:r>
      <w:r w:rsidR="00847E94" w:rsidRPr="00786E60">
        <w:t>s</w:t>
      </w:r>
      <w:r w:rsidR="00822C50" w:rsidRPr="00786E60">
        <w:t xml:space="preserve"> for that </w:t>
      </w:r>
      <w:r w:rsidR="00AD4F91" w:rsidRPr="00786E60">
        <w:t>leased space</w:t>
      </w:r>
      <w:r w:rsidRPr="00786E60">
        <w:t xml:space="preserve">.  </w:t>
      </w:r>
      <w:r w:rsidR="00822C50" w:rsidRPr="00786E60">
        <w:t>Furthermore</w:t>
      </w:r>
      <w:r w:rsidRPr="00786E60">
        <w:t>, all Fermilab leased spaces shall also comply with all restrictions and requirements on the use of materials (such as ozone depleting substances) regulated by the CAA.</w:t>
      </w:r>
    </w:p>
    <w:p w14:paraId="6818DC19" w14:textId="77777777" w:rsidR="00BF736A" w:rsidRPr="00786E60" w:rsidRDefault="00BF736A" w:rsidP="00BF736A"/>
    <w:p w14:paraId="1CC0903D" w14:textId="77192495" w:rsidR="00BF736A" w:rsidRPr="00786E60" w:rsidRDefault="00BF736A" w:rsidP="00BF736A">
      <w:r w:rsidRPr="00786E60">
        <w:t xml:space="preserve">Air emissions are regulated under the federal CAA and its amendments.  </w:t>
      </w:r>
      <w:r w:rsidR="00761B2E" w:rsidRPr="00786E60">
        <w:t>It is implemented in Illinois by the</w:t>
      </w:r>
      <w:r w:rsidR="009D7835" w:rsidRPr="00786E60">
        <w:t xml:space="preserve"> Illinois Pollution Control Board</w:t>
      </w:r>
      <w:r w:rsidR="00761B2E" w:rsidRPr="00786E60">
        <w:t xml:space="preserve"> and IEPA.</w:t>
      </w:r>
      <w:r w:rsidR="00C173D7" w:rsidRPr="00786E60">
        <w:t xml:space="preserve"> </w:t>
      </w:r>
      <w:r w:rsidRPr="00786E60">
        <w:t xml:space="preserve"> Illinois air pollution regulations are found in Subtitle B of Title 35 of the Illinois Administrative Code (IAC) and are summarized by </w:t>
      </w:r>
      <w:r w:rsidR="00761B2E" w:rsidRPr="00786E60">
        <w:t>topics applicable to Fermilab</w:t>
      </w:r>
      <w:r w:rsidRPr="00786E60">
        <w:t xml:space="preserve"> in Appendix A.  These regulations describe general requirements for air emission units, such as permit requirements, prohibitions on or permits required for open burning, emission monitoring, organic solvent use, and vehicle acquisition requirements in the </w:t>
      </w:r>
      <w:smartTag w:uri="urn:schemas-microsoft-com:office:smarttags" w:element="place">
        <w:smartTag w:uri="urn:schemas-microsoft-com:office:smarttags" w:element="City">
          <w:r w:rsidRPr="00786E60">
            <w:t>Chicago</w:t>
          </w:r>
        </w:smartTag>
      </w:smartTag>
      <w:r w:rsidRPr="00786E60">
        <w:t xml:space="preserve"> ozone nonattainment area.  It is Fermilab’s intent to fully comply with these regulations and to minimize, to the extent possible, pollution-causing air emissions.</w:t>
      </w:r>
    </w:p>
    <w:p w14:paraId="226A2FE1" w14:textId="77777777" w:rsidR="00BF736A" w:rsidRPr="00786E60" w:rsidRDefault="00BF736A" w:rsidP="00BF736A">
      <w:r w:rsidRPr="00786E60">
        <w:t xml:space="preserve"> </w:t>
      </w:r>
    </w:p>
    <w:p w14:paraId="03900E8A" w14:textId="52574A4C" w:rsidR="00761F83" w:rsidRDefault="002F4BBE" w:rsidP="00E00D72">
      <w:r w:rsidRPr="00786E60">
        <w:t xml:space="preserve">Fermilab is registered in the Illinois Environmental Protection Agency’s Registration of Smaller Sources (ROSS).  The ROSS program requires sites that meet the </w:t>
      </w:r>
      <w:r w:rsidR="00371E3E" w:rsidRPr="00786E60">
        <w:t xml:space="preserve">applicable </w:t>
      </w:r>
      <w:r w:rsidRPr="00786E60">
        <w:t xml:space="preserve">criteria </w:t>
      </w:r>
      <w:r w:rsidR="00A20B08" w:rsidRPr="00786E60">
        <w:t xml:space="preserve">to </w:t>
      </w:r>
      <w:r w:rsidRPr="00786E60">
        <w:t>register in the program.</w:t>
      </w:r>
      <w:r w:rsidR="000836AA">
        <w:t xml:space="preserve"> </w:t>
      </w:r>
      <w:r w:rsidR="004D2A62" w:rsidRPr="00786E60">
        <w:t>Fermilab maintains renewal of the ROSS registration through an annual fee to the IEPA.  Payment of the fee serves as verification of F</w:t>
      </w:r>
      <w:r w:rsidR="003E64F0" w:rsidRPr="00786E60">
        <w:t xml:space="preserve">ermilab’s continued eligibility and compliance.  </w:t>
      </w:r>
    </w:p>
    <w:p w14:paraId="79CA1EB2" w14:textId="5A0891BE" w:rsidR="000836AA" w:rsidRDefault="000836AA" w:rsidP="00E00D72"/>
    <w:p w14:paraId="15CC0243" w14:textId="61D38FE3" w:rsidR="000836AA" w:rsidRPr="00786E60" w:rsidRDefault="000836AA" w:rsidP="00281853">
      <w:pPr>
        <w:tabs>
          <w:tab w:val="left" w:pos="8808"/>
        </w:tabs>
      </w:pPr>
      <w:r>
        <w:t>Within the Department of Energy’s operating framework</w:t>
      </w:r>
      <w:r w:rsidR="005776DB">
        <w:t>,</w:t>
      </w:r>
      <w:r>
        <w:t xml:space="preserve"> radioactive emissions are governed</w:t>
      </w:r>
      <w:r w:rsidR="00CC292C">
        <w:t xml:space="preserve"> by </w:t>
      </w:r>
      <w:r w:rsidRPr="000836AA">
        <w:t xml:space="preserve">DOE Order 458.1: </w:t>
      </w:r>
      <w:r w:rsidRPr="000836AA">
        <w:rPr>
          <w:i/>
          <w:iCs/>
        </w:rPr>
        <w:t>R</w:t>
      </w:r>
      <w:r w:rsidR="005776DB">
        <w:rPr>
          <w:i/>
          <w:iCs/>
        </w:rPr>
        <w:t>adiation</w:t>
      </w:r>
      <w:r w:rsidRPr="000836AA">
        <w:rPr>
          <w:i/>
          <w:iCs/>
        </w:rPr>
        <w:t xml:space="preserve"> P</w:t>
      </w:r>
      <w:r w:rsidR="005776DB">
        <w:rPr>
          <w:i/>
          <w:iCs/>
        </w:rPr>
        <w:t>rotection of</w:t>
      </w:r>
      <w:r w:rsidRPr="000836AA">
        <w:rPr>
          <w:i/>
          <w:iCs/>
        </w:rPr>
        <w:t xml:space="preserve"> </w:t>
      </w:r>
      <w:r w:rsidR="005776DB">
        <w:rPr>
          <w:i/>
          <w:iCs/>
        </w:rPr>
        <w:t>the</w:t>
      </w:r>
      <w:r w:rsidRPr="000836AA">
        <w:rPr>
          <w:i/>
          <w:iCs/>
        </w:rPr>
        <w:t xml:space="preserve"> </w:t>
      </w:r>
      <w:r w:rsidR="005776DB">
        <w:rPr>
          <w:i/>
          <w:iCs/>
        </w:rPr>
        <w:t>Public</w:t>
      </w:r>
      <w:r w:rsidRPr="000836AA">
        <w:rPr>
          <w:i/>
          <w:iCs/>
        </w:rPr>
        <w:t xml:space="preserve"> </w:t>
      </w:r>
      <w:r w:rsidR="005776DB">
        <w:rPr>
          <w:i/>
          <w:iCs/>
        </w:rPr>
        <w:t>and</w:t>
      </w:r>
      <w:r w:rsidRPr="000836AA">
        <w:rPr>
          <w:i/>
          <w:iCs/>
        </w:rPr>
        <w:t xml:space="preserve"> </w:t>
      </w:r>
      <w:r w:rsidR="005776DB">
        <w:rPr>
          <w:i/>
          <w:iCs/>
        </w:rPr>
        <w:t xml:space="preserve">the </w:t>
      </w:r>
      <w:r w:rsidRPr="000836AA">
        <w:rPr>
          <w:i/>
          <w:iCs/>
        </w:rPr>
        <w:t>E</w:t>
      </w:r>
      <w:r w:rsidR="005776DB">
        <w:rPr>
          <w:i/>
          <w:iCs/>
        </w:rPr>
        <w:t>nvironment</w:t>
      </w:r>
      <w:r w:rsidR="00CC292C">
        <w:t xml:space="preserve">. This order </w:t>
      </w:r>
      <w:r w:rsidRPr="000836AA">
        <w:t>requires sites to have a compliant Environmental Radiation Protection Program (ERPP).  Fermilab’s ERPP constitutes Fermilab's implementation plan for the requirements of DOE O 458.1.  Fermilab maintains and implements several plans and programs (this chapter included) for ensuring that the management of facilities, wastes, effluents, and emissions does not present risk to the public, workers, or the environment.</w:t>
      </w:r>
      <w:r>
        <w:tab/>
      </w:r>
    </w:p>
    <w:p w14:paraId="7F7430EB" w14:textId="77777777" w:rsidR="00761F83" w:rsidRPr="00786E60" w:rsidRDefault="00761F83" w:rsidP="00E00D72"/>
    <w:p w14:paraId="5C2CB930" w14:textId="77777777" w:rsidR="007D5A75" w:rsidRPr="00786E60" w:rsidRDefault="007D5A75" w:rsidP="007D5A75">
      <w:pPr>
        <w:pStyle w:val="Heading1"/>
        <w:rPr>
          <w:kern w:val="0"/>
        </w:rPr>
      </w:pPr>
      <w:bookmarkStart w:id="1" w:name="_Toc46833413"/>
      <w:r w:rsidRPr="00786E60">
        <w:rPr>
          <w:kern w:val="0"/>
        </w:rPr>
        <w:t>DEFINITIONS</w:t>
      </w:r>
      <w:bookmarkEnd w:id="1"/>
    </w:p>
    <w:p w14:paraId="3AC9467F" w14:textId="77777777" w:rsidR="007D5A75" w:rsidRPr="00786E60" w:rsidRDefault="007D5A75" w:rsidP="00E00D72"/>
    <w:p w14:paraId="56A24ABB" w14:textId="77777777" w:rsidR="00BF736A" w:rsidRPr="00786E60" w:rsidRDefault="00BF736A" w:rsidP="00BF736A">
      <w:r w:rsidRPr="00786E60">
        <w:rPr>
          <w:u w:val="single"/>
        </w:rPr>
        <w:t>Ambient Air</w:t>
      </w:r>
      <w:r w:rsidRPr="00786E60">
        <w:t xml:space="preserve"> – that portion of the atmosphere that is external to buildings.</w:t>
      </w:r>
    </w:p>
    <w:p w14:paraId="2B19C48C" w14:textId="77777777" w:rsidR="00BF736A" w:rsidRPr="00786E60" w:rsidRDefault="00BF736A" w:rsidP="00BF736A"/>
    <w:p w14:paraId="1695F5D2" w14:textId="77777777" w:rsidR="00BF736A" w:rsidRPr="00786E60" w:rsidRDefault="00BF736A" w:rsidP="00BF736A">
      <w:r w:rsidRPr="00786E60">
        <w:rPr>
          <w:u w:val="single"/>
        </w:rPr>
        <w:t>Air Toxics</w:t>
      </w:r>
      <w:r w:rsidRPr="00786E60">
        <w:t xml:space="preserve"> – See Hazardous Air Pollutants below.</w:t>
      </w:r>
    </w:p>
    <w:p w14:paraId="12042D4B" w14:textId="77777777" w:rsidR="00BF736A" w:rsidRPr="00786E60" w:rsidRDefault="00BF736A" w:rsidP="00BF736A"/>
    <w:p w14:paraId="454A4BF8" w14:textId="65C7F4E3" w:rsidR="00BF736A" w:rsidRPr="00786E60" w:rsidRDefault="00BF736A" w:rsidP="00BF736A">
      <w:r w:rsidRPr="00786E60">
        <w:rPr>
          <w:u w:val="single"/>
        </w:rPr>
        <w:lastRenderedPageBreak/>
        <w:t>Chicago Ozone Nonattainment Area</w:t>
      </w:r>
      <w:r w:rsidRPr="00786E60">
        <w:t xml:space="preserve"> – an area designated by EPA as being out of compliance with the National Ambient Air Quality Standard (NAAQS) for ozone.  It includes the counties </w:t>
      </w:r>
      <w:r w:rsidR="00761B2E" w:rsidRPr="00786E60">
        <w:t>DuPage</w:t>
      </w:r>
      <w:r w:rsidR="003E64F0" w:rsidRPr="00786E60">
        <w:t xml:space="preserve"> and </w:t>
      </w:r>
      <w:r w:rsidR="00761B2E" w:rsidRPr="00786E60">
        <w:t>Kane.</w:t>
      </w:r>
    </w:p>
    <w:p w14:paraId="4E514C00" w14:textId="77777777" w:rsidR="00BF736A" w:rsidRPr="00786E60" w:rsidRDefault="00BF736A" w:rsidP="00BF736A">
      <w:pPr>
        <w:pStyle w:val="Footer"/>
      </w:pPr>
    </w:p>
    <w:p w14:paraId="1FDD6CDA" w14:textId="77777777" w:rsidR="00BF736A" w:rsidRPr="00786E60" w:rsidRDefault="00BF736A" w:rsidP="00BF736A">
      <w:r w:rsidRPr="00786E60">
        <w:rPr>
          <w:u w:val="single"/>
        </w:rPr>
        <w:t>Clean Air Act Section 112(r) list</w:t>
      </w:r>
      <w:r w:rsidRPr="00786E60">
        <w:t xml:space="preserve"> – a list of 77 toxic and 63 flammable substances developed by EPA and mandated by Congress which if used in a process triggers the requirement of having a risk management plan (RMP) in place.  These requirements are codified in 40 CFR Part 68; substances are listed at 40 CFR Part 68, Subpart H, Section 68.130.</w:t>
      </w:r>
    </w:p>
    <w:p w14:paraId="0CA59A4D" w14:textId="77777777" w:rsidR="00BF736A" w:rsidRPr="00786E60" w:rsidRDefault="00BF736A" w:rsidP="00BF736A"/>
    <w:p w14:paraId="481D2ACD" w14:textId="0D32A9B9" w:rsidR="00BF736A" w:rsidRPr="00786E60" w:rsidRDefault="00BF736A" w:rsidP="00BF736A">
      <w:r w:rsidRPr="00786E60">
        <w:rPr>
          <w:u w:val="single"/>
        </w:rPr>
        <w:t>Clean Fuel Fleet Vehicle</w:t>
      </w:r>
      <w:r w:rsidRPr="00786E60">
        <w:t xml:space="preserve"> – a light duty or </w:t>
      </w:r>
      <w:r w:rsidR="00A25B7C" w:rsidRPr="00786E60">
        <w:t>heavy-duty</w:t>
      </w:r>
      <w:r w:rsidRPr="00786E60">
        <w:t xml:space="preserve"> vehicle that has been certified by EPA meeting the requirements needed for compliance with the state of Illinois Clean Fuel Fleet Program.</w:t>
      </w:r>
    </w:p>
    <w:p w14:paraId="21FFE878" w14:textId="77777777" w:rsidR="00BF736A" w:rsidRPr="00786E60" w:rsidRDefault="00BF736A" w:rsidP="00BF736A"/>
    <w:p w14:paraId="71860FF1" w14:textId="0A809FE7" w:rsidR="00BF736A" w:rsidRPr="00786E60" w:rsidRDefault="00BF736A" w:rsidP="00BF736A">
      <w:r w:rsidRPr="00786E60">
        <w:rPr>
          <w:u w:val="single"/>
        </w:rPr>
        <w:t>Cold Cleaning</w:t>
      </w:r>
      <w:r w:rsidRPr="00786E60">
        <w:t xml:space="preserve"> – the process of cleaning and removing soils from surfaces by spraying, brushing, flushing, or immersion while maintaini</w:t>
      </w:r>
      <w:r w:rsidR="00813A3D" w:rsidRPr="00786E60">
        <w:t>ng the organic solvent below it</w:t>
      </w:r>
      <w:r w:rsidRPr="00786E60">
        <w:t>s boiling point.  Wipe cleaning is not included in this definition.</w:t>
      </w:r>
    </w:p>
    <w:p w14:paraId="3F1E9446" w14:textId="77777777" w:rsidR="00BF736A" w:rsidRPr="00786E60" w:rsidRDefault="00BF736A" w:rsidP="00BF736A"/>
    <w:p w14:paraId="132B27DC" w14:textId="77777777" w:rsidR="00BF736A" w:rsidRPr="00786E60" w:rsidRDefault="00BF736A" w:rsidP="00BF736A">
      <w:r w:rsidRPr="00786E60">
        <w:rPr>
          <w:u w:val="single"/>
        </w:rPr>
        <w:t xml:space="preserve">Criteria </w:t>
      </w:r>
      <w:r w:rsidR="00761B2E" w:rsidRPr="00786E60">
        <w:rPr>
          <w:u w:val="single"/>
        </w:rPr>
        <w:t xml:space="preserve">Air </w:t>
      </w:r>
      <w:r w:rsidRPr="00786E60">
        <w:rPr>
          <w:u w:val="single"/>
        </w:rPr>
        <w:t>Pollutants</w:t>
      </w:r>
      <w:r w:rsidRPr="00786E60">
        <w:t xml:space="preserve"> – pollutants for which EPA has promulgated National Ambient Air Quality Standards.  These are sulfur dioxide, carbon monoxide, nitrogen dioxide, lead, ozone, and particulate matter.</w:t>
      </w:r>
    </w:p>
    <w:p w14:paraId="79A4E202" w14:textId="77777777" w:rsidR="00BF736A" w:rsidRPr="00786E60" w:rsidRDefault="00BF736A" w:rsidP="00BF736A"/>
    <w:p w14:paraId="457F64AE" w14:textId="77777777" w:rsidR="00BF736A" w:rsidRPr="00786E60" w:rsidRDefault="00BF736A" w:rsidP="00BF736A">
      <w:r w:rsidRPr="00786E60">
        <w:rPr>
          <w:u w:val="single"/>
        </w:rPr>
        <w:t>Degreaser</w:t>
      </w:r>
      <w:r w:rsidRPr="00786E60">
        <w:t xml:space="preserve"> – any equipment or system that uses solvent to clean solid objects.</w:t>
      </w:r>
    </w:p>
    <w:p w14:paraId="43464E16" w14:textId="77777777" w:rsidR="00BF736A" w:rsidRPr="00786E60" w:rsidRDefault="00BF736A" w:rsidP="00BF736A"/>
    <w:p w14:paraId="7B2E8AE3" w14:textId="77777777" w:rsidR="00BF736A" w:rsidRPr="00786E60" w:rsidRDefault="00BF736A" w:rsidP="00BF736A">
      <w:r w:rsidRPr="00786E60">
        <w:rPr>
          <w:u w:val="single"/>
        </w:rPr>
        <w:t>Emission Unit</w:t>
      </w:r>
      <w:r w:rsidRPr="00786E60">
        <w:t xml:space="preserve"> – any part or activity at a stationary source that emits or has the potential to emit any air pollutant.</w:t>
      </w:r>
    </w:p>
    <w:p w14:paraId="4393320E" w14:textId="77777777" w:rsidR="00BF736A" w:rsidRPr="00786E60" w:rsidRDefault="00BF736A" w:rsidP="00BF736A"/>
    <w:p w14:paraId="00F42C37" w14:textId="0891AE5D" w:rsidR="00BF736A" w:rsidRPr="00786E60" w:rsidRDefault="00BF736A" w:rsidP="00BF736A">
      <w:r w:rsidRPr="00786E60">
        <w:rPr>
          <w:u w:val="single"/>
        </w:rPr>
        <w:t>Emission Source</w:t>
      </w:r>
      <w:r w:rsidRPr="00786E60">
        <w:t xml:space="preserve"> – any equipment or facility of a type capable of emitting specified air contaminants to the atmosphere.</w:t>
      </w:r>
    </w:p>
    <w:p w14:paraId="57DACFBE" w14:textId="0060A171" w:rsidR="00E351AC" w:rsidRPr="00786E60" w:rsidRDefault="00E351AC" w:rsidP="00BF736A"/>
    <w:p w14:paraId="161E115E" w14:textId="5239A0A4" w:rsidR="00E351AC" w:rsidRPr="00786E60" w:rsidRDefault="00E351AC" w:rsidP="00BF736A">
      <w:r w:rsidRPr="00786E60">
        <w:rPr>
          <w:u w:val="single"/>
        </w:rPr>
        <w:t>Greenhouse Gas</w:t>
      </w:r>
      <w:r w:rsidRPr="00786E60">
        <w:t xml:space="preserve"> - </w:t>
      </w:r>
      <w:r w:rsidRPr="00786E60">
        <w:rPr>
          <w:color w:val="111111"/>
        </w:rPr>
        <w:t>a gas that contributes to the greenhouse effect by absorbing infrared radiation, e.g., carbon dioxide</w:t>
      </w:r>
      <w:r w:rsidR="00EF2C6F" w:rsidRPr="00786E60">
        <w:rPr>
          <w:color w:val="111111"/>
        </w:rPr>
        <w:t>,</w:t>
      </w:r>
      <w:r w:rsidRPr="00786E60">
        <w:rPr>
          <w:color w:val="111111"/>
        </w:rPr>
        <w:t xml:space="preserve"> chlorofluorocarbons</w:t>
      </w:r>
      <w:r w:rsidR="00EF2C6F" w:rsidRPr="00786E60">
        <w:rPr>
          <w:color w:val="111111"/>
        </w:rPr>
        <w:t>, SF6, etc.</w:t>
      </w:r>
    </w:p>
    <w:p w14:paraId="3250E763" w14:textId="77777777" w:rsidR="00BF736A" w:rsidRPr="00786E60" w:rsidRDefault="00BF736A" w:rsidP="00BF736A"/>
    <w:p w14:paraId="64C99DA7" w14:textId="7F9019D5" w:rsidR="00BF736A" w:rsidRPr="00786E60" w:rsidRDefault="00BF736A" w:rsidP="00BF736A">
      <w:r w:rsidRPr="00786E60">
        <w:rPr>
          <w:u w:val="single"/>
        </w:rPr>
        <w:t>Hazardous Air Pollutants (HAPs)</w:t>
      </w:r>
      <w:r w:rsidRPr="00786E60">
        <w:t xml:space="preserve"> – EPA refers to chemicals that cause serious health and environmental hazards as hazardous air pollutants or air toxics.  There are 188 of these chemicals and chemical classes listed in Section 112(b) of the </w:t>
      </w:r>
      <w:r w:rsidR="00D35000" w:rsidRPr="00786E60">
        <w:t>CAA,</w:t>
      </w:r>
      <w:r w:rsidRPr="00786E60">
        <w:t xml:space="preserve"> for which emission standards have been established.</w:t>
      </w:r>
    </w:p>
    <w:p w14:paraId="25B1E919" w14:textId="77777777" w:rsidR="00BF736A" w:rsidRPr="00786E60" w:rsidRDefault="00BF736A" w:rsidP="00BF736A"/>
    <w:p w14:paraId="35482293" w14:textId="0248F6F0" w:rsidR="00BF736A" w:rsidRPr="00786E60" w:rsidRDefault="00BF736A" w:rsidP="00BF736A">
      <w:r w:rsidRPr="00786E60">
        <w:rPr>
          <w:u w:val="single"/>
        </w:rPr>
        <w:t>Major Source</w:t>
      </w:r>
      <w:r w:rsidRPr="00786E60">
        <w:t xml:space="preserve"> – any stationary source that has the potential to emit 100 tons per year</w:t>
      </w:r>
      <w:r w:rsidR="002E29FF" w:rsidRPr="00786E60">
        <w:t xml:space="preserve"> (</w:t>
      </w:r>
      <w:proofErr w:type="spellStart"/>
      <w:r w:rsidR="002E29FF" w:rsidRPr="00786E60">
        <w:t>yr</w:t>
      </w:r>
      <w:proofErr w:type="spellEnd"/>
      <w:r w:rsidR="002E29FF" w:rsidRPr="00786E60">
        <w:t>)</w:t>
      </w:r>
      <w:r w:rsidRPr="00786E60">
        <w:t xml:space="preserve"> or more of any criteria air pollutant, 10 tons per year or more of any one of the 188 HAPs, or 25 tons of any combination of HAPs. </w:t>
      </w:r>
    </w:p>
    <w:p w14:paraId="2B63279D" w14:textId="77777777" w:rsidR="00BF736A" w:rsidRPr="00786E60" w:rsidRDefault="00BF736A" w:rsidP="00BF736A"/>
    <w:p w14:paraId="15F36D15" w14:textId="5DE02CB7" w:rsidR="00BF736A" w:rsidRPr="00786E60" w:rsidRDefault="00BF736A" w:rsidP="00BF736A">
      <w:r w:rsidRPr="00786E60">
        <w:rPr>
          <w:u w:val="single"/>
        </w:rPr>
        <w:t>Mobile Source</w:t>
      </w:r>
      <w:r w:rsidRPr="00786E60">
        <w:t xml:space="preserve"> – road vehicles (e.g. automobiles, trucks, and motorcycles) and nonroad vehicles (e.g. trains, airplanes, agricultural equipment, industrial equipment, construction vehicles, off-road motorcycles, and marine vessels).</w:t>
      </w:r>
      <w:r w:rsidR="003714BC" w:rsidRPr="00786E60">
        <w:t xml:space="preserve">  This does not include </w:t>
      </w:r>
      <w:r w:rsidR="000849F0" w:rsidRPr="00786E60">
        <w:t>stationary sources (see Stationary Source).</w:t>
      </w:r>
    </w:p>
    <w:p w14:paraId="36AC7733" w14:textId="77777777" w:rsidR="00BF736A" w:rsidRPr="00786E60" w:rsidRDefault="00BF736A" w:rsidP="00BF736A"/>
    <w:p w14:paraId="1165BEB0" w14:textId="77777777" w:rsidR="00BF736A" w:rsidRPr="00786E60" w:rsidRDefault="00BF736A" w:rsidP="00BF736A">
      <w:r w:rsidRPr="00786E60">
        <w:rPr>
          <w:u w:val="single"/>
        </w:rPr>
        <w:lastRenderedPageBreak/>
        <w:t>Monitor</w:t>
      </w:r>
      <w:r w:rsidRPr="00786E60">
        <w:t xml:space="preserve"> – to measure and record.</w:t>
      </w:r>
    </w:p>
    <w:p w14:paraId="075133A4" w14:textId="77777777" w:rsidR="00BF736A" w:rsidRPr="00786E60" w:rsidRDefault="00BF736A" w:rsidP="00BF736A">
      <w:pPr>
        <w:pStyle w:val="Footer"/>
      </w:pPr>
    </w:p>
    <w:p w14:paraId="5136DBEA" w14:textId="77777777" w:rsidR="00BF736A" w:rsidRPr="00786E60" w:rsidRDefault="00BF736A" w:rsidP="00BF736A">
      <w:r w:rsidRPr="00786E60">
        <w:rPr>
          <w:u w:val="single"/>
        </w:rPr>
        <w:t>Ozone Depleting Substances</w:t>
      </w:r>
      <w:r w:rsidRPr="00786E60">
        <w:t xml:space="preserve"> – any of several classes of organic compounds including chlorofluorocarbons (CFCs), hydrochlorofluorocarbons (HCFCs), halons, and related chlorinated compounds that have been designated by EPA as contributing to the destruction of stratospheric ozone.</w:t>
      </w:r>
    </w:p>
    <w:p w14:paraId="409F88D5" w14:textId="77777777" w:rsidR="00BF736A" w:rsidRPr="00786E60" w:rsidRDefault="00BF736A" w:rsidP="00BF736A">
      <w:pPr>
        <w:pStyle w:val="Footer"/>
      </w:pPr>
    </w:p>
    <w:p w14:paraId="435131A4" w14:textId="77777777" w:rsidR="00BF736A" w:rsidRPr="00786E60" w:rsidRDefault="00BF736A" w:rsidP="00BF736A">
      <w:r w:rsidRPr="00786E60">
        <w:rPr>
          <w:u w:val="single"/>
        </w:rPr>
        <w:t>Specified Air Contaminant</w:t>
      </w:r>
      <w:r w:rsidRPr="00786E60">
        <w:t xml:space="preserve"> - any air contaminant which has an emission standard or other specific limitations listed in 35 IAC Subtitle B and any contaminant (for example, carbon monoxide, particulate matter, nitrogen oxides, sulfur dioxides, lead, volatile organic materials, total particulates, organic material, dioxins, furans, fluorides, hydrogen chloride, hydrogen sulfide, sulfuric acid mist, or sulfur compounds) regulated in Illinois pursuant to Section 9.1 of the Act.  In addition, it includes most of the 188 HAPs regulated under and listed in Section 112(b) of the Clean Air Act Amendments of 1990.</w:t>
      </w:r>
    </w:p>
    <w:p w14:paraId="1CEA2763" w14:textId="77777777" w:rsidR="00BF736A" w:rsidRPr="00786E60" w:rsidRDefault="00BF736A" w:rsidP="00BF736A"/>
    <w:p w14:paraId="5DF5CD64" w14:textId="363653A0" w:rsidR="00BF736A" w:rsidRPr="00786E60" w:rsidRDefault="00BF736A" w:rsidP="00BF736A">
      <w:r w:rsidRPr="00786E60">
        <w:rPr>
          <w:u w:val="single"/>
        </w:rPr>
        <w:t xml:space="preserve">Stationary Source </w:t>
      </w:r>
      <w:r w:rsidRPr="00786E60">
        <w:t>– any building, structure, facility, or installation that emits or may emit any air pollutant.</w:t>
      </w:r>
      <w:r w:rsidR="003714BC" w:rsidRPr="00786E60">
        <w:t xml:space="preserve">  This </w:t>
      </w:r>
      <w:r w:rsidR="000849F0" w:rsidRPr="00786E60">
        <w:t>does not include mobile sources (See Mobile Source).</w:t>
      </w:r>
    </w:p>
    <w:p w14:paraId="5D32EB01" w14:textId="056E62F4" w:rsidR="00E351AC" w:rsidRPr="00786E60" w:rsidRDefault="00E351AC" w:rsidP="00BF736A"/>
    <w:p w14:paraId="76D6D918" w14:textId="40CCDD89" w:rsidR="00E351AC" w:rsidRPr="00786E60" w:rsidRDefault="00E351AC" w:rsidP="00BF736A">
      <w:r w:rsidRPr="00786E60">
        <w:rPr>
          <w:u w:val="single"/>
        </w:rPr>
        <w:t xml:space="preserve">Sulfur </w:t>
      </w:r>
      <w:proofErr w:type="spellStart"/>
      <w:r w:rsidRPr="00786E60">
        <w:rPr>
          <w:u w:val="single"/>
        </w:rPr>
        <w:t>Hexafloride</w:t>
      </w:r>
      <w:proofErr w:type="spellEnd"/>
      <w:r w:rsidRPr="00786E60">
        <w:t xml:space="preserve"> – Sulfur hexafluoride (SF6) is an inorganic, colorless, odorless, non-flammable, non-toxic but extremely potent greenhouse gas, and an excellent electrical insulator.</w:t>
      </w:r>
      <w:r w:rsidR="00786E60" w:rsidRPr="00786E60">
        <w:t xml:space="preserve">  Due to the high global warming potential, all alternatives to use should be explored.</w:t>
      </w:r>
    </w:p>
    <w:p w14:paraId="55E8E3E6" w14:textId="77777777" w:rsidR="00761F83" w:rsidRPr="00E351AC" w:rsidRDefault="00761F83" w:rsidP="00E00D72">
      <w:pPr>
        <w:rPr>
          <w:rFonts w:ascii="Palatino Linotype" w:hAnsi="Palatino Linotype"/>
        </w:rPr>
      </w:pPr>
    </w:p>
    <w:p w14:paraId="70595D53" w14:textId="77777777" w:rsidR="00554664" w:rsidRDefault="00554664" w:rsidP="006A7918">
      <w:pPr>
        <w:pStyle w:val="Heading1"/>
        <w:keepNext w:val="0"/>
      </w:pPr>
      <w:bookmarkStart w:id="2" w:name="_Toc46833414"/>
      <w:r>
        <w:t>RESPONSIBL</w:t>
      </w:r>
      <w:r w:rsidR="007D5A75">
        <w:t>ILITIES</w:t>
      </w:r>
      <w:bookmarkEnd w:id="2"/>
    </w:p>
    <w:p w14:paraId="2F5E3BD4" w14:textId="77777777" w:rsidR="00C552C0" w:rsidRPr="008532CC" w:rsidRDefault="007D5A75" w:rsidP="00E00D72">
      <w:pPr>
        <w:rPr>
          <w:bCs/>
          <w:color w:val="000000"/>
          <w:kern w:val="32"/>
        </w:rPr>
      </w:pPr>
      <w:r w:rsidRPr="008532CC">
        <w:rPr>
          <w:color w:val="000000"/>
        </w:rPr>
        <w:t xml:space="preserve"> </w:t>
      </w:r>
    </w:p>
    <w:p w14:paraId="4D2A0576" w14:textId="183E4509" w:rsidR="006E7F4F" w:rsidRDefault="00616192" w:rsidP="000241ED">
      <w:pPr>
        <w:pStyle w:val="Heading2"/>
        <w:keepNext w:val="0"/>
      </w:pPr>
      <w:bookmarkStart w:id="3" w:name="_Toc46833415"/>
      <w:r>
        <w:t>Division/Section</w:t>
      </w:r>
      <w:r w:rsidR="000122F3">
        <w:t xml:space="preserve"> Heads/ </w:t>
      </w:r>
      <w:r>
        <w:t xml:space="preserve">Project </w:t>
      </w:r>
      <w:r w:rsidR="000122F3">
        <w:t xml:space="preserve">Managers </w:t>
      </w:r>
      <w:r>
        <w:t>(</w:t>
      </w:r>
      <w:r w:rsidR="00EA0492">
        <w:t>D/S</w:t>
      </w:r>
      <w:r w:rsidR="00CB7B9E">
        <w:t>/P</w:t>
      </w:r>
      <w:r>
        <w:t>)</w:t>
      </w:r>
      <w:bookmarkEnd w:id="3"/>
      <w:r w:rsidR="008532CC">
        <w:t xml:space="preserve"> </w:t>
      </w:r>
    </w:p>
    <w:p w14:paraId="60206AB7" w14:textId="6D804734" w:rsidR="000241ED" w:rsidRPr="00610F7B" w:rsidRDefault="000122F3" w:rsidP="00610F7B">
      <w:r>
        <w:t>D/S/Ps</w:t>
      </w:r>
      <w:r w:rsidR="000241ED" w:rsidRPr="00610F7B">
        <w:t xml:space="preserve"> shall ensure that:</w:t>
      </w:r>
    </w:p>
    <w:p w14:paraId="55BE822A" w14:textId="65F1C2A7" w:rsidR="000241ED" w:rsidRPr="00610F7B" w:rsidRDefault="000241ED" w:rsidP="00610F7B">
      <w:pPr>
        <w:pStyle w:val="ListParagraph"/>
        <w:numPr>
          <w:ilvl w:val="0"/>
          <w:numId w:val="34"/>
        </w:numPr>
      </w:pPr>
      <w:r w:rsidRPr="00610F7B">
        <w:t xml:space="preserve">Air emission units listed in Appendix D are operated in compliance with </w:t>
      </w:r>
      <w:r w:rsidR="000849F0">
        <w:t>the applicable</w:t>
      </w:r>
      <w:r w:rsidR="000849F0" w:rsidRPr="00610F7B">
        <w:t xml:space="preserve"> </w:t>
      </w:r>
      <w:r w:rsidRPr="00610F7B">
        <w:t>conditions</w:t>
      </w:r>
      <w:r w:rsidR="000849F0">
        <w:t xml:space="preserve"> and that all necessary reports are transmitted to </w:t>
      </w:r>
      <w:r w:rsidR="00EF2C6F">
        <w:t>ES&amp;H</w:t>
      </w:r>
      <w:r w:rsidR="000849F0">
        <w:t xml:space="preserve"> EP Group.</w:t>
      </w:r>
      <w:r w:rsidRPr="00610F7B">
        <w:t xml:space="preserve"> </w:t>
      </w:r>
      <w:r w:rsidR="000849F0">
        <w:t>R</w:t>
      </w:r>
      <w:r w:rsidRPr="00610F7B">
        <w:t xml:space="preserve">eport any noncompliances to the </w:t>
      </w:r>
      <w:r w:rsidR="00EF2C6F">
        <w:t>ES&amp;H</w:t>
      </w:r>
      <w:r w:rsidRPr="00610F7B">
        <w:t xml:space="preserve"> </w:t>
      </w:r>
      <w:r w:rsidR="000849F0">
        <w:t>EP Group</w:t>
      </w:r>
      <w:r w:rsidR="000849F0" w:rsidRPr="00610F7B">
        <w:t xml:space="preserve"> </w:t>
      </w:r>
      <w:r w:rsidRPr="00610F7B">
        <w:t>immediately.</w:t>
      </w:r>
    </w:p>
    <w:p w14:paraId="0894574F" w14:textId="5D47B239" w:rsidR="00B527FA" w:rsidRDefault="000241ED" w:rsidP="00610F7B">
      <w:pPr>
        <w:pStyle w:val="ListParagraph"/>
        <w:numPr>
          <w:ilvl w:val="0"/>
          <w:numId w:val="34"/>
        </w:numPr>
      </w:pPr>
      <w:r w:rsidRPr="00610F7B">
        <w:t>All future operations</w:t>
      </w:r>
      <w:r w:rsidR="003714BC">
        <w:t>, potential sources, or changes to existing operations or sources</w:t>
      </w:r>
      <w:r w:rsidRPr="00610F7B">
        <w:t xml:space="preserve"> are reviewed</w:t>
      </w:r>
      <w:r w:rsidR="000849F0">
        <w:t xml:space="preserve"> by the </w:t>
      </w:r>
      <w:r w:rsidR="00EF2C6F">
        <w:t>ES&amp;H</w:t>
      </w:r>
      <w:r w:rsidR="000849F0">
        <w:t xml:space="preserve"> EP Group</w:t>
      </w:r>
      <w:r w:rsidRPr="00610F7B">
        <w:t xml:space="preserve"> for the </w:t>
      </w:r>
      <w:r w:rsidR="00B527FA">
        <w:t>determination of permit exemptions.</w:t>
      </w:r>
      <w:r w:rsidR="00B527FA" w:rsidRPr="00610F7B" w:rsidDel="00B527FA">
        <w:t xml:space="preserve"> </w:t>
      </w:r>
    </w:p>
    <w:p w14:paraId="4094A7E0" w14:textId="6D1B5567" w:rsidR="000241ED" w:rsidRPr="00610F7B" w:rsidRDefault="000241ED" w:rsidP="00610F7B">
      <w:pPr>
        <w:pStyle w:val="ListParagraph"/>
        <w:numPr>
          <w:ilvl w:val="0"/>
          <w:numId w:val="34"/>
        </w:numPr>
      </w:pPr>
      <w:r w:rsidRPr="00610F7B">
        <w:t xml:space="preserve">Emissions from all applicable airborne radiological emission units are characterized and monitored as required to maintain compliance with the radionuclide </w:t>
      </w:r>
      <w:r w:rsidR="009D7835">
        <w:t>National Emissions Standard for Hazardous Air Pollutants (</w:t>
      </w:r>
      <w:r w:rsidRPr="00610F7B">
        <w:t>NESHAP</w:t>
      </w:r>
      <w:r w:rsidR="009D7835">
        <w:t>)</w:t>
      </w:r>
      <w:r w:rsidRPr="00610F7B">
        <w:t xml:space="preserve"> and DOE orders and to maintain all emissions as low as reasonably achievable.</w:t>
      </w:r>
    </w:p>
    <w:p w14:paraId="21F90A01" w14:textId="77777777" w:rsidR="000241ED" w:rsidRPr="00610F7B" w:rsidRDefault="000241ED" w:rsidP="00610F7B">
      <w:pPr>
        <w:pStyle w:val="ListParagraph"/>
        <w:numPr>
          <w:ilvl w:val="0"/>
          <w:numId w:val="34"/>
        </w:numPr>
      </w:pPr>
      <w:r w:rsidRPr="00610F7B">
        <w:t>Procedures are written and approved for operating the monitoring system, identifying a person who will operate and maintain the system, and providing a quality assurance/quality control program.</w:t>
      </w:r>
    </w:p>
    <w:p w14:paraId="6A0182BB" w14:textId="341596C8" w:rsidR="000241ED" w:rsidRPr="00610F7B" w:rsidRDefault="000241ED" w:rsidP="00610F7B">
      <w:pPr>
        <w:pStyle w:val="ListParagraph"/>
        <w:numPr>
          <w:ilvl w:val="0"/>
          <w:numId w:val="34"/>
        </w:numPr>
      </w:pPr>
      <w:r w:rsidRPr="00610F7B">
        <w:t xml:space="preserve">The storage and usage of any materials meets the compliance requirements </w:t>
      </w:r>
      <w:r w:rsidR="00EB4DC0">
        <w:t>listed in Appendix A.</w:t>
      </w:r>
    </w:p>
    <w:p w14:paraId="57012CE1" w14:textId="3A039E8F" w:rsidR="000241ED" w:rsidRDefault="000241ED" w:rsidP="00610F7B">
      <w:pPr>
        <w:pStyle w:val="ListParagraph"/>
        <w:numPr>
          <w:ilvl w:val="0"/>
          <w:numId w:val="34"/>
        </w:numPr>
      </w:pPr>
      <w:r w:rsidRPr="00610F7B">
        <w:t xml:space="preserve">Acquisition of Class I Ozone Depleting Substances (see </w:t>
      </w:r>
      <w:r w:rsidR="009D7835">
        <w:t>Title 40 Code of Federal Regulations (CFR)</w:t>
      </w:r>
      <w:r w:rsidRPr="00610F7B">
        <w:t xml:space="preserve"> Part 82 for listing) is prohibited unless specifically approved by</w:t>
      </w:r>
      <w:r w:rsidR="008D6703">
        <w:t xml:space="preserve"> the Division Safety Officer or the Chief Safety Officer</w:t>
      </w:r>
      <w:r w:rsidRPr="00610F7B">
        <w:t>.</w:t>
      </w:r>
    </w:p>
    <w:p w14:paraId="37E6B103" w14:textId="2746737D" w:rsidR="00E351AC" w:rsidRPr="00E351AC" w:rsidRDefault="00EF2C6F" w:rsidP="00E351AC">
      <w:pPr>
        <w:pStyle w:val="ListParagraph"/>
        <w:numPr>
          <w:ilvl w:val="0"/>
          <w:numId w:val="34"/>
        </w:numPr>
        <w:rPr>
          <w:sz w:val="22"/>
          <w:szCs w:val="22"/>
        </w:rPr>
      </w:pPr>
      <w:r>
        <w:lastRenderedPageBreak/>
        <w:t xml:space="preserve">Emissions of </w:t>
      </w:r>
      <w:r w:rsidR="00C90138">
        <w:t>G</w:t>
      </w:r>
      <w:r w:rsidR="00E351AC">
        <w:t>reenhouse gas</w:t>
      </w:r>
      <w:r>
        <w:t>es (for example: carbon dioxide, chlorofluorocarbons, SF6, etc.)</w:t>
      </w:r>
      <w:r w:rsidR="00E351AC">
        <w:t xml:space="preserve"> associated with operations</w:t>
      </w:r>
      <w:r w:rsidR="00C90138">
        <w:t xml:space="preserve"> </w:t>
      </w:r>
      <w:r>
        <w:t>are</w:t>
      </w:r>
      <w:r w:rsidR="00C90138">
        <w:t xml:space="preserve"> tracked</w:t>
      </w:r>
      <w:r w:rsidR="00E351AC">
        <w:t xml:space="preserve"> and </w:t>
      </w:r>
      <w:r w:rsidR="00C90138">
        <w:t>reported to ESH</w:t>
      </w:r>
      <w:r>
        <w:t>.</w:t>
      </w:r>
      <w:r w:rsidR="00786E60">
        <w:t xml:space="preserve"> </w:t>
      </w:r>
      <w:r w:rsidR="00786E60" w:rsidRPr="00281853">
        <w:t>(NOTE: Due to the high global warming potential of SF6, all alternatives to use should be explored.)</w:t>
      </w:r>
      <w:r w:rsidRPr="00281853">
        <w:t xml:space="preserve"> </w:t>
      </w:r>
      <w:r w:rsidRPr="0006445A">
        <w:t xml:space="preserve"> </w:t>
      </w:r>
      <w:r>
        <w:t xml:space="preserve">ESH will then </w:t>
      </w:r>
      <w:r w:rsidR="00C90138">
        <w:t>report them</w:t>
      </w:r>
      <w:r w:rsidR="00E351AC">
        <w:t xml:space="preserve"> annually to DOE via a web-based dashboard.  Annual emissions are further described in the Site Sustainability Plan which is available from the Sustainability web site (</w:t>
      </w:r>
      <w:hyperlink r:id="rId11" w:history="1">
        <w:r w:rsidR="00E351AC">
          <w:rPr>
            <w:rStyle w:val="Hyperlink"/>
          </w:rPr>
          <w:t>https://sustainability.fnal.gov/</w:t>
        </w:r>
      </w:hyperlink>
      <w:r w:rsidR="00E351AC">
        <w:t>)</w:t>
      </w:r>
    </w:p>
    <w:p w14:paraId="6323919F" w14:textId="77777777" w:rsidR="000241ED" w:rsidRPr="00610F7B" w:rsidRDefault="000241ED" w:rsidP="00610F7B"/>
    <w:p w14:paraId="66967174" w14:textId="60952DAC" w:rsidR="001907A0" w:rsidRPr="001907A0" w:rsidRDefault="008D6703" w:rsidP="001907A0">
      <w:pPr>
        <w:pStyle w:val="Heading2"/>
      </w:pPr>
      <w:bookmarkStart w:id="4" w:name="_Toc46833416"/>
      <w:r>
        <w:t xml:space="preserve">Facilities Engineering </w:t>
      </w:r>
      <w:r w:rsidR="000241ED">
        <w:t>Services Section</w:t>
      </w:r>
      <w:bookmarkEnd w:id="4"/>
    </w:p>
    <w:p w14:paraId="348B502C" w14:textId="56061B31" w:rsidR="000241ED" w:rsidRDefault="008D6703" w:rsidP="000241ED">
      <w:r>
        <w:t xml:space="preserve">Facilities Engineering </w:t>
      </w:r>
      <w:r w:rsidR="000241ED">
        <w:t>Services Section shall ensure that:</w:t>
      </w:r>
    </w:p>
    <w:p w14:paraId="0004742D" w14:textId="00F7AA63" w:rsidR="00EB4DC0" w:rsidRDefault="000241ED" w:rsidP="00EB4DC0">
      <w:pPr>
        <w:pStyle w:val="ListParagraph"/>
        <w:numPr>
          <w:ilvl w:val="0"/>
          <w:numId w:val="33"/>
        </w:numPr>
      </w:pPr>
      <w:r>
        <w:t>A</w:t>
      </w:r>
      <w:r w:rsidR="008D6703">
        <w:t>ll</w:t>
      </w:r>
      <w:r>
        <w:t xml:space="preserve"> vehicle acquisitions comply with Illinois Clean Fuel Fleet requirements (see Appendix A).</w:t>
      </w:r>
    </w:p>
    <w:p w14:paraId="0CC2AAD9" w14:textId="77777777" w:rsidR="00761F83" w:rsidRDefault="00761F83" w:rsidP="00761F83">
      <w:pPr>
        <w:pStyle w:val="ListParagraph"/>
      </w:pPr>
    </w:p>
    <w:p w14:paraId="20BEDE74" w14:textId="1B1A4403" w:rsidR="001907A0" w:rsidRPr="001907A0" w:rsidRDefault="00EF2C6F" w:rsidP="001907A0">
      <w:pPr>
        <w:pStyle w:val="Heading2"/>
      </w:pPr>
      <w:bookmarkStart w:id="5" w:name="_Toc46833417"/>
      <w:r>
        <w:t>ES&amp;H</w:t>
      </w:r>
      <w:r w:rsidR="000241ED">
        <w:t xml:space="preserve"> Section, Environmental Protection Group</w:t>
      </w:r>
      <w:bookmarkEnd w:id="5"/>
    </w:p>
    <w:p w14:paraId="5568D3F8" w14:textId="4E09D430" w:rsidR="000241ED" w:rsidRPr="009C5DD6" w:rsidRDefault="00EF2C6F" w:rsidP="00610F7B">
      <w:r>
        <w:t>ES&amp;H</w:t>
      </w:r>
      <w:r w:rsidR="000241ED" w:rsidRPr="009C5DD6">
        <w:t xml:space="preserve"> Section, EP</w:t>
      </w:r>
      <w:r w:rsidR="009D7835">
        <w:t>G</w:t>
      </w:r>
      <w:r w:rsidR="000241ED" w:rsidRPr="009C5DD6">
        <w:t xml:space="preserve"> shall ensure that:</w:t>
      </w:r>
    </w:p>
    <w:p w14:paraId="3198A40A" w14:textId="3B464315" w:rsidR="008D6703" w:rsidRPr="009C5DD6" w:rsidRDefault="008D6703" w:rsidP="008D6703">
      <w:pPr>
        <w:pStyle w:val="ListParagraph"/>
        <w:numPr>
          <w:ilvl w:val="0"/>
          <w:numId w:val="33"/>
        </w:numPr>
      </w:pPr>
      <w:r w:rsidRPr="009C5DD6">
        <w:t>Permits are obtained for air emission units as required by the applicable regulations (see Appendix A for topical list of regulatory requirements and Appendix B for list of equipment that is exempt from permitting).</w:t>
      </w:r>
    </w:p>
    <w:p w14:paraId="47D9F065" w14:textId="118860F6" w:rsidR="008D6703" w:rsidRPr="009C5DD6" w:rsidRDefault="008D6703" w:rsidP="008D6703">
      <w:pPr>
        <w:pStyle w:val="ListParagraph"/>
        <w:numPr>
          <w:ilvl w:val="0"/>
          <w:numId w:val="33"/>
        </w:numPr>
      </w:pPr>
      <w:r w:rsidRPr="009C5DD6">
        <w:t>The rationale for any determination that an air emission unit is exempt from permitting is documented (see Appendix B).</w:t>
      </w:r>
    </w:p>
    <w:p w14:paraId="0EE82797" w14:textId="68441196" w:rsidR="000241ED" w:rsidRPr="009C5DD6" w:rsidRDefault="00EB4DC0" w:rsidP="00610F7B">
      <w:pPr>
        <w:pStyle w:val="ListParagraph"/>
        <w:numPr>
          <w:ilvl w:val="0"/>
          <w:numId w:val="33"/>
        </w:numPr>
      </w:pPr>
      <w:r w:rsidRPr="009C5DD6">
        <w:t>N</w:t>
      </w:r>
      <w:r w:rsidR="000241ED" w:rsidRPr="009C5DD6">
        <w:t xml:space="preserve">ew </w:t>
      </w:r>
      <w:r w:rsidR="003714BC" w:rsidRPr="009C5DD6">
        <w:t>operations, potentials sources, or changes to existing operations or sources</w:t>
      </w:r>
      <w:r w:rsidRPr="009C5DD6">
        <w:t xml:space="preserve"> are evaluated</w:t>
      </w:r>
      <w:r w:rsidR="003714BC" w:rsidRPr="009C5DD6">
        <w:t xml:space="preserve"> </w:t>
      </w:r>
      <w:r w:rsidR="000241ED" w:rsidRPr="009C5DD6">
        <w:t xml:space="preserve">to </w:t>
      </w:r>
      <w:r w:rsidRPr="009C5DD6">
        <w:t>determine applicable regulatory requirements</w:t>
      </w:r>
      <w:r w:rsidR="000241ED" w:rsidRPr="009C5DD6">
        <w:t>.</w:t>
      </w:r>
    </w:p>
    <w:p w14:paraId="7B43779C" w14:textId="16639FD4" w:rsidR="000241ED" w:rsidRPr="009C5DD6" w:rsidRDefault="000241ED" w:rsidP="00610F7B">
      <w:pPr>
        <w:pStyle w:val="ListParagraph"/>
        <w:numPr>
          <w:ilvl w:val="0"/>
          <w:numId w:val="33"/>
        </w:numPr>
      </w:pPr>
      <w:r w:rsidRPr="009C5DD6">
        <w:t>An air related permit application is reviewed for completeness and accuracy and submitt</w:t>
      </w:r>
      <w:r w:rsidR="003714BC" w:rsidRPr="009C5DD6">
        <w:t>ed</w:t>
      </w:r>
      <w:r w:rsidRPr="009C5DD6">
        <w:t xml:space="preserve"> to IEPA via DOE.</w:t>
      </w:r>
    </w:p>
    <w:p w14:paraId="66509EDF" w14:textId="77777777" w:rsidR="000241ED" w:rsidRPr="009C5DD6" w:rsidRDefault="000241ED" w:rsidP="00610F7B">
      <w:pPr>
        <w:pStyle w:val="ListParagraph"/>
        <w:numPr>
          <w:ilvl w:val="0"/>
          <w:numId w:val="33"/>
        </w:numPr>
      </w:pPr>
      <w:r w:rsidRPr="009C5DD6">
        <w:t>Copies of approved permits are provided to applicable Divisions/Sections.</w:t>
      </w:r>
    </w:p>
    <w:p w14:paraId="3DEBACF3" w14:textId="77777777" w:rsidR="000241ED" w:rsidRPr="009C5DD6" w:rsidRDefault="000241ED" w:rsidP="00610F7B">
      <w:pPr>
        <w:pStyle w:val="ListParagraph"/>
        <w:numPr>
          <w:ilvl w:val="0"/>
          <w:numId w:val="33"/>
        </w:numPr>
      </w:pPr>
      <w:r w:rsidRPr="009C5DD6">
        <w:t>Files of all environmental permit applications, permits, and related documents are maintained.</w:t>
      </w:r>
    </w:p>
    <w:p w14:paraId="1556BB40" w14:textId="77777777" w:rsidR="000241ED" w:rsidRPr="009C5DD6" w:rsidRDefault="000241ED" w:rsidP="00610F7B">
      <w:pPr>
        <w:pStyle w:val="ListParagraph"/>
        <w:numPr>
          <w:ilvl w:val="0"/>
          <w:numId w:val="33"/>
        </w:numPr>
      </w:pPr>
      <w:r w:rsidRPr="009C5DD6">
        <w:t>Environmental air permit annual emission reports are submitted in a timely manner.</w:t>
      </w:r>
    </w:p>
    <w:p w14:paraId="3B5A38FA" w14:textId="77777777" w:rsidR="000241ED" w:rsidRDefault="000241ED" w:rsidP="000241ED"/>
    <w:p w14:paraId="0F48A78A" w14:textId="6E7EA12D" w:rsidR="001907A0" w:rsidRPr="001907A0" w:rsidRDefault="008D6703" w:rsidP="001907A0">
      <w:pPr>
        <w:pStyle w:val="Heading2"/>
      </w:pPr>
      <w:bookmarkStart w:id="6" w:name="_Toc46833418"/>
      <w:r>
        <w:t>ES</w:t>
      </w:r>
      <w:r w:rsidR="00EF2C6F">
        <w:t>&amp;H</w:t>
      </w:r>
      <w:r w:rsidR="000241ED">
        <w:t xml:space="preserve"> Section, </w:t>
      </w:r>
      <w:r w:rsidR="00371E3E">
        <w:t>Industrial Hygiene</w:t>
      </w:r>
      <w:r>
        <w:t xml:space="preserve"> Group</w:t>
      </w:r>
      <w:bookmarkEnd w:id="6"/>
    </w:p>
    <w:p w14:paraId="71500F01" w14:textId="2939ED48" w:rsidR="000241ED" w:rsidRPr="00610F7B" w:rsidRDefault="008D6703" w:rsidP="00610F7B">
      <w:r>
        <w:t>ES</w:t>
      </w:r>
      <w:r w:rsidR="00EF2C6F">
        <w:t>&amp;</w:t>
      </w:r>
      <w:r>
        <w:t>H</w:t>
      </w:r>
      <w:r w:rsidR="000241ED" w:rsidRPr="00610F7B">
        <w:t xml:space="preserve"> Section, </w:t>
      </w:r>
      <w:r w:rsidR="00371E3E">
        <w:t>Industrial Hygiene</w:t>
      </w:r>
      <w:r w:rsidR="000241ED" w:rsidRPr="00610F7B">
        <w:t xml:space="preserve"> Group is responsible for asbestos removal projects.  They shall ensure that:</w:t>
      </w:r>
    </w:p>
    <w:p w14:paraId="275C8A35" w14:textId="77777777" w:rsidR="000241ED" w:rsidRPr="00610F7B" w:rsidRDefault="000241ED" w:rsidP="00610F7B">
      <w:pPr>
        <w:pStyle w:val="ListParagraph"/>
        <w:numPr>
          <w:ilvl w:val="0"/>
          <w:numId w:val="35"/>
        </w:numPr>
      </w:pPr>
      <w:r w:rsidRPr="00610F7B">
        <w:t>Air samples are collected</w:t>
      </w:r>
    </w:p>
    <w:p w14:paraId="242EDC03" w14:textId="77777777" w:rsidR="000241ED" w:rsidRPr="00610F7B" w:rsidRDefault="000241ED" w:rsidP="00610F7B">
      <w:pPr>
        <w:pStyle w:val="ListParagraph"/>
        <w:numPr>
          <w:ilvl w:val="0"/>
          <w:numId w:val="35"/>
        </w:numPr>
      </w:pPr>
      <w:r w:rsidRPr="00610F7B">
        <w:t>Records are generated to document compliance with the asbestos NESHAP</w:t>
      </w:r>
    </w:p>
    <w:p w14:paraId="34BB20E1" w14:textId="50B5480D" w:rsidR="000241ED" w:rsidRPr="00610F7B" w:rsidRDefault="000241ED" w:rsidP="00610F7B">
      <w:pPr>
        <w:pStyle w:val="ListParagraph"/>
        <w:numPr>
          <w:ilvl w:val="0"/>
          <w:numId w:val="35"/>
        </w:numPr>
      </w:pPr>
      <w:r w:rsidRPr="00610F7B">
        <w:t>Annual notification to IEPA of the total amount of asbestos removed during renovation or demolition is prepared</w:t>
      </w:r>
      <w:r w:rsidR="003714BC">
        <w:t xml:space="preserve"> and submitted</w:t>
      </w:r>
      <w:r w:rsidRPr="00610F7B">
        <w:t>.</w:t>
      </w:r>
    </w:p>
    <w:p w14:paraId="09E91DA6" w14:textId="77777777" w:rsidR="000241ED" w:rsidRPr="00610F7B" w:rsidRDefault="000241ED" w:rsidP="00610F7B">
      <w:pPr>
        <w:pStyle w:val="ListParagraph"/>
        <w:numPr>
          <w:ilvl w:val="0"/>
          <w:numId w:val="35"/>
        </w:numPr>
      </w:pPr>
      <w:r w:rsidRPr="00610F7B">
        <w:t xml:space="preserve">Procedures involving asbestos characterization, reporting, and removal are developed and maintained </w:t>
      </w:r>
    </w:p>
    <w:p w14:paraId="4F232ED6" w14:textId="77777777" w:rsidR="000241ED" w:rsidRDefault="000241ED" w:rsidP="000241ED"/>
    <w:p w14:paraId="13C8B72A" w14:textId="179EA9E7" w:rsidR="001907A0" w:rsidRPr="001907A0" w:rsidRDefault="00EF2C6F" w:rsidP="001907A0">
      <w:pPr>
        <w:pStyle w:val="Heading2"/>
      </w:pPr>
      <w:bookmarkStart w:id="7" w:name="_Toc46833419"/>
      <w:r>
        <w:t>ES&amp;H</w:t>
      </w:r>
      <w:r w:rsidR="000241ED">
        <w:t xml:space="preserve"> Section, Radiation Protection Group</w:t>
      </w:r>
      <w:bookmarkEnd w:id="7"/>
    </w:p>
    <w:p w14:paraId="333C841B" w14:textId="2EAC0D5E" w:rsidR="00371E3E" w:rsidRDefault="00EF2C6F" w:rsidP="00610F7B">
      <w:r>
        <w:t>ES&amp;H</w:t>
      </w:r>
      <w:r w:rsidR="000241ED" w:rsidRPr="00610F7B">
        <w:t xml:space="preserve"> Section, Radiation Protection Group shall, with regard to radionuclides</w:t>
      </w:r>
      <w:r w:rsidR="00371E3E">
        <w:t>:</w:t>
      </w:r>
    </w:p>
    <w:p w14:paraId="491319EC" w14:textId="3521F658" w:rsidR="00371E3E" w:rsidRDefault="00371E3E" w:rsidP="00371E3E">
      <w:pPr>
        <w:pStyle w:val="ListParagraph"/>
        <w:numPr>
          <w:ilvl w:val="0"/>
          <w:numId w:val="35"/>
        </w:numPr>
      </w:pPr>
      <w:r>
        <w:t>Calculate</w:t>
      </w:r>
      <w:r w:rsidRPr="00371E3E">
        <w:t xml:space="preserve"> </w:t>
      </w:r>
      <w:r w:rsidRPr="00610F7B">
        <w:t xml:space="preserve">and report the estimated committed effective dose equivalent </w:t>
      </w:r>
      <w:r>
        <w:t>of</w:t>
      </w:r>
      <w:r w:rsidRPr="00610F7B">
        <w:t xml:space="preserve"> the maximally exposed member of the public</w:t>
      </w:r>
      <w:r>
        <w:t xml:space="preserve"> (this</w:t>
      </w:r>
      <w:r w:rsidRPr="00371E3E">
        <w:t xml:space="preserve"> </w:t>
      </w:r>
      <w:r w:rsidRPr="00610F7B">
        <w:t>includes the performance of appropriate characterization measurements as well as the maintenance and operation of the associated instrumentation</w:t>
      </w:r>
      <w:r>
        <w:t>)</w:t>
      </w:r>
    </w:p>
    <w:p w14:paraId="7FAA78E6" w14:textId="02C989FE" w:rsidR="00371E3E" w:rsidRPr="00610F7B" w:rsidRDefault="00371E3E" w:rsidP="00371E3E">
      <w:pPr>
        <w:pStyle w:val="ListParagraph"/>
        <w:numPr>
          <w:ilvl w:val="0"/>
          <w:numId w:val="35"/>
        </w:numPr>
      </w:pPr>
      <w:r>
        <w:t>Arrange</w:t>
      </w:r>
      <w:r w:rsidRPr="00371E3E">
        <w:t xml:space="preserve"> </w:t>
      </w:r>
      <w:r w:rsidRPr="00610F7B">
        <w:t xml:space="preserve">for the estimated dose calculations to be </w:t>
      </w:r>
      <w:r>
        <w:t>completed and s</w:t>
      </w:r>
      <w:r w:rsidRPr="00610F7B">
        <w:t>hall ensure that an appropriate NES</w:t>
      </w:r>
      <w:r w:rsidR="009D7835">
        <w:t xml:space="preserve">HAPs Report is filed with the </w:t>
      </w:r>
      <w:r w:rsidRPr="00610F7B">
        <w:t>EPA, IEPA, and DOE</w:t>
      </w:r>
    </w:p>
    <w:p w14:paraId="56FE05E8" w14:textId="77777777" w:rsidR="00244E31" w:rsidRDefault="00244E31" w:rsidP="00E00D72"/>
    <w:p w14:paraId="6A35769C" w14:textId="77777777" w:rsidR="00E47427" w:rsidRDefault="00021BF3" w:rsidP="00E47427">
      <w:pPr>
        <w:pStyle w:val="Heading1"/>
      </w:pPr>
      <w:bookmarkStart w:id="8" w:name="_Toc46833420"/>
      <w:r>
        <w:t>PROGRAM DESCRIPTION</w:t>
      </w:r>
      <w:bookmarkEnd w:id="8"/>
    </w:p>
    <w:p w14:paraId="20143D01" w14:textId="77777777" w:rsidR="00E47427" w:rsidRDefault="00E47427" w:rsidP="00E00D72"/>
    <w:p w14:paraId="43750C48" w14:textId="1D8162CD" w:rsidR="00BF736A" w:rsidRDefault="00BF736A" w:rsidP="00610F7B">
      <w:r w:rsidRPr="00610F7B">
        <w:t xml:space="preserve">Fermilab air emissions are governed by air pollution control regulations as summarized by topic in Appendix A, by DOE orders, and </w:t>
      </w:r>
      <w:r w:rsidRPr="002B5DB0">
        <w:t xml:space="preserve">by the Fermilab </w:t>
      </w:r>
      <w:r w:rsidR="008D6703" w:rsidRPr="002B5DB0">
        <w:t>ROSS</w:t>
      </w:r>
      <w:r w:rsidR="008D6703">
        <w:t xml:space="preserve"> </w:t>
      </w:r>
      <w:r w:rsidRPr="00610F7B">
        <w:t xml:space="preserve">(see Appendix D).  Divisions/Sections develop and implement, as needed, procedures to ensure compliance with these requirements.  </w:t>
      </w:r>
      <w:r w:rsidR="002B5DB0">
        <w:t>The criteria for inclusion in the ROSS program are as follows:</w:t>
      </w:r>
    </w:p>
    <w:p w14:paraId="7E748159" w14:textId="77777777" w:rsidR="00371E3E" w:rsidRPr="00490FD1" w:rsidRDefault="00371E3E" w:rsidP="00610F7B"/>
    <w:p w14:paraId="03C04C7C" w14:textId="77777777" w:rsidR="00371E3E" w:rsidRPr="00490FD1" w:rsidRDefault="00371E3E" w:rsidP="00371E3E">
      <w:pPr>
        <w:pStyle w:val="ListParagraph"/>
        <w:numPr>
          <w:ilvl w:val="0"/>
          <w:numId w:val="48"/>
        </w:numPr>
      </w:pPr>
      <w:r w:rsidRPr="00490FD1">
        <w:t>Not required to get a Title V or Clean Air Act Permit Program (CAAPP) permit</w:t>
      </w:r>
    </w:p>
    <w:p w14:paraId="0342ECFE" w14:textId="77777777" w:rsidR="00371E3E" w:rsidRPr="00490FD1" w:rsidRDefault="00371E3E" w:rsidP="00371E3E">
      <w:pPr>
        <w:pStyle w:val="ListParagraph"/>
        <w:numPr>
          <w:ilvl w:val="0"/>
          <w:numId w:val="48"/>
        </w:numPr>
      </w:pPr>
      <w:r w:rsidRPr="00490FD1">
        <w:t>Not required to get a Federally Enforceable State Operating Permit (FESOP)</w:t>
      </w:r>
    </w:p>
    <w:p w14:paraId="398A8BBD" w14:textId="7E99552F" w:rsidR="00371E3E" w:rsidRPr="00490FD1" w:rsidRDefault="00371E3E" w:rsidP="00371E3E">
      <w:pPr>
        <w:pStyle w:val="ListParagraph"/>
        <w:numPr>
          <w:ilvl w:val="0"/>
          <w:numId w:val="48"/>
        </w:numPr>
      </w:pPr>
      <w:r w:rsidRPr="00490FD1">
        <w:t>Not required to get a permit under the New Source Performance Standards (NSPS) or under the NESHAP or by EPA.</w:t>
      </w:r>
    </w:p>
    <w:p w14:paraId="131FA5BC" w14:textId="77777777" w:rsidR="00371E3E" w:rsidRPr="00490FD1" w:rsidRDefault="00371E3E" w:rsidP="00371E3E">
      <w:pPr>
        <w:pStyle w:val="ListParagraph"/>
        <w:numPr>
          <w:ilvl w:val="0"/>
          <w:numId w:val="48"/>
        </w:numPr>
      </w:pPr>
      <w:r w:rsidRPr="00490FD1">
        <w:t>Actual emissions from the source's non-permit exempt emission units are less than the following limits for the prior calendar year:</w:t>
      </w:r>
    </w:p>
    <w:p w14:paraId="4025E022" w14:textId="77777777" w:rsidR="00371E3E" w:rsidRPr="00490FD1" w:rsidRDefault="00371E3E" w:rsidP="00371E3E">
      <w:pPr>
        <w:pStyle w:val="ListParagraph"/>
        <w:numPr>
          <w:ilvl w:val="1"/>
          <w:numId w:val="48"/>
        </w:numPr>
      </w:pPr>
      <w:r w:rsidRPr="00490FD1">
        <w:t>5.0 Tons/year of combined pollutants (particulate matter, carbon monoxide, nitrogen oxides, sulfur dioxide and volatile organic material)</w:t>
      </w:r>
    </w:p>
    <w:p w14:paraId="08145318" w14:textId="68D27F38" w:rsidR="00371E3E" w:rsidRPr="00490FD1" w:rsidRDefault="00371E3E" w:rsidP="00371E3E">
      <w:pPr>
        <w:pStyle w:val="ListParagraph"/>
        <w:numPr>
          <w:ilvl w:val="1"/>
          <w:numId w:val="48"/>
        </w:numPr>
      </w:pPr>
      <w:r w:rsidRPr="00490FD1">
        <w:t>0.50 Tons/year of combined HAPs</w:t>
      </w:r>
    </w:p>
    <w:p w14:paraId="0EC471ED" w14:textId="77777777" w:rsidR="00371E3E" w:rsidRPr="00490FD1" w:rsidRDefault="00371E3E" w:rsidP="00371E3E">
      <w:pPr>
        <w:pStyle w:val="ListParagraph"/>
        <w:numPr>
          <w:ilvl w:val="1"/>
          <w:numId w:val="48"/>
        </w:numPr>
      </w:pPr>
      <w:r w:rsidRPr="00490FD1">
        <w:t>0.05 Tons/year of mercury air emissions</w:t>
      </w:r>
    </w:p>
    <w:p w14:paraId="21533909" w14:textId="77777777" w:rsidR="00371E3E" w:rsidRPr="00490FD1" w:rsidRDefault="00371E3E" w:rsidP="00371E3E">
      <w:pPr>
        <w:pStyle w:val="ListParagraph"/>
        <w:numPr>
          <w:ilvl w:val="1"/>
          <w:numId w:val="48"/>
        </w:numPr>
      </w:pPr>
      <w:r w:rsidRPr="00490FD1">
        <w:t>0.05 Tons/year of lead air emissions</w:t>
      </w:r>
    </w:p>
    <w:p w14:paraId="10BFE0FE" w14:textId="77777777" w:rsidR="00371E3E" w:rsidRDefault="00371E3E" w:rsidP="00371E3E">
      <w:pPr>
        <w:rPr>
          <w:rFonts w:ascii="Palatino" w:hAnsi="Palatino"/>
        </w:rPr>
      </w:pPr>
      <w:r>
        <w:rPr>
          <w:rFonts w:ascii="Palatino" w:hAnsi="Palatino"/>
        </w:rPr>
        <w:t xml:space="preserve">   </w:t>
      </w:r>
    </w:p>
    <w:p w14:paraId="2C273822" w14:textId="4CA6F750" w:rsidR="00371E3E" w:rsidRDefault="00371E3E" w:rsidP="00371E3E">
      <w:r>
        <w:rPr>
          <w:rFonts w:ascii="Palatino" w:hAnsi="Palatino"/>
        </w:rPr>
        <w:t xml:space="preserve">The </w:t>
      </w:r>
      <w:r w:rsidR="002B5DB0">
        <w:rPr>
          <w:rFonts w:ascii="Palatino" w:hAnsi="Palatino"/>
        </w:rPr>
        <w:t>air emissions inventory</w:t>
      </w:r>
      <w:r>
        <w:rPr>
          <w:rFonts w:ascii="Palatino" w:hAnsi="Palatino"/>
        </w:rPr>
        <w:t xml:space="preserve"> </w:t>
      </w:r>
      <w:r w:rsidR="002B5DB0">
        <w:t>lists all air emission sources located at Fermilab (</w:t>
      </w:r>
      <w:r w:rsidR="00EF2C6F">
        <w:t>ES&amp;H</w:t>
      </w:r>
      <w:r w:rsidR="00AB6BAA">
        <w:t xml:space="preserve"> </w:t>
      </w:r>
      <w:r w:rsidR="002B5DB0">
        <w:t xml:space="preserve">DocDB #2015), whether exempt or non-exempt from permitting.  </w:t>
      </w:r>
      <w:r w:rsidR="002B5DB0" w:rsidRPr="00610F7B">
        <w:t xml:space="preserve">The current </w:t>
      </w:r>
      <w:r w:rsidR="002B5DB0">
        <w:t>ROSS registration</w:t>
      </w:r>
      <w:r w:rsidR="002B5DB0" w:rsidRPr="00610F7B">
        <w:t xml:space="preserve">, issued on </w:t>
      </w:r>
      <w:r w:rsidR="002B5DB0">
        <w:t>August 21, 2012 includes the</w:t>
      </w:r>
      <w:r w:rsidR="002B5DB0" w:rsidRPr="00610F7B">
        <w:t xml:space="preserve"> operation of the following </w:t>
      </w:r>
      <w:r w:rsidR="002B5DB0">
        <w:t xml:space="preserve">non-permit exempt </w:t>
      </w:r>
      <w:r w:rsidR="002B5DB0" w:rsidRPr="00610F7B">
        <w:t>emission unit(s) and /or air pollution control equipment</w:t>
      </w:r>
      <w:r w:rsidR="002B5DB0">
        <w:t>:</w:t>
      </w:r>
    </w:p>
    <w:p w14:paraId="50F5B6C7" w14:textId="77777777" w:rsidR="00490FD1" w:rsidRDefault="00490FD1" w:rsidP="00371E3E">
      <w:pPr>
        <w:rPr>
          <w:rFonts w:ascii="Palatino" w:hAnsi="Palatino"/>
        </w:rPr>
      </w:pPr>
    </w:p>
    <w:p w14:paraId="77A12B3E" w14:textId="77777777" w:rsidR="00371E3E" w:rsidRPr="00490FD1" w:rsidRDefault="00371E3E" w:rsidP="00371E3E">
      <w:pPr>
        <w:pStyle w:val="ListParagraph"/>
        <w:numPr>
          <w:ilvl w:val="0"/>
          <w:numId w:val="28"/>
        </w:numPr>
      </w:pPr>
      <w:r w:rsidRPr="00490FD1">
        <w:t>Magnet Debonding Oven with Afterburner</w:t>
      </w:r>
    </w:p>
    <w:p w14:paraId="7D04E0E1" w14:textId="27CE8B2D" w:rsidR="00371E3E" w:rsidRPr="00490FD1" w:rsidRDefault="00371E3E" w:rsidP="00371E3E">
      <w:pPr>
        <w:pStyle w:val="ListParagraph"/>
        <w:numPr>
          <w:ilvl w:val="0"/>
          <w:numId w:val="28"/>
        </w:numPr>
      </w:pPr>
      <w:r w:rsidRPr="00490FD1">
        <w:t xml:space="preserve">Natural Gas Fired Boiler with Firing Rate of 15 </w:t>
      </w:r>
      <w:r w:rsidR="009D7835">
        <w:t>Million British Thermal Units (</w:t>
      </w:r>
      <w:proofErr w:type="spellStart"/>
      <w:r w:rsidRPr="00490FD1">
        <w:t>mmBtu</w:t>
      </w:r>
      <w:proofErr w:type="spellEnd"/>
      <w:r w:rsidR="009D7835">
        <w:t>)</w:t>
      </w:r>
      <w:r w:rsidRPr="00490FD1">
        <w:t xml:space="preserve">/Hour </w:t>
      </w:r>
      <w:r w:rsidR="002E29FF">
        <w:t>(</w:t>
      </w:r>
      <w:proofErr w:type="spellStart"/>
      <w:r w:rsidR="002E29FF">
        <w:t>hr</w:t>
      </w:r>
      <w:proofErr w:type="spellEnd"/>
      <w:r w:rsidR="002E29FF">
        <w:t>)</w:t>
      </w:r>
    </w:p>
    <w:p w14:paraId="3F342594" w14:textId="1977E854" w:rsidR="00371E3E" w:rsidRPr="00490FD1" w:rsidRDefault="00371E3E" w:rsidP="00371E3E">
      <w:pPr>
        <w:pStyle w:val="ListParagraph"/>
        <w:numPr>
          <w:ilvl w:val="0"/>
          <w:numId w:val="28"/>
        </w:numPr>
      </w:pPr>
      <w:r w:rsidRPr="00490FD1">
        <w:t xml:space="preserve">Natural Gas Fired Boiler with Firing Rate of 12.247 </w:t>
      </w:r>
      <w:proofErr w:type="spellStart"/>
      <w:r w:rsidRPr="00490FD1">
        <w:t>mmBtu</w:t>
      </w:r>
      <w:proofErr w:type="spellEnd"/>
      <w:r w:rsidRPr="00490FD1">
        <w:t>/</w:t>
      </w:r>
      <w:proofErr w:type="spellStart"/>
      <w:r w:rsidR="002E29FF">
        <w:t>hr</w:t>
      </w:r>
      <w:proofErr w:type="spellEnd"/>
      <w:r w:rsidRPr="00490FD1">
        <w:t xml:space="preserve"> </w:t>
      </w:r>
    </w:p>
    <w:p w14:paraId="4E9272C2" w14:textId="77777777" w:rsidR="00371E3E" w:rsidRPr="00490FD1" w:rsidRDefault="00371E3E" w:rsidP="00371E3E">
      <w:pPr>
        <w:pStyle w:val="ListParagraph"/>
        <w:numPr>
          <w:ilvl w:val="0"/>
          <w:numId w:val="28"/>
        </w:numPr>
      </w:pPr>
      <w:r w:rsidRPr="00490FD1">
        <w:t>Gasoline Dispensing Facility with one 12,000 Gallons Gasoline Storage Tank Equipped with Permanent Submerged Loading, with Stage 1 Vapor Balance System</w:t>
      </w:r>
    </w:p>
    <w:p w14:paraId="63496E11" w14:textId="77777777" w:rsidR="00371E3E" w:rsidRPr="00490FD1" w:rsidRDefault="00371E3E" w:rsidP="00371E3E">
      <w:pPr>
        <w:pStyle w:val="ListParagraph"/>
        <w:numPr>
          <w:ilvl w:val="0"/>
          <w:numId w:val="28"/>
        </w:numPr>
      </w:pPr>
      <w:r w:rsidRPr="00490FD1">
        <w:t xml:space="preserve">Radionuclide Emission Stacks </w:t>
      </w:r>
    </w:p>
    <w:p w14:paraId="13106A1B" w14:textId="1C6D3826" w:rsidR="00371E3E" w:rsidRPr="00490FD1" w:rsidRDefault="00371E3E" w:rsidP="00371E3E">
      <w:pPr>
        <w:pStyle w:val="ListParagraph"/>
        <w:numPr>
          <w:ilvl w:val="0"/>
          <w:numId w:val="28"/>
        </w:numPr>
      </w:pPr>
      <w:r w:rsidRPr="00490FD1">
        <w:t xml:space="preserve">Emergency Standby Diesel Fuel Fired Engine – Generator with Nominal Capacity of 2,220 Horsepower </w:t>
      </w:r>
      <w:r w:rsidR="00072599">
        <w:t>(hp)</w:t>
      </w:r>
    </w:p>
    <w:p w14:paraId="4F311C87" w14:textId="0E7D16C9" w:rsidR="00490FD1" w:rsidRPr="00490FD1" w:rsidRDefault="00490FD1" w:rsidP="00371E3E">
      <w:pPr>
        <w:pStyle w:val="ListParagraph"/>
        <w:numPr>
          <w:ilvl w:val="0"/>
          <w:numId w:val="28"/>
        </w:numPr>
      </w:pPr>
      <w:r w:rsidRPr="00490FD1">
        <w:t>Cavity Processing Lab which includes:  One Buffered Chemical Polishing (BCP) process, and one Electropolishing (EP) process</w:t>
      </w:r>
    </w:p>
    <w:p w14:paraId="016496E5" w14:textId="77777777" w:rsidR="00490FD1" w:rsidRDefault="00490FD1" w:rsidP="002B5DB0"/>
    <w:p w14:paraId="28455643" w14:textId="02D5557B" w:rsidR="002B5DB0" w:rsidRPr="002B5DB0" w:rsidRDefault="002B5DB0" w:rsidP="002B5DB0">
      <w:r w:rsidRPr="002B5DB0">
        <w:t xml:space="preserve">These are the only emissions sources at Fermilab that do not meet a permitting exemption.  </w:t>
      </w:r>
      <w:r w:rsidR="00BC79C2">
        <w:t xml:space="preserve">These sources must comply with the conditions outlined in Appendix E.  </w:t>
      </w:r>
      <w:r w:rsidRPr="002B5DB0">
        <w:t>All other existing air emissions sources are exempt from permitting.  The D/S/</w:t>
      </w:r>
      <w:r w:rsidR="00BC79C2">
        <w:t>P</w:t>
      </w:r>
      <w:r w:rsidRPr="002B5DB0">
        <w:t xml:space="preserve"> purchasing and operating an exempt emission source must inform the </w:t>
      </w:r>
      <w:r w:rsidR="00EF2C6F">
        <w:t>ES&amp;H</w:t>
      </w:r>
      <w:r w:rsidR="002E29FF">
        <w:t xml:space="preserve"> </w:t>
      </w:r>
      <w:r w:rsidRPr="002B5DB0">
        <w:t xml:space="preserve">EP Group for inclusion in the inventory.  Emission sources </w:t>
      </w:r>
      <w:r w:rsidR="00281853" w:rsidRPr="002B5DB0">
        <w:t>must comply</w:t>
      </w:r>
      <w:r w:rsidRPr="002B5DB0">
        <w:t xml:space="preserve"> with the relevant IEPA or USEPA regulations regardless of permit exemptions. </w:t>
      </w:r>
    </w:p>
    <w:p w14:paraId="070B0A35" w14:textId="77777777" w:rsidR="002B5DB0" w:rsidRPr="002B5DB0" w:rsidRDefault="002B5DB0" w:rsidP="002B5DB0"/>
    <w:p w14:paraId="4D9339C4" w14:textId="1314A8A7" w:rsidR="002B5DB0" w:rsidRPr="002B5DB0" w:rsidRDefault="002B5DB0" w:rsidP="002B5DB0">
      <w:r w:rsidRPr="002B5DB0">
        <w:lastRenderedPageBreak/>
        <w:t>When a new air emission source or modification to an existing source is proposed, the D/S/</w:t>
      </w:r>
      <w:r w:rsidR="00BC79C2">
        <w:t>P</w:t>
      </w:r>
      <w:r w:rsidRPr="002B5DB0">
        <w:t xml:space="preserve"> consults with the </w:t>
      </w:r>
      <w:r w:rsidR="00EF2C6F">
        <w:t>ES&amp;H</w:t>
      </w:r>
      <w:r w:rsidRPr="002B5DB0">
        <w:t xml:space="preserve"> Section to determine whether registry in the ROSS program is still applicable or a construction permit will be required (see Appendix C for the decision making flow chart).</w:t>
      </w:r>
    </w:p>
    <w:p w14:paraId="241BFBFB" w14:textId="77777777" w:rsidR="002B5DB0" w:rsidRPr="002B5DB0" w:rsidRDefault="002B5DB0" w:rsidP="002B5DB0"/>
    <w:p w14:paraId="609E959D" w14:textId="30DB920C" w:rsidR="002B5DB0" w:rsidRPr="002B5DB0" w:rsidRDefault="002B5DB0" w:rsidP="002B5DB0">
      <w:r w:rsidRPr="002B5DB0">
        <w:t>The D/S/</w:t>
      </w:r>
      <w:r w:rsidR="00BC79C2">
        <w:t>P</w:t>
      </w:r>
      <w:r w:rsidRPr="002B5DB0">
        <w:t xml:space="preserve"> operating the above listed permitted emission sources develops procedures to ensure compliance with Appendix D and for submitting all necessary documentation to the </w:t>
      </w:r>
      <w:r w:rsidR="00EF2C6F">
        <w:t>ES&amp;H</w:t>
      </w:r>
      <w:r w:rsidRPr="002B5DB0">
        <w:t xml:space="preserve"> Section </w:t>
      </w:r>
      <w:r w:rsidR="00774BE7">
        <w:t xml:space="preserve">as directed by the </w:t>
      </w:r>
      <w:r w:rsidR="00EF2C6F">
        <w:t>ES&amp;H</w:t>
      </w:r>
      <w:r w:rsidR="002E29FF">
        <w:t xml:space="preserve"> </w:t>
      </w:r>
      <w:r w:rsidR="00774BE7">
        <w:t>EP Group</w:t>
      </w:r>
      <w:r w:rsidRPr="002B5DB0">
        <w:t>.</w:t>
      </w:r>
    </w:p>
    <w:p w14:paraId="3EDE822D" w14:textId="77777777" w:rsidR="002B5DB0" w:rsidRPr="002B5DB0" w:rsidRDefault="002B5DB0" w:rsidP="002B5DB0"/>
    <w:p w14:paraId="7934BF87" w14:textId="02C981E9" w:rsidR="002B5DB0" w:rsidRPr="002B5DB0" w:rsidRDefault="002B5DB0" w:rsidP="002B5DB0">
      <w:r w:rsidRPr="002B5DB0">
        <w:t xml:space="preserve">The </w:t>
      </w:r>
      <w:r w:rsidR="00EF2C6F">
        <w:t>ES&amp;H</w:t>
      </w:r>
      <w:r w:rsidRPr="002B5DB0">
        <w:t xml:space="preserve"> Section submits the ROSS determination calculations to the DOE in a timely manner so that the annual ROSS site fee may be transmitted to IEPA by the regulatory due date.  In addition, the </w:t>
      </w:r>
      <w:r w:rsidR="00EF2C6F">
        <w:t>ES&amp;H</w:t>
      </w:r>
      <w:r w:rsidRPr="002B5DB0">
        <w:t xml:space="preserve"> Section calculates and reports the estimated committed effective dose equivalent to the maximally exposed member of the public and reports this to the DOE for transmittal to the</w:t>
      </w:r>
      <w:r w:rsidR="009D7835">
        <w:t xml:space="preserve"> </w:t>
      </w:r>
      <w:r w:rsidRPr="002B5DB0">
        <w:t>EPA, IEPA, and DOE Headquarters by the regulatory deadline.</w:t>
      </w:r>
    </w:p>
    <w:p w14:paraId="05F0AC45" w14:textId="77777777" w:rsidR="00BF736A" w:rsidRDefault="00BF736A" w:rsidP="00BF736A">
      <w:pPr>
        <w:ind w:left="60"/>
        <w:outlineLvl w:val="0"/>
        <w:rPr>
          <w:rFonts w:ascii="Palatino" w:hAnsi="Palatino"/>
        </w:rPr>
      </w:pPr>
    </w:p>
    <w:p w14:paraId="7D0D97EC" w14:textId="77777777" w:rsidR="00BF736A" w:rsidRDefault="00BF736A" w:rsidP="00BF736A">
      <w:pPr>
        <w:rPr>
          <w:rFonts w:ascii="Palatino" w:hAnsi="Palatino"/>
        </w:rPr>
      </w:pPr>
      <w:r>
        <w:rPr>
          <w:rFonts w:ascii="Palatino" w:hAnsi="Palatino"/>
        </w:rPr>
        <w:t xml:space="preserve">  </w:t>
      </w:r>
    </w:p>
    <w:p w14:paraId="0D8A362B" w14:textId="77777777" w:rsidR="00BF736A" w:rsidRDefault="00BF736A" w:rsidP="00BF736A">
      <w:pPr>
        <w:rPr>
          <w:rFonts w:ascii="Palatino" w:hAnsi="Palatino"/>
        </w:rPr>
      </w:pPr>
    </w:p>
    <w:p w14:paraId="0A4CC5CC" w14:textId="28B3AEA6" w:rsidR="00BE0C08" w:rsidRDefault="00BF736A" w:rsidP="00BF736A">
      <w:pPr>
        <w:pStyle w:val="Heading1"/>
        <w:keepNext w:val="0"/>
      </w:pPr>
      <w:r>
        <w:rPr>
          <w:rFonts w:ascii="Palatino" w:hAnsi="Palatino"/>
        </w:rPr>
        <w:br w:type="page"/>
      </w:r>
      <w:bookmarkStart w:id="9" w:name="_Toc46833421"/>
      <w:r w:rsidR="007D34F9">
        <w:lastRenderedPageBreak/>
        <w:t xml:space="preserve">APPENDIX </w:t>
      </w:r>
      <w:r w:rsidR="000241ED">
        <w:t>A</w:t>
      </w:r>
      <w:bookmarkEnd w:id="9"/>
    </w:p>
    <w:p w14:paraId="3E4CE319" w14:textId="77777777" w:rsidR="001E4839" w:rsidRPr="001E4839" w:rsidRDefault="001E4839" w:rsidP="00E00D72"/>
    <w:p w14:paraId="26B11492" w14:textId="22045D41" w:rsidR="00BF736A" w:rsidRDefault="00BF736A" w:rsidP="00BF736A">
      <w:pPr>
        <w:rPr>
          <w:rFonts w:ascii="Palatino" w:hAnsi="Palatino"/>
        </w:rPr>
      </w:pPr>
      <w:r>
        <w:rPr>
          <w:rFonts w:ascii="Palatino" w:hAnsi="Palatino"/>
        </w:rPr>
        <w:t>The following is a summarized description, listed alphabetically by topic, of the regulatory requirements governing existing or potential air emissions at Fermilab</w:t>
      </w:r>
      <w:r w:rsidR="00F16EE8">
        <w:rPr>
          <w:rFonts w:ascii="Palatino" w:hAnsi="Palatino"/>
        </w:rPr>
        <w:t xml:space="preserve"> in Batavia, Illinois</w:t>
      </w:r>
      <w:r>
        <w:rPr>
          <w:rFonts w:ascii="Palatino" w:hAnsi="Palatino"/>
        </w:rPr>
        <w:t>.</w:t>
      </w:r>
    </w:p>
    <w:p w14:paraId="726EDA63" w14:textId="77777777" w:rsidR="00BF736A" w:rsidRDefault="00BF736A" w:rsidP="00BF736A">
      <w:pPr>
        <w:rPr>
          <w:rFonts w:ascii="Palatino" w:hAnsi="Palatino"/>
        </w:rPr>
      </w:pPr>
    </w:p>
    <w:p w14:paraId="21BCEE65" w14:textId="77777777" w:rsidR="00BF736A" w:rsidRDefault="00BF736A" w:rsidP="000241ED">
      <w:pPr>
        <w:pStyle w:val="Heading2"/>
      </w:pPr>
      <w:bookmarkStart w:id="10" w:name="_Toc46833422"/>
      <w:r>
        <w:rPr>
          <w:u w:val="single"/>
        </w:rPr>
        <w:t>Asbestos</w:t>
      </w:r>
      <w:r>
        <w:t xml:space="preserve"> [35 IAC Part 228]</w:t>
      </w:r>
      <w:bookmarkEnd w:id="10"/>
    </w:p>
    <w:p w14:paraId="681257DB" w14:textId="6F2ABFF7" w:rsidR="000241ED" w:rsidRDefault="00BF736A" w:rsidP="000241ED">
      <w:pPr>
        <w:rPr>
          <w:rFonts w:ascii="Palatino" w:hAnsi="Palatino"/>
        </w:rPr>
      </w:pPr>
      <w:r>
        <w:rPr>
          <w:rFonts w:ascii="Palatino" w:hAnsi="Palatino"/>
        </w:rPr>
        <w:t xml:space="preserve">The asbestos NESHAP standards require that the IEPA be notified before large asbestos removal projects (involving more than 260 feet of pipe insulation or 160 square feet of other material) </w:t>
      </w:r>
      <w:r w:rsidR="00CA54F4">
        <w:rPr>
          <w:rFonts w:ascii="Palatino" w:hAnsi="Palatino"/>
        </w:rPr>
        <w:t xml:space="preserve">have </w:t>
      </w:r>
      <w:r>
        <w:rPr>
          <w:rFonts w:ascii="Palatino" w:hAnsi="Palatino"/>
        </w:rPr>
        <w:t xml:space="preserve">begun.  Renovation or demolition involving asbestos-containing material must be done in compliance with the work practice standards in the above-designated regulations. </w:t>
      </w:r>
    </w:p>
    <w:p w14:paraId="22C14B1F" w14:textId="77777777" w:rsidR="000241ED" w:rsidRDefault="000241ED" w:rsidP="000241ED">
      <w:pPr>
        <w:rPr>
          <w:rFonts w:ascii="Palatino" w:hAnsi="Palatino"/>
        </w:rPr>
      </w:pPr>
    </w:p>
    <w:p w14:paraId="6C6BA094" w14:textId="77777777" w:rsidR="00BF736A" w:rsidRDefault="00BF736A" w:rsidP="000241ED">
      <w:pPr>
        <w:pStyle w:val="Heading2"/>
      </w:pPr>
      <w:bookmarkStart w:id="11" w:name="_Toc46833423"/>
      <w:r w:rsidRPr="00F7058B">
        <w:rPr>
          <w:u w:val="single"/>
        </w:rPr>
        <w:t>Clean Air Act 112(r )</w:t>
      </w:r>
      <w:r>
        <w:t xml:space="preserve"> See Toxic or Flammable Substance below.</w:t>
      </w:r>
      <w:bookmarkEnd w:id="11"/>
    </w:p>
    <w:p w14:paraId="77FC3012" w14:textId="77777777" w:rsidR="00BF736A" w:rsidRDefault="00BF736A" w:rsidP="00BF736A">
      <w:pPr>
        <w:rPr>
          <w:rFonts w:ascii="Palatino" w:hAnsi="Palatino"/>
        </w:rPr>
      </w:pPr>
    </w:p>
    <w:p w14:paraId="20CD085E" w14:textId="77777777" w:rsidR="00BF736A" w:rsidRDefault="00BF736A" w:rsidP="000241ED">
      <w:pPr>
        <w:pStyle w:val="Heading2"/>
      </w:pPr>
      <w:bookmarkStart w:id="12" w:name="_Toc46833424"/>
      <w:r>
        <w:rPr>
          <w:u w:val="single"/>
        </w:rPr>
        <w:t>Coating Operations</w:t>
      </w:r>
      <w:r>
        <w:t xml:space="preserve">   [35 IAC, Part 218, Subpart F]</w:t>
      </w:r>
      <w:bookmarkEnd w:id="12"/>
    </w:p>
    <w:p w14:paraId="74C6D24A" w14:textId="6F3E1722" w:rsidR="00BF736A" w:rsidRDefault="00BF736A" w:rsidP="00BF736A">
      <w:pPr>
        <w:rPr>
          <w:rFonts w:ascii="Palatino" w:hAnsi="Palatino"/>
        </w:rPr>
      </w:pPr>
      <w:r>
        <w:rPr>
          <w:rFonts w:ascii="Palatino" w:hAnsi="Palatino"/>
        </w:rPr>
        <w:t xml:space="preserve">These regulations limit emissions resulting from coating ("Coating" means, for purposes of 35 </w:t>
      </w:r>
      <w:r w:rsidR="005C52BA">
        <w:rPr>
          <w:rFonts w:ascii="Palatino" w:hAnsi="Palatino"/>
        </w:rPr>
        <w:t>IAC</w:t>
      </w:r>
      <w:r>
        <w:rPr>
          <w:rFonts w:ascii="Palatino" w:hAnsi="Palatino"/>
        </w:rPr>
        <w:t xml:space="preserve"> 218 and 219, a material applied onto or impregnated into a substrate for protective, decorative, or functional purposes.  Such materials include, but are not limited to, paints, varnishes, sealers, adhesives, thinners, diluents, and inks.) operations (for example spray paint booths).  The limits are expressed in unit</w:t>
      </w:r>
      <w:r w:rsidR="005C52BA">
        <w:rPr>
          <w:rFonts w:ascii="Palatino" w:hAnsi="Palatino"/>
        </w:rPr>
        <w:t xml:space="preserve">s of Volatile Organic Material </w:t>
      </w:r>
      <w:r>
        <w:rPr>
          <w:rFonts w:ascii="Palatino" w:hAnsi="Palatino"/>
        </w:rPr>
        <w:t xml:space="preserve">per volume of coating as applied at each coating applicator.  Compliance with this Subpart is demonstrated through the applicable coating analysis test methods and procedures specified in Section 218.105(a) and the recordkeeping and reporting requirements specified in Section 218.211(c) except where noted.  </w:t>
      </w:r>
    </w:p>
    <w:p w14:paraId="0A7E606A" w14:textId="77777777" w:rsidR="00BF736A" w:rsidRDefault="00BF736A" w:rsidP="00BF736A">
      <w:pPr>
        <w:rPr>
          <w:rFonts w:ascii="Palatino" w:hAnsi="Palatino"/>
        </w:rPr>
      </w:pPr>
    </w:p>
    <w:p w14:paraId="2D457BFB" w14:textId="77777777" w:rsidR="00BF736A" w:rsidRDefault="00BF736A" w:rsidP="000241ED">
      <w:pPr>
        <w:pStyle w:val="Heading2"/>
      </w:pPr>
      <w:bookmarkStart w:id="13" w:name="_Toc46833425"/>
      <w:r>
        <w:rPr>
          <w:u w:val="single"/>
        </w:rPr>
        <w:t>Cold Cleaning</w:t>
      </w:r>
      <w:r>
        <w:t xml:space="preserve"> [35 IAC, Part 218, Subpart E]</w:t>
      </w:r>
      <w:bookmarkEnd w:id="13"/>
    </w:p>
    <w:p w14:paraId="5DB20BDF" w14:textId="7ABDA87B" w:rsidR="00BF736A" w:rsidRDefault="00BF736A" w:rsidP="00BF736A">
      <w:pPr>
        <w:rPr>
          <w:rFonts w:ascii="Palatino" w:hAnsi="Palatino"/>
        </w:rPr>
      </w:pPr>
      <w:r>
        <w:rPr>
          <w:rFonts w:ascii="Palatino" w:hAnsi="Palatino"/>
        </w:rPr>
        <w:t xml:space="preserve">These regulations limit the maximum vapor pressure of organic solvents that can be used in cold cleaning operations in the Chicago ozone nonattainment area (this includes Kane and DuPage counties where Fermilab is located).  As of March 15, 2001, no operation of a cold cleaning degreaser in the Chicago ozone nonattainment area can utilize a cleaner with a solvent vapor pressure that exceeds 1.0 </w:t>
      </w:r>
      <w:r w:rsidR="00813A3D">
        <w:rPr>
          <w:rFonts w:ascii="Palatino" w:hAnsi="Palatino"/>
        </w:rPr>
        <w:t>millimeters of mercury (</w:t>
      </w:r>
      <w:r>
        <w:rPr>
          <w:rFonts w:ascii="Palatino" w:hAnsi="Palatino"/>
        </w:rPr>
        <w:t>mm Hg</w:t>
      </w:r>
      <w:r w:rsidR="00813A3D">
        <w:rPr>
          <w:rFonts w:ascii="Palatino" w:hAnsi="Palatino"/>
        </w:rPr>
        <w:t>)</w:t>
      </w:r>
      <w:r>
        <w:rPr>
          <w:rFonts w:ascii="Palatino" w:hAnsi="Palatino"/>
        </w:rPr>
        <w:t xml:space="preserve"> (0.019 </w:t>
      </w:r>
      <w:r w:rsidR="00813A3D">
        <w:rPr>
          <w:rFonts w:ascii="Palatino" w:hAnsi="Palatino"/>
        </w:rPr>
        <w:t xml:space="preserve">pounds </w:t>
      </w:r>
      <w:r w:rsidR="00072599">
        <w:rPr>
          <w:rFonts w:ascii="Palatino" w:hAnsi="Palatino"/>
        </w:rPr>
        <w:t>(</w:t>
      </w:r>
      <w:proofErr w:type="spellStart"/>
      <w:r w:rsidR="00072599">
        <w:rPr>
          <w:rFonts w:ascii="Palatino" w:hAnsi="Palatino"/>
        </w:rPr>
        <w:t>lbs</w:t>
      </w:r>
      <w:proofErr w:type="spellEnd"/>
      <w:r w:rsidR="00072599">
        <w:rPr>
          <w:rFonts w:ascii="Palatino" w:hAnsi="Palatino"/>
        </w:rPr>
        <w:t xml:space="preserve">) </w:t>
      </w:r>
      <w:r w:rsidR="00813A3D">
        <w:rPr>
          <w:rFonts w:ascii="Palatino" w:hAnsi="Palatino"/>
        </w:rPr>
        <w:t>per square inch (</w:t>
      </w:r>
      <w:r>
        <w:rPr>
          <w:rFonts w:ascii="Palatino" w:hAnsi="Palatino"/>
        </w:rPr>
        <w:t>psi</w:t>
      </w:r>
      <w:r w:rsidR="00813A3D">
        <w:rPr>
          <w:rFonts w:ascii="Palatino" w:hAnsi="Palatino"/>
        </w:rPr>
        <w:t>)</w:t>
      </w:r>
      <w:r>
        <w:rPr>
          <w:rFonts w:ascii="Palatino" w:hAnsi="Palatino"/>
        </w:rPr>
        <w:t>) measured at 20</w:t>
      </w:r>
      <w:r w:rsidR="00813A3D">
        <w:rPr>
          <w:rFonts w:ascii="Palatino" w:hAnsi="Palatino"/>
        </w:rPr>
        <w:t xml:space="preserve"> degrees Celsius (</w:t>
      </w:r>
      <w:r>
        <w:rPr>
          <w:rFonts w:ascii="Palatino" w:hAnsi="Palatino"/>
        </w:rPr>
        <w:sym w:font="Symbol" w:char="F0B0"/>
      </w:r>
      <w:r>
        <w:rPr>
          <w:rFonts w:ascii="Palatino" w:hAnsi="Palatino"/>
        </w:rPr>
        <w:t>C</w:t>
      </w:r>
      <w:r w:rsidR="00813A3D">
        <w:rPr>
          <w:rFonts w:ascii="Palatino" w:hAnsi="Palatino"/>
        </w:rPr>
        <w:t>)</w:t>
      </w:r>
      <w:r>
        <w:rPr>
          <w:rFonts w:ascii="Palatino" w:hAnsi="Palatino"/>
        </w:rPr>
        <w:t xml:space="preserve"> (68</w:t>
      </w:r>
      <w:r w:rsidR="00813A3D">
        <w:rPr>
          <w:rFonts w:ascii="Palatino" w:hAnsi="Palatino"/>
        </w:rPr>
        <w:t xml:space="preserve"> degrees Fahrenheit (</w:t>
      </w:r>
      <w:r>
        <w:rPr>
          <w:rFonts w:ascii="Palatino" w:hAnsi="Palatino"/>
        </w:rPr>
        <w:sym w:font="Symbol" w:char="F0B0"/>
      </w:r>
      <w:r>
        <w:rPr>
          <w:rFonts w:ascii="Palatino" w:hAnsi="Palatino"/>
        </w:rPr>
        <w:t>F</w:t>
      </w:r>
      <w:r w:rsidR="00813A3D">
        <w:rPr>
          <w:rFonts w:ascii="Palatino" w:hAnsi="Palatino"/>
        </w:rPr>
        <w:t>)</w:t>
      </w:r>
      <w:r>
        <w:rPr>
          <w:rFonts w:ascii="Palatino" w:hAnsi="Palatino"/>
        </w:rPr>
        <w:t>).  All persons subject to the above requirement must retain for three years records that include for each purpose:  1) name and address of solvent supplier; 2) date of purchase; 3) type of solvent; and 4) vapor pressure of solvent measured at 20</w:t>
      </w:r>
      <w:r>
        <w:rPr>
          <w:rFonts w:ascii="Palatino" w:hAnsi="Palatino"/>
        </w:rPr>
        <w:sym w:font="Symbol" w:char="F0B0"/>
      </w:r>
      <w:r>
        <w:rPr>
          <w:rFonts w:ascii="Palatino" w:hAnsi="Palatino"/>
        </w:rPr>
        <w:t>C (68</w:t>
      </w:r>
      <w:r>
        <w:rPr>
          <w:rFonts w:ascii="Palatino" w:hAnsi="Palatino"/>
        </w:rPr>
        <w:sym w:font="Symbol" w:char="F0B0"/>
      </w:r>
      <w:r>
        <w:rPr>
          <w:rFonts w:ascii="Palatino" w:hAnsi="Palatino"/>
        </w:rPr>
        <w:t>F).  The cleaning of electronic components is exempt from these requirements, and wipe cleaning is not included in the definition of cold cleaning.</w:t>
      </w:r>
    </w:p>
    <w:p w14:paraId="127E52FD" w14:textId="77777777" w:rsidR="00BF736A" w:rsidRDefault="00BF736A" w:rsidP="00BF736A">
      <w:pPr>
        <w:rPr>
          <w:rFonts w:ascii="Palatino" w:hAnsi="Palatino"/>
        </w:rPr>
      </w:pPr>
    </w:p>
    <w:p w14:paraId="134279BF" w14:textId="77777777" w:rsidR="00BF736A" w:rsidRDefault="00BF736A" w:rsidP="000241ED">
      <w:pPr>
        <w:pStyle w:val="Heading2"/>
      </w:pPr>
      <w:bookmarkStart w:id="14" w:name="_Toc46833426"/>
      <w:r>
        <w:rPr>
          <w:u w:val="single"/>
        </w:rPr>
        <w:t>Criteria Pollutants</w:t>
      </w:r>
      <w:r>
        <w:t xml:space="preserve"> [35 IAC Subtitle B; 40 CFR 50]</w:t>
      </w:r>
      <w:bookmarkEnd w:id="14"/>
    </w:p>
    <w:p w14:paraId="784552F3" w14:textId="4F2BEA99" w:rsidR="00BF736A" w:rsidRDefault="00BF736A" w:rsidP="00BF736A">
      <w:pPr>
        <w:rPr>
          <w:rFonts w:ascii="Palatino" w:hAnsi="Palatino"/>
        </w:rPr>
      </w:pPr>
      <w:r>
        <w:rPr>
          <w:rFonts w:ascii="Palatino" w:hAnsi="Palatino"/>
        </w:rPr>
        <w:t>Fermilab has a number of sources (magnet debonding oven,</w:t>
      </w:r>
      <w:r w:rsidR="00813A3D">
        <w:rPr>
          <w:rFonts w:ascii="Palatino" w:hAnsi="Palatino"/>
        </w:rPr>
        <w:t xml:space="preserve"> Central Utility Building</w:t>
      </w:r>
      <w:r w:rsidR="00D717CD">
        <w:rPr>
          <w:rFonts w:ascii="Palatino" w:hAnsi="Palatino"/>
        </w:rPr>
        <w:t xml:space="preserve"> </w:t>
      </w:r>
      <w:r>
        <w:rPr>
          <w:rFonts w:ascii="Palatino" w:hAnsi="Palatino"/>
        </w:rPr>
        <w:t xml:space="preserve">boilers, gasoline dispensing facility, radionuclide emissions stacks) of criteria pollutants (sulfur </w:t>
      </w:r>
      <w:r>
        <w:rPr>
          <w:rFonts w:ascii="Palatino" w:hAnsi="Palatino"/>
        </w:rPr>
        <w:lastRenderedPageBreak/>
        <w:t>dioxide, carbon monoxide, nitrogen dioxide, lead, ozone, and particulate matter).  IEPA regulations establish limits for criteria pollutants and enforce these limits through a permit system</w:t>
      </w:r>
      <w:r w:rsidR="00D717CD">
        <w:rPr>
          <w:rFonts w:ascii="Palatino" w:hAnsi="Palatino"/>
        </w:rPr>
        <w:t>, including ROSS</w:t>
      </w:r>
      <w:r>
        <w:rPr>
          <w:rFonts w:ascii="Palatino" w:hAnsi="Palatino"/>
        </w:rPr>
        <w:t xml:space="preserve">.  </w:t>
      </w:r>
      <w:r w:rsidR="00D717CD">
        <w:rPr>
          <w:rFonts w:ascii="Palatino" w:hAnsi="Palatino"/>
        </w:rPr>
        <w:t>Appendix D includes</w:t>
      </w:r>
      <w:r>
        <w:rPr>
          <w:rFonts w:ascii="Palatino" w:hAnsi="Palatino"/>
        </w:rPr>
        <w:t xml:space="preserve"> limits for all </w:t>
      </w:r>
      <w:r w:rsidR="00D717CD">
        <w:rPr>
          <w:rFonts w:ascii="Palatino" w:hAnsi="Palatino"/>
        </w:rPr>
        <w:t xml:space="preserve">non-exempt </w:t>
      </w:r>
      <w:r>
        <w:rPr>
          <w:rFonts w:ascii="Palatino" w:hAnsi="Palatino"/>
        </w:rPr>
        <w:t>criteria pollutant sources on site.</w:t>
      </w:r>
    </w:p>
    <w:p w14:paraId="168C27D2" w14:textId="77777777" w:rsidR="00BF736A" w:rsidRDefault="00BF736A" w:rsidP="00BF736A">
      <w:pPr>
        <w:rPr>
          <w:rFonts w:ascii="Palatino" w:hAnsi="Palatino"/>
        </w:rPr>
      </w:pPr>
    </w:p>
    <w:p w14:paraId="19E05A5D" w14:textId="77777777" w:rsidR="00BF736A" w:rsidRDefault="00BF736A" w:rsidP="000241ED">
      <w:pPr>
        <w:pStyle w:val="Heading2"/>
      </w:pPr>
      <w:bookmarkStart w:id="15" w:name="_Toc46833427"/>
      <w:r>
        <w:rPr>
          <w:u w:val="single"/>
        </w:rPr>
        <w:t>Fleet Vehicles</w:t>
      </w:r>
      <w:r>
        <w:t xml:space="preserve"> [35 IAC Part 241]</w:t>
      </w:r>
      <w:bookmarkEnd w:id="15"/>
    </w:p>
    <w:p w14:paraId="4EF768AB" w14:textId="77777777" w:rsidR="00BF736A" w:rsidRDefault="00BF736A" w:rsidP="00BF736A">
      <w:pPr>
        <w:rPr>
          <w:rFonts w:ascii="Palatino" w:hAnsi="Palatino"/>
        </w:rPr>
      </w:pPr>
      <w:r>
        <w:rPr>
          <w:rFonts w:ascii="Palatino" w:hAnsi="Palatino"/>
        </w:rPr>
        <w:t xml:space="preserve">IEPA requires that a specified percentage of all annually acquired light duty and heavy-duty vehicles (including leasing) be clean fuel fleet certified.  Some vehicles are exempted from meeting the percentage, but all must be reported to IEPA on an annual basis.  These regulations apply only to fleets based in the </w:t>
      </w:r>
      <w:smartTag w:uri="urn:schemas-microsoft-com:office:smarttags" w:element="place">
        <w:smartTag w:uri="urn:schemas-microsoft-com:office:smarttags" w:element="City">
          <w:r>
            <w:rPr>
              <w:rFonts w:ascii="Palatino" w:hAnsi="Palatino"/>
            </w:rPr>
            <w:t>Chicago</w:t>
          </w:r>
        </w:smartTag>
      </w:smartTag>
      <w:r>
        <w:rPr>
          <w:rFonts w:ascii="Palatino" w:hAnsi="Palatino"/>
        </w:rPr>
        <w:t xml:space="preserve"> ozone nonattainment area (this includes Kane and DuPage counties where Fermilab is located).</w:t>
      </w:r>
    </w:p>
    <w:p w14:paraId="04773B85" w14:textId="77777777" w:rsidR="00BF736A" w:rsidRDefault="00BF736A" w:rsidP="00BF736A">
      <w:pPr>
        <w:rPr>
          <w:rFonts w:ascii="Palatino" w:hAnsi="Palatino"/>
        </w:rPr>
      </w:pPr>
    </w:p>
    <w:p w14:paraId="6D331729" w14:textId="77777777" w:rsidR="00BF736A" w:rsidRDefault="00BF736A" w:rsidP="000241ED">
      <w:pPr>
        <w:pStyle w:val="Heading2"/>
      </w:pPr>
      <w:bookmarkStart w:id="16" w:name="_Toc46833428"/>
      <w:r>
        <w:rPr>
          <w:u w:val="single"/>
        </w:rPr>
        <w:t>Hazardous Air Pollutants (HAPs)</w:t>
      </w:r>
      <w:r>
        <w:t xml:space="preserve"> [35 IAC Subtitle B; 40 CFR 61]</w:t>
      </w:r>
      <w:bookmarkEnd w:id="16"/>
    </w:p>
    <w:p w14:paraId="5C0C626D" w14:textId="77777777" w:rsidR="00BF736A" w:rsidRDefault="00BF736A" w:rsidP="00BF736A">
      <w:pPr>
        <w:rPr>
          <w:rFonts w:ascii="Palatino" w:hAnsi="Palatino"/>
        </w:rPr>
      </w:pPr>
      <w:r>
        <w:rPr>
          <w:rFonts w:ascii="Palatino" w:hAnsi="Palatino"/>
        </w:rPr>
        <w:t>Fermilab has a few sources (radionuclide emission stacks, magnet debonding oven) of HAPs (radionuclides).  Emission limits on these sources are also regulated by permit (see Radionuclides below) for Fermilab.  The Clean Air Act requires the EPA to establish a National Emission Standard (NES) for each HAP, referred to as NESHAP.</w:t>
      </w:r>
    </w:p>
    <w:p w14:paraId="7B549DAE" w14:textId="438C80A1" w:rsidR="00BF736A" w:rsidRDefault="00BF736A" w:rsidP="002F3915">
      <w:pPr>
        <w:pStyle w:val="Footer"/>
        <w:rPr>
          <w:rFonts w:ascii="Palatino" w:hAnsi="Palatino"/>
        </w:rPr>
      </w:pPr>
      <w:r>
        <w:rPr>
          <w:rFonts w:ascii="Palatino" w:hAnsi="Palatino"/>
        </w:rPr>
        <w:t xml:space="preserve"> </w:t>
      </w:r>
    </w:p>
    <w:p w14:paraId="35704092" w14:textId="2806BE8E" w:rsidR="00BF736A" w:rsidRDefault="00BF736A" w:rsidP="000241ED">
      <w:pPr>
        <w:pStyle w:val="Heading2"/>
      </w:pPr>
      <w:bookmarkStart w:id="17" w:name="_Toc46833429"/>
      <w:r w:rsidRPr="00F7058B">
        <w:rPr>
          <w:u w:val="single"/>
        </w:rPr>
        <w:t xml:space="preserve">Ozone Depleting Substances </w:t>
      </w:r>
      <w:r>
        <w:t xml:space="preserve"> [40 CFR 82]</w:t>
      </w:r>
      <w:bookmarkEnd w:id="17"/>
    </w:p>
    <w:p w14:paraId="2E69E081" w14:textId="07C0870F" w:rsidR="00BF736A" w:rsidRDefault="00BF736A" w:rsidP="00BF736A">
      <w:pPr>
        <w:rPr>
          <w:rFonts w:ascii="Palatino" w:hAnsi="Palatino"/>
        </w:rPr>
      </w:pPr>
      <w:r>
        <w:rPr>
          <w:rFonts w:ascii="Palatino" w:hAnsi="Palatino"/>
        </w:rPr>
        <w:t>These regulations cover federal procurement, usage, labeling, recycling, and alternatives for chemicals designated by EPA as contributing to the destruction of stratospheric ozone.  They also require that all chillers, air conditioners (including mobile source units) and other refrigeration units be serviced by EPA-certified technical personnel.  In addition, these regulations cover annual leak rate limitations and associated repair/replacement requirements.</w:t>
      </w:r>
    </w:p>
    <w:p w14:paraId="6D4A7B78" w14:textId="2B25FD1C" w:rsidR="001C31F8" w:rsidRDefault="001C31F8" w:rsidP="00BF736A">
      <w:pPr>
        <w:rPr>
          <w:rFonts w:ascii="Palatino" w:hAnsi="Palatino"/>
        </w:rPr>
      </w:pPr>
    </w:p>
    <w:p w14:paraId="555F203A" w14:textId="6CFE87E2" w:rsidR="001C31F8" w:rsidRDefault="00D71D5C" w:rsidP="00BF736A">
      <w:pPr>
        <w:rPr>
          <w:rFonts w:ascii="Palatino" w:hAnsi="Palatino"/>
        </w:rPr>
      </w:pPr>
      <w:r>
        <w:rPr>
          <w:rFonts w:ascii="Palatino" w:hAnsi="Palatino"/>
        </w:rPr>
        <w:t xml:space="preserve">See FESHM 8081 </w:t>
      </w:r>
      <w:r w:rsidR="00813A3D">
        <w:rPr>
          <w:rFonts w:ascii="Palatino" w:hAnsi="Palatino"/>
        </w:rPr>
        <w:t xml:space="preserve">Refrigerant Management </w:t>
      </w:r>
      <w:r>
        <w:rPr>
          <w:rFonts w:ascii="Palatino" w:hAnsi="Palatino"/>
        </w:rPr>
        <w:t>for guidance on Ozone Depleting Substances.</w:t>
      </w:r>
    </w:p>
    <w:p w14:paraId="54C3A29F" w14:textId="77777777" w:rsidR="00BF736A" w:rsidRDefault="00BF736A" w:rsidP="00BF736A">
      <w:pPr>
        <w:rPr>
          <w:rFonts w:ascii="Palatino" w:hAnsi="Palatino"/>
        </w:rPr>
      </w:pPr>
    </w:p>
    <w:p w14:paraId="70428580" w14:textId="77777777" w:rsidR="00BF736A" w:rsidRDefault="00BF736A" w:rsidP="000241ED">
      <w:pPr>
        <w:pStyle w:val="Heading2"/>
      </w:pPr>
      <w:bookmarkStart w:id="18" w:name="_Toc46833430"/>
      <w:r>
        <w:rPr>
          <w:u w:val="single"/>
        </w:rPr>
        <w:t>Radionuclide</w:t>
      </w:r>
      <w:r>
        <w:t xml:space="preserve"> [35 IAC Subtitle B; 40 CFR 61, Subpart H]</w:t>
      </w:r>
      <w:bookmarkEnd w:id="18"/>
    </w:p>
    <w:p w14:paraId="4308743D" w14:textId="5AE4F27D" w:rsidR="00BF736A" w:rsidRDefault="00BF736A" w:rsidP="00BF736A">
      <w:pPr>
        <w:rPr>
          <w:rFonts w:ascii="Palatino" w:hAnsi="Palatino"/>
        </w:rPr>
      </w:pPr>
      <w:r>
        <w:rPr>
          <w:rFonts w:ascii="Palatino" w:hAnsi="Palatino"/>
        </w:rPr>
        <w:t xml:space="preserve">The NESHAP regulation establishes standards for radionuclide emissions (other than point sources of radon-220 and –222) from DOE facilities and imposes monitoring, reporting, and record keeping requirements.  The NESHAP regulation limits the effective dose equivalent (EDE) </w:t>
      </w:r>
      <w:r w:rsidR="003714BC">
        <w:rPr>
          <w:rFonts w:ascii="Palatino" w:hAnsi="Palatino"/>
        </w:rPr>
        <w:t xml:space="preserve">of </w:t>
      </w:r>
      <w:r>
        <w:rPr>
          <w:rFonts w:ascii="Palatino" w:hAnsi="Palatino"/>
        </w:rPr>
        <w:t xml:space="preserve">the maximally exposed member of the public due to radionuclide emissions from all sources to 10 </w:t>
      </w:r>
      <w:r w:rsidR="00813A3D">
        <w:rPr>
          <w:rFonts w:ascii="Palatino" w:hAnsi="Palatino"/>
        </w:rPr>
        <w:t>millirem (</w:t>
      </w:r>
      <w:r>
        <w:rPr>
          <w:rFonts w:ascii="Palatino" w:hAnsi="Palatino"/>
        </w:rPr>
        <w:t>mrem</w:t>
      </w:r>
      <w:r w:rsidR="00813A3D">
        <w:rPr>
          <w:rFonts w:ascii="Palatino" w:hAnsi="Palatino"/>
        </w:rPr>
        <w:t>)</w:t>
      </w:r>
      <w:r>
        <w:rPr>
          <w:rFonts w:ascii="Palatino" w:hAnsi="Palatino"/>
        </w:rPr>
        <w:t>/year and requires a continuous monitoring of any stack that has the potential to produce an EDE of 0.1 mrem/year.  In addition, Fermilab has an internal policy that requires air emissions to be maintained as low a</w:t>
      </w:r>
      <w:r w:rsidR="00813A3D">
        <w:rPr>
          <w:rFonts w:ascii="Palatino" w:hAnsi="Palatino"/>
        </w:rPr>
        <w:t xml:space="preserve">s reasonably achievable </w:t>
      </w:r>
      <w:r>
        <w:rPr>
          <w:rFonts w:ascii="Palatino" w:hAnsi="Palatino"/>
        </w:rPr>
        <w:t xml:space="preserve">and has set an internal goal of 1 mrem/year </w:t>
      </w:r>
      <w:r w:rsidR="003714BC">
        <w:rPr>
          <w:rFonts w:ascii="Palatino" w:hAnsi="Palatino"/>
        </w:rPr>
        <w:t xml:space="preserve">of </w:t>
      </w:r>
      <w:r>
        <w:rPr>
          <w:rFonts w:ascii="Palatino" w:hAnsi="Palatino"/>
        </w:rPr>
        <w:t xml:space="preserve">the maximally exposed individual.  Fermilab is responsible for the measurement of annual radionuclide emissions.  The computer simulation model </w:t>
      </w:r>
      <w:r w:rsidR="00813A3D">
        <w:rPr>
          <w:rFonts w:ascii="Palatino" w:hAnsi="Palatino"/>
        </w:rPr>
        <w:t xml:space="preserve">CAA Assessment Package </w:t>
      </w:r>
      <w:r>
        <w:rPr>
          <w:rFonts w:ascii="Palatino" w:hAnsi="Palatino"/>
        </w:rPr>
        <w:t>88PC is used to calculate the dose.</w:t>
      </w:r>
    </w:p>
    <w:p w14:paraId="36602200" w14:textId="77777777" w:rsidR="00BF736A" w:rsidRDefault="00BF736A" w:rsidP="00BF736A">
      <w:pPr>
        <w:rPr>
          <w:rFonts w:ascii="Palatino" w:hAnsi="Palatino"/>
        </w:rPr>
      </w:pPr>
    </w:p>
    <w:p w14:paraId="21052BAD" w14:textId="77777777" w:rsidR="00BF736A" w:rsidRDefault="00BF736A" w:rsidP="000241ED">
      <w:pPr>
        <w:pStyle w:val="Heading2"/>
      </w:pPr>
      <w:bookmarkStart w:id="19" w:name="_Toc46833431"/>
      <w:r w:rsidRPr="00F7058B">
        <w:rPr>
          <w:u w:val="single"/>
        </w:rPr>
        <w:lastRenderedPageBreak/>
        <w:t>Toxic or Flammable Substances</w:t>
      </w:r>
      <w:r>
        <w:t xml:space="preserve"> [40 CFR Part 68]</w:t>
      </w:r>
      <w:bookmarkEnd w:id="19"/>
      <w:r>
        <w:t xml:space="preserve">  </w:t>
      </w:r>
    </w:p>
    <w:p w14:paraId="069DE59B" w14:textId="563BFB69" w:rsidR="00BF736A" w:rsidRDefault="00BF736A" w:rsidP="00BF736A">
      <w:pPr>
        <w:rPr>
          <w:rFonts w:ascii="Palatino" w:hAnsi="Palatino"/>
        </w:rPr>
      </w:pPr>
      <w:r>
        <w:rPr>
          <w:rFonts w:ascii="Palatino" w:hAnsi="Palatino"/>
        </w:rPr>
        <w:t>The Clean Air Act Section 112(r) requires that any process containing toxic or flammable substance on t</w:t>
      </w:r>
      <w:r w:rsidR="00813A3D">
        <w:rPr>
          <w:rFonts w:ascii="Palatino" w:hAnsi="Palatino"/>
        </w:rPr>
        <w:t>h</w:t>
      </w:r>
      <w:r>
        <w:rPr>
          <w:rFonts w:ascii="Palatino" w:hAnsi="Palatino"/>
        </w:rPr>
        <w:t>e 112(r) list (substances are listed at 40 CFR Part 68, Subpart F, Section 68.130) that exceeds the specified threshold to have a Risk Management Plan (RMP) on file with IEPA.  The RMP must be on file prior to establishing a process with a listed substance on site.</w:t>
      </w:r>
      <w:r w:rsidR="00C43173">
        <w:rPr>
          <w:rFonts w:ascii="Palatino" w:hAnsi="Palatino"/>
        </w:rPr>
        <w:t xml:space="preserve">  At the time of this chapter, Fermilab does not exceed the thresholds requiring a RMP.</w:t>
      </w:r>
    </w:p>
    <w:p w14:paraId="727E10B2" w14:textId="77777777" w:rsidR="00C704B6" w:rsidRDefault="00BF736A" w:rsidP="000241ED">
      <w:pPr>
        <w:pStyle w:val="Heading2"/>
        <w:keepNext w:val="0"/>
        <w:numPr>
          <w:ilvl w:val="0"/>
          <w:numId w:val="0"/>
        </w:numPr>
        <w:ind w:left="504"/>
      </w:pPr>
      <w:r>
        <w:rPr>
          <w:rFonts w:ascii="Palatino" w:hAnsi="Palatino"/>
        </w:rPr>
        <w:br w:type="page"/>
      </w:r>
    </w:p>
    <w:p w14:paraId="69536F01" w14:textId="06A47CEB" w:rsidR="00F86384" w:rsidRDefault="007D34F9" w:rsidP="00C704B6">
      <w:pPr>
        <w:pStyle w:val="Heading1"/>
      </w:pPr>
      <w:bookmarkStart w:id="20" w:name="_Toc46833432"/>
      <w:r>
        <w:lastRenderedPageBreak/>
        <w:t xml:space="preserve">APPENDIX </w:t>
      </w:r>
      <w:r w:rsidR="000241ED">
        <w:t>B</w:t>
      </w:r>
      <w:bookmarkEnd w:id="20"/>
    </w:p>
    <w:p w14:paraId="40D65A65" w14:textId="77777777" w:rsidR="00F86384" w:rsidRDefault="00F86384" w:rsidP="00F86384">
      <w:pPr>
        <w:ind w:right="36"/>
        <w:rPr>
          <w:rFonts w:ascii="Palatino" w:hAnsi="Palatino"/>
          <w:color w:val="000000"/>
        </w:rPr>
      </w:pPr>
    </w:p>
    <w:p w14:paraId="7A56B725" w14:textId="77777777" w:rsidR="00BF736A" w:rsidRDefault="00BF736A" w:rsidP="000241ED">
      <w:pPr>
        <w:pStyle w:val="Heading2"/>
      </w:pPr>
      <w:bookmarkStart w:id="21" w:name="_Toc46833433"/>
      <w:r>
        <w:t>Exemptions from State Permitting Requirements</w:t>
      </w:r>
      <w:bookmarkEnd w:id="21"/>
    </w:p>
    <w:p w14:paraId="6BBCFA34" w14:textId="77777777" w:rsidR="00BF736A" w:rsidRDefault="00BF736A" w:rsidP="00BF736A">
      <w:pPr>
        <w:jc w:val="center"/>
        <w:rPr>
          <w:rFonts w:ascii="Palatino" w:hAnsi="Palatino"/>
          <w:b/>
          <w:bCs/>
        </w:rPr>
      </w:pPr>
      <w:r>
        <w:rPr>
          <w:rFonts w:ascii="Palatino" w:hAnsi="Palatino"/>
          <w:b/>
          <w:bCs/>
        </w:rPr>
        <w:t>(Title 35 IAC, Subtitle B, Chapter I, Subchapter a, Part 201, Subpart C, Section 201.146)</w:t>
      </w:r>
    </w:p>
    <w:p w14:paraId="4BD78F28" w14:textId="77777777" w:rsidR="00BF736A" w:rsidRDefault="00BF736A" w:rsidP="00BF736A">
      <w:pPr>
        <w:jc w:val="center"/>
        <w:rPr>
          <w:rFonts w:ascii="Palatino" w:hAnsi="Palatino"/>
          <w:b/>
          <w:bCs/>
        </w:rPr>
      </w:pPr>
    </w:p>
    <w:p w14:paraId="279BCB86" w14:textId="07434E1F" w:rsidR="00BF736A" w:rsidRDefault="00BF736A" w:rsidP="00813A36">
      <w:pPr>
        <w:jc w:val="left"/>
        <w:rPr>
          <w:rStyle w:val="Hyperlink"/>
          <w:rFonts w:ascii="Palatino" w:hAnsi="Palatino"/>
          <w:b/>
        </w:rPr>
      </w:pPr>
      <w:r>
        <w:rPr>
          <w:rFonts w:ascii="Palatino" w:hAnsi="Palatino"/>
        </w:rPr>
        <w:t xml:space="preserve">Construction or operating permits are not required for the classes of equipment and activities listed </w:t>
      </w:r>
      <w:r w:rsidR="007D34F9">
        <w:rPr>
          <w:rFonts w:ascii="Palatino" w:hAnsi="Palatino"/>
        </w:rPr>
        <w:t xml:space="preserve">in the link </w:t>
      </w:r>
      <w:r>
        <w:rPr>
          <w:rFonts w:ascii="Palatino" w:hAnsi="Palatino"/>
        </w:rPr>
        <w:t xml:space="preserve">below.  </w:t>
      </w:r>
      <w:r w:rsidRPr="006F634F">
        <w:rPr>
          <w:rFonts w:ascii="Palatino" w:hAnsi="Palatino"/>
          <w:b/>
        </w:rPr>
        <w:t>The permitting exemptions in this Section do not relieve the owner or operator of any source from any obligation to comply with any other applicable requirements:</w:t>
      </w:r>
      <w:r w:rsidR="00D717CD">
        <w:rPr>
          <w:rFonts w:ascii="Palatino" w:hAnsi="Palatino"/>
          <w:b/>
        </w:rPr>
        <w:t xml:space="preserve">  </w:t>
      </w:r>
      <w:hyperlink r:id="rId12" w:history="1">
        <w:r w:rsidR="00B527FA" w:rsidRPr="00816817">
          <w:rPr>
            <w:rStyle w:val="Hyperlink"/>
            <w:rFonts w:ascii="Palatino" w:hAnsi="Palatino"/>
            <w:b/>
          </w:rPr>
          <w:t>ftp://www.ilga.gov/JCAR/AdminCode/035/035002010C01460R.html</w:t>
        </w:r>
      </w:hyperlink>
    </w:p>
    <w:p w14:paraId="5F00E0D3" w14:textId="77777777" w:rsidR="007D34F9" w:rsidRDefault="007D34F9" w:rsidP="00813A36">
      <w:pPr>
        <w:jc w:val="left"/>
        <w:rPr>
          <w:rStyle w:val="Hyperlink"/>
          <w:rFonts w:ascii="Palatino" w:hAnsi="Palatino"/>
          <w:b/>
        </w:rPr>
      </w:pPr>
    </w:p>
    <w:p w14:paraId="72AC1181" w14:textId="77777777" w:rsidR="000B05A8" w:rsidRDefault="000B05A8" w:rsidP="00BF736A">
      <w:pPr>
        <w:rPr>
          <w:rFonts w:ascii="Palatino" w:hAnsi="Palatino"/>
          <w:b/>
        </w:rPr>
      </w:pPr>
    </w:p>
    <w:p w14:paraId="0FC5E1FF" w14:textId="77777777" w:rsidR="00DF1A2C" w:rsidRDefault="00DF1A2C" w:rsidP="00BF736A">
      <w:pPr>
        <w:rPr>
          <w:rFonts w:ascii="Palatino" w:hAnsi="Palatino"/>
          <w:b/>
        </w:rPr>
      </w:pPr>
    </w:p>
    <w:p w14:paraId="4B6982AE" w14:textId="77777777" w:rsidR="00DF1A2C" w:rsidRDefault="00DF1A2C" w:rsidP="00BF736A">
      <w:pPr>
        <w:rPr>
          <w:rFonts w:ascii="Palatino" w:hAnsi="Palatino"/>
          <w:b/>
        </w:rPr>
      </w:pPr>
    </w:p>
    <w:p w14:paraId="61BA750B" w14:textId="77777777" w:rsidR="00DF1A2C" w:rsidRDefault="00DF1A2C" w:rsidP="00BF736A">
      <w:pPr>
        <w:rPr>
          <w:rFonts w:ascii="Palatino" w:hAnsi="Palatino"/>
          <w:b/>
        </w:rPr>
      </w:pPr>
    </w:p>
    <w:p w14:paraId="627ABDEE" w14:textId="77777777" w:rsidR="00DF1A2C" w:rsidRDefault="00DF1A2C" w:rsidP="00BF736A">
      <w:pPr>
        <w:rPr>
          <w:rFonts w:ascii="Palatino" w:hAnsi="Palatino"/>
          <w:b/>
        </w:rPr>
      </w:pPr>
    </w:p>
    <w:p w14:paraId="2182BDDE" w14:textId="77777777" w:rsidR="00DF1A2C" w:rsidRDefault="00DF1A2C" w:rsidP="00BF736A">
      <w:pPr>
        <w:rPr>
          <w:rFonts w:ascii="Palatino" w:hAnsi="Palatino"/>
          <w:b/>
        </w:rPr>
      </w:pPr>
    </w:p>
    <w:p w14:paraId="17CCF798" w14:textId="77777777" w:rsidR="00DF1A2C" w:rsidRDefault="00DF1A2C" w:rsidP="00BF736A">
      <w:pPr>
        <w:rPr>
          <w:rFonts w:ascii="Palatino" w:hAnsi="Palatino"/>
          <w:b/>
        </w:rPr>
      </w:pPr>
    </w:p>
    <w:p w14:paraId="2D816137" w14:textId="77777777" w:rsidR="00DF1A2C" w:rsidRDefault="00DF1A2C" w:rsidP="00BF736A">
      <w:pPr>
        <w:rPr>
          <w:rFonts w:ascii="Palatino" w:hAnsi="Palatino"/>
          <w:b/>
        </w:rPr>
      </w:pPr>
    </w:p>
    <w:p w14:paraId="67B612D6" w14:textId="77777777" w:rsidR="00DF1A2C" w:rsidRDefault="00DF1A2C" w:rsidP="00BF736A">
      <w:pPr>
        <w:rPr>
          <w:rFonts w:ascii="Palatino" w:hAnsi="Palatino"/>
          <w:b/>
        </w:rPr>
      </w:pPr>
    </w:p>
    <w:p w14:paraId="09721988" w14:textId="77777777" w:rsidR="00DF1A2C" w:rsidRDefault="00DF1A2C" w:rsidP="00BF736A">
      <w:pPr>
        <w:rPr>
          <w:rFonts w:ascii="Palatino" w:hAnsi="Palatino"/>
          <w:b/>
        </w:rPr>
      </w:pPr>
    </w:p>
    <w:p w14:paraId="17FEEFB1" w14:textId="77777777" w:rsidR="00DF1A2C" w:rsidRDefault="00DF1A2C" w:rsidP="00BF736A">
      <w:pPr>
        <w:rPr>
          <w:rFonts w:ascii="Palatino" w:hAnsi="Palatino"/>
          <w:b/>
        </w:rPr>
      </w:pPr>
    </w:p>
    <w:p w14:paraId="4BF8B580" w14:textId="77777777" w:rsidR="00DF1A2C" w:rsidRDefault="00DF1A2C" w:rsidP="00BF736A">
      <w:pPr>
        <w:rPr>
          <w:rFonts w:ascii="Palatino" w:hAnsi="Palatino"/>
          <w:b/>
        </w:rPr>
      </w:pPr>
    </w:p>
    <w:p w14:paraId="68A8158E" w14:textId="77777777" w:rsidR="00DF1A2C" w:rsidRDefault="00DF1A2C" w:rsidP="00BF736A">
      <w:pPr>
        <w:rPr>
          <w:rFonts w:ascii="Palatino" w:hAnsi="Palatino"/>
          <w:b/>
        </w:rPr>
      </w:pPr>
    </w:p>
    <w:p w14:paraId="31D659FA" w14:textId="77777777" w:rsidR="00DF1A2C" w:rsidRDefault="00DF1A2C" w:rsidP="00BF736A">
      <w:pPr>
        <w:rPr>
          <w:rFonts w:ascii="Palatino" w:hAnsi="Palatino"/>
          <w:b/>
        </w:rPr>
      </w:pPr>
    </w:p>
    <w:p w14:paraId="0B1879A2" w14:textId="77777777" w:rsidR="00DF1A2C" w:rsidRDefault="00DF1A2C" w:rsidP="00BF736A">
      <w:pPr>
        <w:rPr>
          <w:rFonts w:ascii="Palatino" w:hAnsi="Palatino"/>
          <w:b/>
        </w:rPr>
      </w:pPr>
    </w:p>
    <w:p w14:paraId="75BEF4A4" w14:textId="77777777" w:rsidR="00DF1A2C" w:rsidRDefault="00DF1A2C" w:rsidP="00BF736A">
      <w:pPr>
        <w:rPr>
          <w:rFonts w:ascii="Palatino" w:hAnsi="Palatino"/>
          <w:b/>
        </w:rPr>
      </w:pPr>
    </w:p>
    <w:p w14:paraId="42EFE9D3" w14:textId="77777777" w:rsidR="00DF1A2C" w:rsidRDefault="00DF1A2C" w:rsidP="00BF736A">
      <w:pPr>
        <w:rPr>
          <w:rFonts w:ascii="Palatino" w:hAnsi="Palatino"/>
          <w:b/>
        </w:rPr>
      </w:pPr>
    </w:p>
    <w:p w14:paraId="7326CAB4" w14:textId="77777777" w:rsidR="00DF1A2C" w:rsidRDefault="00DF1A2C" w:rsidP="00BF736A">
      <w:pPr>
        <w:rPr>
          <w:rFonts w:ascii="Palatino" w:hAnsi="Palatino"/>
          <w:b/>
        </w:rPr>
      </w:pPr>
    </w:p>
    <w:p w14:paraId="7728D1B1" w14:textId="77777777" w:rsidR="00DF1A2C" w:rsidRDefault="00DF1A2C" w:rsidP="00BF736A">
      <w:pPr>
        <w:rPr>
          <w:rFonts w:ascii="Palatino" w:hAnsi="Palatino"/>
          <w:b/>
        </w:rPr>
      </w:pPr>
    </w:p>
    <w:p w14:paraId="57139BF5" w14:textId="77777777" w:rsidR="00DF1A2C" w:rsidRDefault="00DF1A2C" w:rsidP="00BF736A">
      <w:pPr>
        <w:rPr>
          <w:rFonts w:ascii="Palatino" w:hAnsi="Palatino"/>
          <w:b/>
        </w:rPr>
      </w:pPr>
    </w:p>
    <w:p w14:paraId="6A2DBDD6" w14:textId="77777777" w:rsidR="00DF1A2C" w:rsidRDefault="00DF1A2C" w:rsidP="00BF736A">
      <w:pPr>
        <w:rPr>
          <w:rFonts w:ascii="Palatino" w:hAnsi="Palatino"/>
          <w:b/>
        </w:rPr>
      </w:pPr>
    </w:p>
    <w:p w14:paraId="2C6EF4A5" w14:textId="77777777" w:rsidR="00DF1A2C" w:rsidRDefault="00DF1A2C" w:rsidP="00BF736A">
      <w:pPr>
        <w:rPr>
          <w:rFonts w:ascii="Palatino" w:hAnsi="Palatino"/>
          <w:b/>
        </w:rPr>
      </w:pPr>
    </w:p>
    <w:p w14:paraId="5CFC7163" w14:textId="77777777" w:rsidR="00DF1A2C" w:rsidRDefault="00DF1A2C" w:rsidP="00BF736A">
      <w:pPr>
        <w:rPr>
          <w:rFonts w:ascii="Palatino" w:hAnsi="Palatino"/>
          <w:b/>
        </w:rPr>
      </w:pPr>
    </w:p>
    <w:p w14:paraId="553CB0D3" w14:textId="77777777" w:rsidR="00DF1A2C" w:rsidRDefault="00DF1A2C" w:rsidP="00BF736A">
      <w:pPr>
        <w:rPr>
          <w:rFonts w:ascii="Palatino" w:hAnsi="Palatino"/>
          <w:b/>
        </w:rPr>
      </w:pPr>
    </w:p>
    <w:p w14:paraId="0611E862" w14:textId="77777777" w:rsidR="00DF1A2C" w:rsidRDefault="00DF1A2C" w:rsidP="00BF736A">
      <w:pPr>
        <w:rPr>
          <w:rFonts w:ascii="Palatino" w:hAnsi="Palatino"/>
          <w:b/>
        </w:rPr>
      </w:pPr>
    </w:p>
    <w:p w14:paraId="3A151BA9" w14:textId="77777777" w:rsidR="00DF1A2C" w:rsidRDefault="00DF1A2C" w:rsidP="00BF736A">
      <w:pPr>
        <w:rPr>
          <w:rFonts w:ascii="Palatino" w:hAnsi="Palatino"/>
          <w:b/>
        </w:rPr>
      </w:pPr>
    </w:p>
    <w:p w14:paraId="5F6C5747" w14:textId="77777777" w:rsidR="00DF1A2C" w:rsidRDefault="00DF1A2C" w:rsidP="00BF736A">
      <w:pPr>
        <w:rPr>
          <w:rFonts w:ascii="Palatino" w:hAnsi="Palatino"/>
          <w:b/>
        </w:rPr>
      </w:pPr>
    </w:p>
    <w:p w14:paraId="31D792A8" w14:textId="77777777" w:rsidR="00DF1A2C" w:rsidRDefault="00DF1A2C" w:rsidP="00BF736A">
      <w:pPr>
        <w:rPr>
          <w:rFonts w:ascii="Palatino" w:hAnsi="Palatino"/>
          <w:b/>
        </w:rPr>
      </w:pPr>
    </w:p>
    <w:p w14:paraId="111EB0CF" w14:textId="77777777" w:rsidR="00DF1A2C" w:rsidRDefault="00DF1A2C" w:rsidP="00BF736A">
      <w:pPr>
        <w:rPr>
          <w:rFonts w:ascii="Palatino" w:hAnsi="Palatino"/>
          <w:b/>
        </w:rPr>
      </w:pPr>
    </w:p>
    <w:p w14:paraId="460E2876" w14:textId="77777777" w:rsidR="00DF1A2C" w:rsidRDefault="00DF1A2C" w:rsidP="00BF736A">
      <w:pPr>
        <w:rPr>
          <w:rFonts w:ascii="Palatino" w:hAnsi="Palatino"/>
          <w:b/>
        </w:rPr>
      </w:pPr>
    </w:p>
    <w:p w14:paraId="1747B929" w14:textId="77777777" w:rsidR="00DF1A2C" w:rsidRDefault="00DF1A2C" w:rsidP="00BF736A">
      <w:pPr>
        <w:rPr>
          <w:rFonts w:ascii="Palatino" w:hAnsi="Palatino"/>
          <w:b/>
        </w:rPr>
      </w:pPr>
    </w:p>
    <w:p w14:paraId="49606F9E" w14:textId="0028A2E7" w:rsidR="003C3394" w:rsidRDefault="003C3394" w:rsidP="000241ED">
      <w:pPr>
        <w:pStyle w:val="Heading1"/>
      </w:pPr>
      <w:bookmarkStart w:id="22" w:name="_Toc46833434"/>
      <w:r>
        <w:lastRenderedPageBreak/>
        <w:t xml:space="preserve">APPENDIX </w:t>
      </w:r>
      <w:r w:rsidR="001C31F8">
        <w:t>C</w:t>
      </w:r>
      <w:bookmarkEnd w:id="22"/>
    </w:p>
    <w:p w14:paraId="13A6DB24" w14:textId="77777777" w:rsidR="003C3394" w:rsidRDefault="003C3394" w:rsidP="003C3394"/>
    <w:p w14:paraId="0331A649" w14:textId="77777777" w:rsidR="003C3394" w:rsidRDefault="003C3394" w:rsidP="003C3394">
      <w:pPr>
        <w:pStyle w:val="Heading2"/>
      </w:pPr>
      <w:bookmarkStart w:id="23" w:name="_Toc46833435"/>
      <w:r>
        <w:t>Stationary Internal Combustion Engines</w:t>
      </w:r>
      <w:bookmarkEnd w:id="23"/>
    </w:p>
    <w:p w14:paraId="22C4E675" w14:textId="07507104" w:rsidR="003C3394" w:rsidRDefault="003C3394" w:rsidP="003C3394">
      <w:r>
        <w:t xml:space="preserve">The US EPA published two rules that govern </w:t>
      </w:r>
      <w:r w:rsidR="00B40DC1">
        <w:t>s</w:t>
      </w:r>
      <w:r>
        <w:t xml:space="preserve">tationary Internal Combustion Engines (ICE).  The standards, New Source Performance Standard (NSPS) and </w:t>
      </w:r>
      <w:r w:rsidR="00B40DC1">
        <w:t>NESHAP,</w:t>
      </w:r>
      <w:r>
        <w:t xml:space="preserve"> limit emissions of nitrogen oxides (NOx), particulate matter (PM), carbon monoxide (CO), non-methane hydrocarbons (NMHC), sulfur oxides (</w:t>
      </w:r>
      <w:proofErr w:type="spellStart"/>
      <w:r w:rsidR="00D36AF6">
        <w:t>SO</w:t>
      </w:r>
      <w:r>
        <w:t>x</w:t>
      </w:r>
      <w:proofErr w:type="spellEnd"/>
      <w:r>
        <w:t>), and HAPs.</w:t>
      </w:r>
    </w:p>
    <w:p w14:paraId="76C9E939" w14:textId="77777777" w:rsidR="003C3394" w:rsidRDefault="003C3394" w:rsidP="003C3394"/>
    <w:p w14:paraId="3B0534EE" w14:textId="3BDF32F5" w:rsidR="00B40DC1" w:rsidRDefault="003C3394" w:rsidP="003C3394">
      <w:r>
        <w:t>NSPS appl</w:t>
      </w:r>
      <w:r w:rsidR="000B05A8">
        <w:t>ies</w:t>
      </w:r>
      <w:r>
        <w:t xml:space="preserve"> to all stationary ICE located at Fermilab that </w:t>
      </w:r>
      <w:r w:rsidR="00D04B77">
        <w:t>are</w:t>
      </w:r>
      <w:r>
        <w:t xml:space="preserve"> constructed, modified, or reconstructed after </w:t>
      </w:r>
      <w:r w:rsidR="00D36AF6">
        <w:t>2006</w:t>
      </w:r>
      <w:r>
        <w:t>.</w:t>
      </w:r>
      <w:r w:rsidR="00D04B77">
        <w:t xml:space="preserve">  The NESHAP applies to all stationary ICE regardless of construction date. </w:t>
      </w:r>
      <w:r>
        <w:t xml:space="preserve">  The </w:t>
      </w:r>
      <w:r w:rsidR="00D36AF6">
        <w:t xml:space="preserve">NSPS and NESHAP </w:t>
      </w:r>
      <w:r>
        <w:t>rules</w:t>
      </w:r>
      <w:r w:rsidR="00B40DC1">
        <w:t xml:space="preserve"> are broken down by engine type</w:t>
      </w:r>
      <w:r>
        <w:t xml:space="preserve"> </w:t>
      </w:r>
      <w:r w:rsidR="00B40DC1">
        <w:t>(</w:t>
      </w:r>
      <w:r>
        <w:t xml:space="preserve">compression </w:t>
      </w:r>
      <w:r w:rsidR="00B40DC1">
        <w:t xml:space="preserve">ignition (CI), </w:t>
      </w:r>
      <w:r>
        <w:t>spark ignition (SI)</w:t>
      </w:r>
      <w:r w:rsidR="00B40DC1">
        <w:t xml:space="preserve"> or combustion turbine)</w:t>
      </w:r>
      <w:r>
        <w:t xml:space="preserve">.  </w:t>
      </w:r>
    </w:p>
    <w:p w14:paraId="51CC66CD" w14:textId="77777777" w:rsidR="00D36AF6" w:rsidRDefault="00D36AF6" w:rsidP="003C3394"/>
    <w:p w14:paraId="2990A63C" w14:textId="7CB2A5B6" w:rsidR="00D36AF6" w:rsidRDefault="00D36AF6" w:rsidP="003C3394">
      <w:r>
        <w:t>In order for Fermilab to be sure it purchases/uses only compliant engines, D/S/</w:t>
      </w:r>
      <w:r w:rsidR="00CB7B9E">
        <w:t>P</w:t>
      </w:r>
      <w:r>
        <w:t xml:space="preserve">s should only purchase “certified” engines.  In this way Fermilab can ensure only complying engines are installed.  However, there may be cases where non-certified engines are purchased.  In those cases extra requirements, including notifications and performance testing, may be required.  </w:t>
      </w:r>
      <w:r w:rsidR="00E1725A">
        <w:t xml:space="preserve">CI ICE, SI ICE and </w:t>
      </w:r>
      <w:r w:rsidR="006800B2">
        <w:t xml:space="preserve">combustion </w:t>
      </w:r>
      <w:r w:rsidR="00E1725A">
        <w:t xml:space="preserve">turbines all have specific emission standards based on power rating, fuel fired, and manufacture date.  </w:t>
      </w:r>
    </w:p>
    <w:p w14:paraId="2D460485" w14:textId="77777777" w:rsidR="00D36AF6" w:rsidRDefault="00D36AF6" w:rsidP="003C3394"/>
    <w:p w14:paraId="7228290C" w14:textId="77777777" w:rsidR="003C3394" w:rsidRDefault="003C3394" w:rsidP="003C3394">
      <w:pPr>
        <w:pStyle w:val="Heading2"/>
      </w:pPr>
      <w:bookmarkStart w:id="24" w:name="_Toc46833436"/>
      <w:r>
        <w:t>Definitions</w:t>
      </w:r>
      <w:bookmarkEnd w:id="24"/>
    </w:p>
    <w:p w14:paraId="09BB9D2F" w14:textId="77777777" w:rsidR="00655A59" w:rsidRDefault="00655A59" w:rsidP="003C3394"/>
    <w:p w14:paraId="7D89D63C" w14:textId="77777777" w:rsidR="00D36AF6" w:rsidRPr="00D36AF6" w:rsidRDefault="00D36AF6" w:rsidP="008D603F">
      <w:r>
        <w:rPr>
          <w:i/>
        </w:rPr>
        <w:t xml:space="preserve">Certified Stationary Internal Combustion Engine </w:t>
      </w:r>
      <w:r>
        <w:t>means an engine that belongs to an engine family that has a certificate of conformity that complies with the emission standards and requirements in 40 CFR 60, 40 CFR 90, 40 CFR 1048, or 40 CFR 1054, as appropriate.</w:t>
      </w:r>
    </w:p>
    <w:p w14:paraId="2BECA48C" w14:textId="77777777" w:rsidR="00D36AF6" w:rsidRDefault="00D36AF6" w:rsidP="008D603F">
      <w:pPr>
        <w:rPr>
          <w:i/>
        </w:rPr>
      </w:pPr>
    </w:p>
    <w:p w14:paraId="3071664D" w14:textId="6C8C269C" w:rsidR="008D603F" w:rsidRDefault="008D603F" w:rsidP="008D603F">
      <w:r w:rsidRPr="00655A59">
        <w:rPr>
          <w:i/>
        </w:rPr>
        <w:t>Combustion Turbine</w:t>
      </w:r>
      <w:r>
        <w:t xml:space="preserve"> means all equipment, including but not limited to the turbine, the fuel, air, lubrication and exhaust gas systems, control systems (except emissions control equipment), and any ancillary components and sub-components comprising any simpl</w:t>
      </w:r>
      <w:r w:rsidR="000B05A8">
        <w:t>e</w:t>
      </w:r>
      <w:r>
        <w:t xml:space="preserve"> cycle combustion turbine, any regenerative/recuperative cycle combustion turbine, the combustion turbine portion of any cogeneration cycle combustion system, or the combustion turbine portion of any combined cycle steam/electric generating system. </w:t>
      </w:r>
    </w:p>
    <w:p w14:paraId="096E70D7" w14:textId="77777777" w:rsidR="00655A59" w:rsidRDefault="00655A59" w:rsidP="003C3394"/>
    <w:p w14:paraId="6CEBABEA" w14:textId="77777777" w:rsidR="00655A59" w:rsidRDefault="00655A59" w:rsidP="003C3394">
      <w:r w:rsidRPr="00655A59">
        <w:rPr>
          <w:i/>
        </w:rPr>
        <w:t>Compression Ignition</w:t>
      </w:r>
      <w:r>
        <w:t xml:space="preserve"> means relating to a type of stationary internal combustion engine that is not a spark ignition engine.</w:t>
      </w:r>
    </w:p>
    <w:p w14:paraId="282F189C" w14:textId="77777777" w:rsidR="00655A59" w:rsidRDefault="00655A59" w:rsidP="003C3394"/>
    <w:p w14:paraId="31CFE207" w14:textId="77777777" w:rsidR="008D603F" w:rsidRPr="003C3394" w:rsidRDefault="008D603F" w:rsidP="003C3394">
      <w:r w:rsidRPr="008D603F">
        <w:rPr>
          <w:i/>
        </w:rPr>
        <w:t>Emergency Stationary ICE</w:t>
      </w:r>
      <w:r>
        <w:t xml:space="preserve"> means any stationary internal combustion engine whose operation is limited to emergency situations and required testing and maintenance.  Examples include stationary ICE used to produce power for critical networks or equipment (including power supplied to portions of a facility) when electric power from the local utility (or the normal power source if the facility runs on its owner power production) is interrupted, or stationary ICE used to pump water in the case of fire or flood, etc.  Stationary ICE used for peak shaving are not emergency engines.  Stationary ICE used to supply power to an electric grid or that supply power as part of a financial arrangement with another entity are NOT considered emergency engines.</w:t>
      </w:r>
    </w:p>
    <w:p w14:paraId="0F1EF9B7" w14:textId="77777777" w:rsidR="008D603F" w:rsidRDefault="008D603F" w:rsidP="008D603F">
      <w:pPr>
        <w:rPr>
          <w:i/>
        </w:rPr>
      </w:pPr>
    </w:p>
    <w:p w14:paraId="325EACC9" w14:textId="77777777" w:rsidR="008D603F" w:rsidRDefault="008D603F" w:rsidP="008D603F">
      <w:r w:rsidRPr="00655A59">
        <w:rPr>
          <w:i/>
        </w:rPr>
        <w:lastRenderedPageBreak/>
        <w:t>Spark Ignition</w:t>
      </w:r>
      <w:r>
        <w:t xml:space="preserve"> means relating to a gasoline, natural gas, or liquefied petroleum gas fueled engine or any other type of engine with a spark plug (or other sparking device) and with operating characteristics significantly similar to the theoretical Otto combustion cycle.  Spark ignition engines usually use a throttle to regulate intake air flow to control power during normal operation. </w:t>
      </w:r>
    </w:p>
    <w:p w14:paraId="7517638C" w14:textId="77777777" w:rsidR="003C3394" w:rsidRPr="003C3394" w:rsidRDefault="003C3394" w:rsidP="003C3394"/>
    <w:p w14:paraId="1D52EB78" w14:textId="77777777" w:rsidR="008D603F" w:rsidRDefault="008D603F" w:rsidP="008D603F">
      <w:r w:rsidRPr="00655A59">
        <w:rPr>
          <w:i/>
        </w:rPr>
        <w:t xml:space="preserve">Stationary Internal Combustion Engine (ICE) </w:t>
      </w:r>
      <w:r>
        <w:t>means any internal combustion engine, except combustion turbines, that converts heat energy into mechanical work and is not mobile.  Stationary ICE include reciprocating ICE (RICE), rotary ICE and other ICE, except combustion turbines.</w:t>
      </w:r>
    </w:p>
    <w:p w14:paraId="11202CF1" w14:textId="77777777" w:rsidR="008D603F" w:rsidRDefault="008D603F" w:rsidP="008D603F"/>
    <w:p w14:paraId="1A68E4EE" w14:textId="77777777" w:rsidR="004405F1" w:rsidRDefault="004405F1" w:rsidP="00F41D8B">
      <w:pPr>
        <w:pStyle w:val="Heading2"/>
      </w:pPr>
      <w:bookmarkStart w:id="25" w:name="_Toc46833437"/>
      <w:r>
        <w:t>Responsibilities</w:t>
      </w:r>
      <w:bookmarkEnd w:id="25"/>
    </w:p>
    <w:p w14:paraId="298D25E3" w14:textId="77777777" w:rsidR="00A907F2" w:rsidRPr="00A907F2" w:rsidRDefault="00A907F2" w:rsidP="00A907F2"/>
    <w:p w14:paraId="45234DF6" w14:textId="391F01C8" w:rsidR="004405F1" w:rsidRDefault="004405F1" w:rsidP="004405F1">
      <w:pPr>
        <w:pStyle w:val="Heading3"/>
      </w:pPr>
      <w:bookmarkStart w:id="26" w:name="_Toc46833438"/>
      <w:r>
        <w:t>D</w:t>
      </w:r>
      <w:r w:rsidR="000122F3">
        <w:t>ivision/Section Heads and Project Managers (DSP)</w:t>
      </w:r>
      <w:bookmarkEnd w:id="26"/>
    </w:p>
    <w:p w14:paraId="7672A57D" w14:textId="64F8FCC5" w:rsidR="00552C01" w:rsidRDefault="000122F3" w:rsidP="004405F1">
      <w:r>
        <w:t>D/S/P</w:t>
      </w:r>
      <w:r w:rsidR="00891DB4">
        <w:t>s</w:t>
      </w:r>
      <w:r w:rsidR="004405F1">
        <w:t xml:space="preserve"> shall </w:t>
      </w:r>
      <w:r w:rsidR="00891DB4">
        <w:t xml:space="preserve">ensure that </w:t>
      </w:r>
      <w:r w:rsidR="004405F1">
        <w:t>consult</w:t>
      </w:r>
      <w:r w:rsidR="00442DD2">
        <w:t>ation</w:t>
      </w:r>
      <w:r w:rsidR="004405F1">
        <w:t xml:space="preserve"> with the </w:t>
      </w:r>
      <w:r w:rsidR="00EF2C6F">
        <w:t>ES&amp;H</w:t>
      </w:r>
      <w:r w:rsidR="004405F1">
        <w:t xml:space="preserve"> EP Group </w:t>
      </w:r>
      <w:r w:rsidR="00442DD2">
        <w:t xml:space="preserve">occurs </w:t>
      </w:r>
      <w:r w:rsidR="004405F1">
        <w:t>before any stationary ICE are purchased.  D/S/</w:t>
      </w:r>
      <w:r w:rsidR="00490FD1">
        <w:t>P</w:t>
      </w:r>
      <w:r w:rsidR="004405F1">
        <w:t xml:space="preserve">s should purchase ICE certified to the appropriate emission standards described in the NSPS and NESHAP rules.  </w:t>
      </w:r>
      <w:r w:rsidR="00442DD2">
        <w:t>D/S/P</w:t>
      </w:r>
      <w:r>
        <w:t>s</w:t>
      </w:r>
      <w:r w:rsidR="000B05A8">
        <w:t xml:space="preserve"> </w:t>
      </w:r>
      <w:r w:rsidR="004405F1">
        <w:t xml:space="preserve">shall also </w:t>
      </w:r>
      <w:r w:rsidR="00442DD2">
        <w:t xml:space="preserve">ensure that the </w:t>
      </w:r>
      <w:r w:rsidR="00552C01">
        <w:t xml:space="preserve">following </w:t>
      </w:r>
      <w:r w:rsidR="00442DD2">
        <w:t xml:space="preserve">information is provided </w:t>
      </w:r>
      <w:r w:rsidR="00552C01">
        <w:t xml:space="preserve">to the </w:t>
      </w:r>
      <w:r w:rsidR="00EF2C6F">
        <w:t>ES&amp;H</w:t>
      </w:r>
      <w:r w:rsidR="00552C01">
        <w:t xml:space="preserve"> EP Group:</w:t>
      </w:r>
    </w:p>
    <w:p w14:paraId="2743A56C" w14:textId="77777777" w:rsidR="00552C01" w:rsidRDefault="006800B2" w:rsidP="00552C01">
      <w:pPr>
        <w:pStyle w:val="ListParagraph"/>
        <w:numPr>
          <w:ilvl w:val="0"/>
          <w:numId w:val="44"/>
        </w:numPr>
      </w:pPr>
      <w:r>
        <w:t xml:space="preserve">certification documentation, </w:t>
      </w:r>
      <w:r w:rsidR="004405F1">
        <w:t>or</w:t>
      </w:r>
      <w:r>
        <w:t>, for non-certified</w:t>
      </w:r>
      <w:r w:rsidR="004405F1">
        <w:t xml:space="preserve"> </w:t>
      </w:r>
      <w:r>
        <w:t xml:space="preserve">ICE, </w:t>
      </w:r>
      <w:r w:rsidR="004405F1">
        <w:t>documentation showing compliance with the</w:t>
      </w:r>
      <w:r>
        <w:t xml:space="preserve"> appropriate</w:t>
      </w:r>
      <w:r w:rsidR="004405F1">
        <w:t xml:space="preserve"> emiss</w:t>
      </w:r>
      <w:r w:rsidR="00552C01">
        <w:t>ion standards</w:t>
      </w:r>
    </w:p>
    <w:p w14:paraId="692DE132" w14:textId="77777777" w:rsidR="00552C01" w:rsidRDefault="00E1725A" w:rsidP="00552C01">
      <w:pPr>
        <w:pStyle w:val="ListParagraph"/>
        <w:numPr>
          <w:ilvl w:val="0"/>
          <w:numId w:val="44"/>
        </w:numPr>
      </w:pPr>
      <w:r>
        <w:t>engine make/mode</w:t>
      </w:r>
      <w:r w:rsidR="00552C01">
        <w:t>l</w:t>
      </w:r>
    </w:p>
    <w:p w14:paraId="20252783" w14:textId="77777777" w:rsidR="00552C01" w:rsidRDefault="00E1725A" w:rsidP="00552C01">
      <w:pPr>
        <w:pStyle w:val="ListParagraph"/>
        <w:numPr>
          <w:ilvl w:val="0"/>
          <w:numId w:val="44"/>
        </w:numPr>
      </w:pPr>
      <w:r>
        <w:t>manufacture date or model year</w:t>
      </w:r>
    </w:p>
    <w:p w14:paraId="4C699917" w14:textId="77777777" w:rsidR="00552C01" w:rsidRDefault="00E1725A" w:rsidP="00552C01">
      <w:pPr>
        <w:pStyle w:val="ListParagraph"/>
        <w:numPr>
          <w:ilvl w:val="0"/>
          <w:numId w:val="44"/>
        </w:numPr>
      </w:pPr>
      <w:r>
        <w:t>location</w:t>
      </w:r>
    </w:p>
    <w:p w14:paraId="0A22F2A8" w14:textId="177057B9" w:rsidR="00552C01" w:rsidRDefault="00E1725A" w:rsidP="00552C01">
      <w:pPr>
        <w:pStyle w:val="ListParagraph"/>
        <w:numPr>
          <w:ilvl w:val="0"/>
          <w:numId w:val="44"/>
        </w:numPr>
      </w:pPr>
      <w:r>
        <w:t>power (k</w:t>
      </w:r>
      <w:r w:rsidR="002E29FF">
        <w:t>ilowatt</w:t>
      </w:r>
      <w:r>
        <w:t xml:space="preserve"> or </w:t>
      </w:r>
      <w:r w:rsidR="00072599">
        <w:t>hp</w:t>
      </w:r>
      <w:r>
        <w:t>)</w:t>
      </w:r>
    </w:p>
    <w:p w14:paraId="79C3CEB3" w14:textId="77777777" w:rsidR="00552C01" w:rsidRDefault="00E1725A" w:rsidP="00552C01">
      <w:pPr>
        <w:pStyle w:val="ListParagraph"/>
        <w:numPr>
          <w:ilvl w:val="0"/>
          <w:numId w:val="44"/>
        </w:numPr>
      </w:pPr>
      <w:r>
        <w:t>engine type</w:t>
      </w:r>
    </w:p>
    <w:p w14:paraId="67DDA7A7" w14:textId="6DB0FFA7" w:rsidR="00552C01" w:rsidRDefault="00E1725A" w:rsidP="00552C01">
      <w:pPr>
        <w:pStyle w:val="ListParagraph"/>
        <w:numPr>
          <w:ilvl w:val="0"/>
          <w:numId w:val="44"/>
        </w:numPr>
      </w:pPr>
      <w:r>
        <w:t>maintenance schedule</w:t>
      </w:r>
      <w:r w:rsidR="004405F1">
        <w:t xml:space="preserve">  </w:t>
      </w:r>
    </w:p>
    <w:p w14:paraId="3D75B0F9" w14:textId="650FF951" w:rsidR="004405F1" w:rsidRDefault="006800B2" w:rsidP="004405F1">
      <w:pPr>
        <w:pStyle w:val="ListParagraph"/>
        <w:numPr>
          <w:ilvl w:val="0"/>
          <w:numId w:val="44"/>
        </w:numPr>
      </w:pPr>
      <w:r>
        <w:t>o</w:t>
      </w:r>
      <w:r w:rsidR="00E1725A">
        <w:t>ther</w:t>
      </w:r>
      <w:r w:rsidR="00552C01">
        <w:t xml:space="preserve"> documentation or recordkeeping as requested by </w:t>
      </w:r>
      <w:r w:rsidR="002E29FF">
        <w:t xml:space="preserve">the </w:t>
      </w:r>
      <w:r w:rsidR="00EF2C6F">
        <w:t>ES&amp;H</w:t>
      </w:r>
      <w:r w:rsidR="002E29FF">
        <w:t xml:space="preserve"> </w:t>
      </w:r>
      <w:r w:rsidR="00552C01">
        <w:t>EP Group</w:t>
      </w:r>
    </w:p>
    <w:p w14:paraId="67130B3C" w14:textId="77777777" w:rsidR="00552C01" w:rsidRDefault="00552C01" w:rsidP="00552C01"/>
    <w:p w14:paraId="60A2E146" w14:textId="16F56B66" w:rsidR="004405F1" w:rsidRDefault="00EF2C6F" w:rsidP="004405F1">
      <w:pPr>
        <w:pStyle w:val="Heading3"/>
      </w:pPr>
      <w:bookmarkStart w:id="27" w:name="_Toc46833439"/>
      <w:r>
        <w:t>ES&amp;H</w:t>
      </w:r>
      <w:r w:rsidR="004405F1">
        <w:t xml:space="preserve"> Section Environmental Protection Group</w:t>
      </w:r>
      <w:bookmarkEnd w:id="27"/>
    </w:p>
    <w:p w14:paraId="63A92A85" w14:textId="65772D1B" w:rsidR="004405F1" w:rsidRDefault="004405F1" w:rsidP="004405F1">
      <w:r>
        <w:t xml:space="preserve">The </w:t>
      </w:r>
      <w:r w:rsidR="00EF2C6F">
        <w:t>ES&amp;H</w:t>
      </w:r>
      <w:r>
        <w:t xml:space="preserve"> EP Group w</w:t>
      </w:r>
      <w:r w:rsidR="006800B2">
        <w:t xml:space="preserve">ill provide guidance to </w:t>
      </w:r>
      <w:r w:rsidR="00442DD2">
        <w:t xml:space="preserve">D/S/Ps </w:t>
      </w:r>
      <w:r>
        <w:t>prior to purchasing stationary ICE in order to ensure only compliant engines are constructed.</w:t>
      </w:r>
      <w:r w:rsidR="00E1725A">
        <w:t xml:space="preserve">  Also, the </w:t>
      </w:r>
      <w:r w:rsidR="00EF2C6F">
        <w:t>ES&amp;H</w:t>
      </w:r>
      <w:r w:rsidR="002E29FF">
        <w:t xml:space="preserve"> </w:t>
      </w:r>
      <w:r w:rsidR="00E1725A">
        <w:t xml:space="preserve">EP Group will </w:t>
      </w:r>
      <w:r w:rsidR="00442DD2">
        <w:t>ensure that</w:t>
      </w:r>
      <w:r w:rsidR="00E1725A">
        <w:t xml:space="preserve"> </w:t>
      </w:r>
      <w:r w:rsidR="00552C01">
        <w:t>appropriate</w:t>
      </w:r>
      <w:r w:rsidR="00E1725A">
        <w:t xml:space="preserve"> documentation and recordkeeping</w:t>
      </w:r>
      <w:r w:rsidR="00442DD2">
        <w:t xml:space="preserve"> is maintained</w:t>
      </w:r>
      <w:r w:rsidR="00E1725A">
        <w:t>.</w:t>
      </w:r>
      <w:r w:rsidR="00552C01">
        <w:t xml:space="preserve">  In addition, keep inventory of ICE subject to NSPS and NESHAP and file the appropriate documentation.</w:t>
      </w:r>
    </w:p>
    <w:p w14:paraId="6BD12653" w14:textId="77777777" w:rsidR="00E57A65" w:rsidRDefault="00E57A65" w:rsidP="004405F1"/>
    <w:p w14:paraId="51B84193" w14:textId="77777777" w:rsidR="00E57A65" w:rsidRDefault="00E57A65" w:rsidP="004405F1"/>
    <w:p w14:paraId="24B89552" w14:textId="77777777" w:rsidR="00E57A65" w:rsidRDefault="00E57A65" w:rsidP="004405F1"/>
    <w:p w14:paraId="58453A5D" w14:textId="77777777" w:rsidR="00E57A65" w:rsidRDefault="00E57A65" w:rsidP="004405F1"/>
    <w:p w14:paraId="72DCD7E0" w14:textId="77777777" w:rsidR="00E57A65" w:rsidRDefault="00E57A65" w:rsidP="004405F1"/>
    <w:p w14:paraId="1D52A144" w14:textId="77777777" w:rsidR="00E57A65" w:rsidRDefault="00E57A65" w:rsidP="004405F1"/>
    <w:p w14:paraId="06016EF8" w14:textId="77777777" w:rsidR="00E57A65" w:rsidRDefault="00E57A65" w:rsidP="004405F1"/>
    <w:p w14:paraId="000ADB97" w14:textId="77777777" w:rsidR="00E57A65" w:rsidRDefault="00E57A65" w:rsidP="004405F1"/>
    <w:p w14:paraId="3B96EBE0" w14:textId="77777777" w:rsidR="00E57A65" w:rsidRDefault="00E57A65" w:rsidP="004405F1"/>
    <w:p w14:paraId="27E3B6D0" w14:textId="77777777" w:rsidR="00E57A65" w:rsidRDefault="00E57A65" w:rsidP="004405F1"/>
    <w:p w14:paraId="65E900C8" w14:textId="77777777" w:rsidR="00E57A65" w:rsidRDefault="00E57A65" w:rsidP="004405F1"/>
    <w:p w14:paraId="36CFF3D7" w14:textId="77777777" w:rsidR="00E57A65" w:rsidRDefault="00E57A65" w:rsidP="004405F1"/>
    <w:p w14:paraId="058FA6F0" w14:textId="77777777" w:rsidR="00E57A65" w:rsidRDefault="00E57A65" w:rsidP="004405F1"/>
    <w:p w14:paraId="0BB4197B" w14:textId="109422C5" w:rsidR="00610F7B" w:rsidRDefault="00610F7B" w:rsidP="000241ED">
      <w:pPr>
        <w:pStyle w:val="Heading1"/>
      </w:pPr>
      <w:bookmarkStart w:id="28" w:name="_Toc46833440"/>
      <w:r>
        <w:lastRenderedPageBreak/>
        <w:t xml:space="preserve">APPENDIX </w:t>
      </w:r>
      <w:r w:rsidR="00DF1A2C">
        <w:t>D</w:t>
      </w:r>
      <w:bookmarkEnd w:id="28"/>
    </w:p>
    <w:p w14:paraId="17422C39" w14:textId="77777777" w:rsidR="00610F7B" w:rsidRPr="00610F7B" w:rsidRDefault="00610F7B" w:rsidP="00610F7B"/>
    <w:p w14:paraId="68D1E43B" w14:textId="5EB2B085" w:rsidR="00BF736A" w:rsidRDefault="00B527FA" w:rsidP="009D7835">
      <w:pPr>
        <w:pStyle w:val="Heading2"/>
      </w:pPr>
      <w:bookmarkStart w:id="29" w:name="_Toc46833441"/>
      <w:r>
        <w:t>Conditions for Operating Non-Exempt Emission Units</w:t>
      </w:r>
      <w:bookmarkEnd w:id="29"/>
    </w:p>
    <w:p w14:paraId="7A458D44" w14:textId="05152879" w:rsidR="00D71D5C" w:rsidRDefault="00D71D5C" w:rsidP="00BF736A">
      <w:r w:rsidRPr="00610F7B">
        <w:t xml:space="preserve">The current </w:t>
      </w:r>
      <w:r>
        <w:t>ROSS registration</w:t>
      </w:r>
      <w:r w:rsidRPr="00610F7B">
        <w:t xml:space="preserve">, issued on </w:t>
      </w:r>
      <w:r>
        <w:t>August 21, 2012 includes the</w:t>
      </w:r>
      <w:r w:rsidRPr="00610F7B">
        <w:t xml:space="preserve"> operation of the following </w:t>
      </w:r>
      <w:r>
        <w:t xml:space="preserve">non-permit exempt </w:t>
      </w:r>
      <w:r w:rsidRPr="00610F7B">
        <w:t>emission unit(s) and /or air pollution control equipment</w:t>
      </w:r>
      <w:r>
        <w:t>:</w:t>
      </w:r>
    </w:p>
    <w:p w14:paraId="6AF5E3E3" w14:textId="77777777" w:rsidR="00D71D5C" w:rsidRPr="003F27D8" w:rsidRDefault="00D71D5C" w:rsidP="00BF736A"/>
    <w:p w14:paraId="572DA232" w14:textId="77777777" w:rsidR="00BF736A" w:rsidRPr="003F27D8" w:rsidRDefault="00BF736A" w:rsidP="00BF736A">
      <w:r w:rsidRPr="003F27D8">
        <w:t>Magnetic Debonding Oven with Afterburner</w:t>
      </w:r>
    </w:p>
    <w:p w14:paraId="0CB42E2F" w14:textId="4027C2A1" w:rsidR="00BF736A" w:rsidRPr="003F27D8" w:rsidRDefault="00414F93" w:rsidP="00BF736A">
      <w:r w:rsidRPr="003F27D8">
        <w:t>One</w:t>
      </w:r>
      <w:r w:rsidR="00BF736A" w:rsidRPr="003F27D8">
        <w:t xml:space="preserve"> 15 </w:t>
      </w:r>
      <w:proofErr w:type="spellStart"/>
      <w:r w:rsidR="00BF736A" w:rsidRPr="003F27D8">
        <w:t>mmBtu</w:t>
      </w:r>
      <w:proofErr w:type="spellEnd"/>
      <w:r w:rsidR="00BF736A" w:rsidRPr="003F27D8">
        <w:t>/</w:t>
      </w:r>
      <w:proofErr w:type="spellStart"/>
      <w:r w:rsidR="002E29FF">
        <w:t>hr</w:t>
      </w:r>
      <w:proofErr w:type="spellEnd"/>
      <w:r w:rsidR="001049ED" w:rsidRPr="003F27D8">
        <w:t xml:space="preserve"> Natural Gas-Fired Boilers</w:t>
      </w:r>
    </w:p>
    <w:p w14:paraId="775C88A1" w14:textId="753EB1A4" w:rsidR="001049ED" w:rsidRPr="003F27D8" w:rsidRDefault="002E29FF" w:rsidP="00BF736A">
      <w:r>
        <w:t xml:space="preserve">One 11.55 </w:t>
      </w:r>
      <w:proofErr w:type="spellStart"/>
      <w:r>
        <w:t>mmBtu</w:t>
      </w:r>
      <w:proofErr w:type="spellEnd"/>
      <w:r>
        <w:t>/</w:t>
      </w:r>
      <w:proofErr w:type="spellStart"/>
      <w:r>
        <w:t>hr</w:t>
      </w:r>
      <w:proofErr w:type="spellEnd"/>
      <w:r w:rsidR="001049ED" w:rsidRPr="003F27D8">
        <w:t xml:space="preserve"> Natural Gas-Fired Boiler</w:t>
      </w:r>
    </w:p>
    <w:p w14:paraId="33F2743C" w14:textId="77777777" w:rsidR="001049ED" w:rsidRPr="003F27D8" w:rsidRDefault="00BF736A" w:rsidP="001049ED">
      <w:r w:rsidRPr="003F27D8">
        <w:t xml:space="preserve">Gasoline Dispensing Facility with one 12,000 Gallons Gasoline Storage Tank </w:t>
      </w:r>
    </w:p>
    <w:p w14:paraId="7762036D" w14:textId="47956BCC" w:rsidR="00BF736A" w:rsidRPr="003F27D8" w:rsidRDefault="00BF736A" w:rsidP="001049ED">
      <w:pPr>
        <w:ind w:firstLine="720"/>
      </w:pPr>
      <w:r w:rsidRPr="003F27D8">
        <w:t>Equipped with Permanent Submerged Loading, with Stage 1 Vapor Balance System</w:t>
      </w:r>
    </w:p>
    <w:p w14:paraId="062A6071" w14:textId="77777777" w:rsidR="00BF736A" w:rsidRPr="003F27D8" w:rsidRDefault="00BF736A" w:rsidP="00BF736A">
      <w:r w:rsidRPr="003F27D8">
        <w:t>Radionuclide Emission Stacks</w:t>
      </w:r>
    </w:p>
    <w:p w14:paraId="22C27BA3" w14:textId="7D518CF6" w:rsidR="00BF736A" w:rsidRPr="003F27D8" w:rsidRDefault="00BF736A" w:rsidP="00BF736A">
      <w:r w:rsidRPr="003F27D8">
        <w:t xml:space="preserve">One Emergency Standby Diesel Fuel Fired Engine – Generator </w:t>
      </w:r>
      <w:r w:rsidR="002E29FF">
        <w:t xml:space="preserve">with Nominal Capacity of 2,220 </w:t>
      </w:r>
      <w:r w:rsidR="00072599">
        <w:t>hp</w:t>
      </w:r>
    </w:p>
    <w:p w14:paraId="1F55A5EE" w14:textId="77777777" w:rsidR="00BF736A" w:rsidRPr="003F27D8" w:rsidRDefault="001049ED" w:rsidP="00BF736A">
      <w:r w:rsidRPr="003F27D8">
        <w:t>One Cavity Processing Facility which includes:</w:t>
      </w:r>
    </w:p>
    <w:p w14:paraId="33CB6D95" w14:textId="77777777" w:rsidR="001049ED" w:rsidRPr="003F27D8" w:rsidRDefault="001049ED" w:rsidP="00BF736A">
      <w:r w:rsidRPr="003F27D8">
        <w:tab/>
        <w:t>One Buffered Chemical Polishing (BCP) process</w:t>
      </w:r>
    </w:p>
    <w:p w14:paraId="1E37C9F8" w14:textId="77777777" w:rsidR="001049ED" w:rsidRDefault="001049ED" w:rsidP="00BF736A">
      <w:r w:rsidRPr="003F27D8">
        <w:tab/>
        <w:t>One Electropolishing (EP) process</w:t>
      </w:r>
    </w:p>
    <w:p w14:paraId="6B492685" w14:textId="77777777" w:rsidR="006A4D1A" w:rsidRDefault="006A4D1A" w:rsidP="00BF736A"/>
    <w:p w14:paraId="5D4BE497" w14:textId="77777777" w:rsidR="001049ED" w:rsidRPr="003F27D8" w:rsidRDefault="001049ED" w:rsidP="00BF736A"/>
    <w:p w14:paraId="637370AC" w14:textId="756BC891" w:rsidR="003F27D8" w:rsidRPr="003F27D8" w:rsidRDefault="003F27D8" w:rsidP="00BF736A">
      <w:pPr>
        <w:rPr>
          <w:b/>
        </w:rPr>
      </w:pPr>
      <w:r w:rsidRPr="003F27D8">
        <w:rPr>
          <w:b/>
        </w:rPr>
        <w:t>Magnet</w:t>
      </w:r>
      <w:r>
        <w:rPr>
          <w:b/>
        </w:rPr>
        <w:t xml:space="preserve"> Debonding Oven</w:t>
      </w:r>
    </w:p>
    <w:p w14:paraId="0347B4EF" w14:textId="77777777" w:rsidR="003F27D8" w:rsidRDefault="003F27D8" w:rsidP="00BF736A"/>
    <w:p w14:paraId="2B2A6CDB" w14:textId="77777777" w:rsidR="003F27D8" w:rsidRPr="003F27D8" w:rsidRDefault="003F27D8" w:rsidP="003F27D8">
      <w:pPr>
        <w:ind w:left="540" w:hanging="540"/>
      </w:pPr>
      <w:r w:rsidRPr="003F27D8">
        <w:t>Emissions and operation of equipment shall not exceed the following limits:</w:t>
      </w:r>
    </w:p>
    <w:p w14:paraId="159ED950" w14:textId="77777777" w:rsidR="003F27D8" w:rsidRPr="003F27D8" w:rsidRDefault="003F27D8" w:rsidP="003F27D8"/>
    <w:p w14:paraId="0A039E0B" w14:textId="77777777" w:rsidR="003F27D8" w:rsidRDefault="003F27D8" w:rsidP="003F27D8">
      <w:pPr>
        <w:pStyle w:val="Footer"/>
        <w:tabs>
          <w:tab w:val="center" w:pos="6480"/>
        </w:tabs>
      </w:pPr>
      <w:r w:rsidRPr="003F27D8">
        <w:tab/>
        <w:t xml:space="preserve">E M I S </w:t>
      </w:r>
      <w:proofErr w:type="spellStart"/>
      <w:r w:rsidRPr="003F27D8">
        <w:t>S</w:t>
      </w:r>
      <w:proofErr w:type="spellEnd"/>
      <w:r w:rsidRPr="003F27D8">
        <w:t xml:space="preserve"> I O N S</w:t>
      </w:r>
    </w:p>
    <w:p w14:paraId="45510CB6" w14:textId="77777777" w:rsidR="009743D3" w:rsidRPr="003F27D8" w:rsidRDefault="009743D3" w:rsidP="003F27D8">
      <w:pPr>
        <w:pStyle w:val="Footer"/>
        <w:tabs>
          <w:tab w:val="center" w:pos="6480"/>
        </w:tabs>
      </w:pPr>
    </w:p>
    <w:p w14:paraId="47D2C684" w14:textId="77777777" w:rsidR="003F27D8" w:rsidRPr="003F27D8" w:rsidRDefault="003F27D8" w:rsidP="003F27D8">
      <w:pPr>
        <w:pStyle w:val="Footer"/>
        <w:tabs>
          <w:tab w:val="left" w:pos="4320"/>
        </w:tabs>
      </w:pPr>
      <w:r w:rsidRPr="003F27D8">
        <w:tab/>
        <w:t>Volatile Organic</w:t>
      </w:r>
    </w:p>
    <w:p w14:paraId="7C168A78" w14:textId="77777777" w:rsidR="003F27D8" w:rsidRPr="003F27D8" w:rsidRDefault="003F27D8" w:rsidP="003F27D8">
      <w:pPr>
        <w:pStyle w:val="Footer"/>
        <w:tabs>
          <w:tab w:val="left" w:pos="720"/>
          <w:tab w:val="left" w:pos="2340"/>
          <w:tab w:val="left" w:pos="4680"/>
          <w:tab w:val="left" w:pos="6480"/>
        </w:tabs>
      </w:pPr>
      <w:r w:rsidRPr="003F27D8">
        <w:tab/>
        <w:t xml:space="preserve">Item of </w:t>
      </w:r>
      <w:r w:rsidRPr="003F27D8">
        <w:tab/>
        <w:t>Operating Hours</w:t>
      </w:r>
      <w:r w:rsidRPr="003F27D8">
        <w:tab/>
        <w:t>Material</w:t>
      </w:r>
      <w:r w:rsidRPr="003F27D8">
        <w:tab/>
        <w:t>Particulate Matter</w:t>
      </w:r>
    </w:p>
    <w:p w14:paraId="07CB199B" w14:textId="471EB8F6" w:rsidR="003F27D8" w:rsidRPr="003F27D8" w:rsidRDefault="003F27D8" w:rsidP="003F27D8">
      <w:pPr>
        <w:pStyle w:val="Footer"/>
        <w:tabs>
          <w:tab w:val="left" w:pos="720"/>
          <w:tab w:val="left" w:pos="2340"/>
          <w:tab w:val="left" w:pos="4140"/>
          <w:tab w:val="left" w:pos="5040"/>
          <w:tab w:val="left" w:pos="6480"/>
          <w:tab w:val="left" w:pos="7380"/>
        </w:tabs>
        <w:rPr>
          <w:u w:val="single"/>
        </w:rPr>
      </w:pPr>
      <w:r w:rsidRPr="003F27D8">
        <w:tab/>
      </w:r>
      <w:r w:rsidRPr="003F27D8">
        <w:rPr>
          <w:u w:val="single"/>
        </w:rPr>
        <w:t>Equipment</w:t>
      </w:r>
      <w:r w:rsidRPr="003F27D8">
        <w:tab/>
      </w:r>
      <w:r w:rsidRPr="003F27D8">
        <w:rPr>
          <w:u w:val="single"/>
        </w:rPr>
        <w:t>(</w:t>
      </w:r>
      <w:proofErr w:type="spellStart"/>
      <w:r w:rsidR="002E29FF">
        <w:rPr>
          <w:u w:val="single"/>
        </w:rPr>
        <w:t>hr</w:t>
      </w:r>
      <w:proofErr w:type="spellEnd"/>
      <w:r w:rsidRPr="003F27D8">
        <w:rPr>
          <w:u w:val="single"/>
        </w:rPr>
        <w:t>/</w:t>
      </w:r>
      <w:proofErr w:type="spellStart"/>
      <w:r w:rsidR="002E29FF">
        <w:rPr>
          <w:u w:val="single"/>
        </w:rPr>
        <w:t>y</w:t>
      </w:r>
      <w:r w:rsidRPr="003F27D8">
        <w:rPr>
          <w:u w:val="single"/>
        </w:rPr>
        <w:t>r</w:t>
      </w:r>
      <w:proofErr w:type="spellEnd"/>
      <w:r w:rsidRPr="003F27D8">
        <w:rPr>
          <w:u w:val="single"/>
        </w:rPr>
        <w:t>)</w:t>
      </w:r>
      <w:r w:rsidRPr="003F27D8">
        <w:tab/>
      </w:r>
      <w:r w:rsidR="00072599">
        <w:rPr>
          <w:u w:val="single"/>
        </w:rPr>
        <w:t>(</w:t>
      </w:r>
      <w:proofErr w:type="spellStart"/>
      <w:r w:rsidR="00072599">
        <w:rPr>
          <w:u w:val="single"/>
        </w:rPr>
        <w:t>Lbs</w:t>
      </w:r>
      <w:proofErr w:type="spellEnd"/>
      <w:r w:rsidR="00072599">
        <w:rPr>
          <w:u w:val="single"/>
        </w:rPr>
        <w:t>/</w:t>
      </w:r>
      <w:proofErr w:type="spellStart"/>
      <w:r w:rsidR="00072599">
        <w:rPr>
          <w:u w:val="single"/>
        </w:rPr>
        <w:t>Hr</w:t>
      </w:r>
      <w:proofErr w:type="spellEnd"/>
      <w:r w:rsidR="00072599">
        <w:rPr>
          <w:u w:val="single"/>
        </w:rPr>
        <w:t>)</w:t>
      </w:r>
      <w:r w:rsidR="00072599">
        <w:rPr>
          <w:u w:val="single"/>
        </w:rPr>
        <w:tab/>
        <w:t>(Tons/</w:t>
      </w:r>
      <w:proofErr w:type="spellStart"/>
      <w:r w:rsidR="00072599">
        <w:rPr>
          <w:u w:val="single"/>
        </w:rPr>
        <w:t>y</w:t>
      </w:r>
      <w:r w:rsidRPr="003F27D8">
        <w:rPr>
          <w:u w:val="single"/>
        </w:rPr>
        <w:t>r</w:t>
      </w:r>
      <w:proofErr w:type="spellEnd"/>
      <w:r w:rsidRPr="003F27D8">
        <w:rPr>
          <w:u w:val="single"/>
        </w:rPr>
        <w:t>)</w:t>
      </w:r>
      <w:r w:rsidRPr="003F27D8">
        <w:tab/>
      </w:r>
      <w:r w:rsidRPr="003F27D8">
        <w:rPr>
          <w:u w:val="single"/>
        </w:rPr>
        <w:t>(</w:t>
      </w:r>
      <w:proofErr w:type="spellStart"/>
      <w:r w:rsidRPr="003F27D8">
        <w:rPr>
          <w:u w:val="single"/>
        </w:rPr>
        <w:t>Lbs</w:t>
      </w:r>
      <w:proofErr w:type="spellEnd"/>
      <w:r w:rsidRPr="003F27D8">
        <w:rPr>
          <w:u w:val="single"/>
        </w:rPr>
        <w:t>/</w:t>
      </w:r>
      <w:proofErr w:type="spellStart"/>
      <w:r w:rsidRPr="003F27D8">
        <w:rPr>
          <w:u w:val="single"/>
        </w:rPr>
        <w:t>Hr</w:t>
      </w:r>
      <w:proofErr w:type="spellEnd"/>
      <w:r w:rsidRPr="003F27D8">
        <w:rPr>
          <w:u w:val="single"/>
        </w:rPr>
        <w:t>)</w:t>
      </w:r>
      <w:r w:rsidRPr="003F27D8">
        <w:rPr>
          <w:u w:val="single"/>
        </w:rPr>
        <w:tab/>
        <w:t>(Tons/</w:t>
      </w:r>
      <w:proofErr w:type="spellStart"/>
      <w:r w:rsidR="00072599">
        <w:rPr>
          <w:u w:val="single"/>
        </w:rPr>
        <w:t>yr</w:t>
      </w:r>
      <w:proofErr w:type="spellEnd"/>
      <w:r w:rsidRPr="003F27D8">
        <w:rPr>
          <w:u w:val="single"/>
        </w:rPr>
        <w:t>)</w:t>
      </w:r>
    </w:p>
    <w:p w14:paraId="15A1F41A" w14:textId="77777777" w:rsidR="003F27D8" w:rsidRPr="003F27D8" w:rsidRDefault="003F27D8" w:rsidP="003F27D8">
      <w:pPr>
        <w:pStyle w:val="Footer"/>
        <w:tabs>
          <w:tab w:val="left" w:pos="720"/>
          <w:tab w:val="center" w:pos="1080"/>
          <w:tab w:val="center" w:pos="2520"/>
          <w:tab w:val="left" w:pos="2880"/>
          <w:tab w:val="left" w:pos="5040"/>
          <w:tab w:val="center" w:pos="5400"/>
          <w:tab w:val="center" w:pos="6480"/>
          <w:tab w:val="left" w:pos="7200"/>
          <w:tab w:val="center" w:pos="7920"/>
        </w:tabs>
      </w:pPr>
      <w:r w:rsidRPr="003F27D8">
        <w:tab/>
      </w:r>
    </w:p>
    <w:p w14:paraId="011E440B" w14:textId="321BBCCB" w:rsidR="003F27D8" w:rsidRPr="003F27D8" w:rsidRDefault="003F27D8" w:rsidP="003F27D8">
      <w:pPr>
        <w:pStyle w:val="Footer"/>
        <w:tabs>
          <w:tab w:val="left" w:pos="720"/>
          <w:tab w:val="left" w:pos="2700"/>
          <w:tab w:val="left" w:pos="4320"/>
          <w:tab w:val="left" w:pos="5220"/>
          <w:tab w:val="left" w:pos="6660"/>
          <w:tab w:val="left" w:pos="7560"/>
        </w:tabs>
      </w:pPr>
      <w:r w:rsidRPr="003F27D8">
        <w:tab/>
        <w:t>Debonding Oven</w:t>
      </w:r>
      <w:r w:rsidRPr="003F27D8">
        <w:tab/>
        <w:t>1,664</w:t>
      </w:r>
      <w:r w:rsidRPr="003F27D8">
        <w:tab/>
        <w:t>1.77</w:t>
      </w:r>
      <w:r w:rsidRPr="003F27D8">
        <w:tab/>
        <w:t>0.88</w:t>
      </w:r>
      <w:r w:rsidRPr="003F27D8">
        <w:tab/>
        <w:t>0.55</w:t>
      </w:r>
      <w:r w:rsidRPr="003F27D8">
        <w:tab/>
        <w:t>0.46</w:t>
      </w:r>
    </w:p>
    <w:p w14:paraId="01250F20" w14:textId="77777777" w:rsidR="003F27D8" w:rsidRPr="003F27D8" w:rsidRDefault="003F27D8" w:rsidP="003F27D8">
      <w:pPr>
        <w:pStyle w:val="Footer"/>
        <w:tabs>
          <w:tab w:val="left" w:pos="720"/>
          <w:tab w:val="center" w:pos="2880"/>
          <w:tab w:val="center" w:pos="5400"/>
          <w:tab w:val="center" w:pos="6480"/>
          <w:tab w:val="center" w:pos="7560"/>
        </w:tabs>
      </w:pPr>
    </w:p>
    <w:p w14:paraId="05C1E9CA" w14:textId="6DEF2980" w:rsidR="003F27D8" w:rsidRPr="003F27D8" w:rsidRDefault="003F27D8" w:rsidP="003F27D8">
      <w:pPr>
        <w:pStyle w:val="Footer"/>
        <w:tabs>
          <w:tab w:val="left" w:pos="720"/>
          <w:tab w:val="center" w:pos="2880"/>
          <w:tab w:val="center" w:pos="5400"/>
          <w:tab w:val="center" w:pos="6480"/>
          <w:tab w:val="center" w:pos="7560"/>
        </w:tabs>
        <w:ind w:left="720"/>
      </w:pPr>
      <w:r w:rsidRPr="003F27D8">
        <w:tab/>
        <w:t xml:space="preserve">These limits are based on 35 Ill. Adm. Code 212.321.  </w:t>
      </w:r>
      <w:r w:rsidR="002E29FF">
        <w:t>Volatile Organic Material (</w:t>
      </w:r>
      <w:r w:rsidRPr="003F27D8">
        <w:t>VOM</w:t>
      </w:r>
      <w:r w:rsidR="002E29FF">
        <w:t>)</w:t>
      </w:r>
      <w:r w:rsidRPr="003F27D8">
        <w:t xml:space="preserve"> emission limits are based on stack test results as provided in permit application. Compliance with annual limits shall be determined from a running total of 12 months of data.</w:t>
      </w:r>
    </w:p>
    <w:p w14:paraId="7B329AF8" w14:textId="77777777" w:rsidR="003F27D8" w:rsidRPr="003F27D8" w:rsidRDefault="003F27D8" w:rsidP="003F27D8">
      <w:pPr>
        <w:pStyle w:val="Footer"/>
        <w:tabs>
          <w:tab w:val="left" w:pos="720"/>
          <w:tab w:val="center" w:pos="2880"/>
          <w:tab w:val="center" w:pos="5400"/>
          <w:tab w:val="center" w:pos="6480"/>
          <w:tab w:val="center" w:pos="7560"/>
        </w:tabs>
        <w:ind w:left="720"/>
      </w:pPr>
    </w:p>
    <w:p w14:paraId="5F701094" w14:textId="77777777" w:rsidR="003F27D8" w:rsidRDefault="003F27D8" w:rsidP="003F27D8">
      <w:pPr>
        <w:pStyle w:val="Footer"/>
        <w:tabs>
          <w:tab w:val="clear" w:pos="4680"/>
          <w:tab w:val="clear" w:pos="9360"/>
        </w:tabs>
        <w:ind w:left="720"/>
        <w:jc w:val="left"/>
      </w:pPr>
      <w:r w:rsidRPr="003F27D8">
        <w:t>The afterburner shall maintain an operating temperature of not less than 1400º F and a control efficiency of not less than 99%.</w:t>
      </w:r>
    </w:p>
    <w:p w14:paraId="701E187E" w14:textId="77777777" w:rsidR="003F27D8" w:rsidRDefault="003F27D8" w:rsidP="003F27D8">
      <w:pPr>
        <w:pStyle w:val="Footer"/>
        <w:tabs>
          <w:tab w:val="clear" w:pos="4680"/>
          <w:tab w:val="clear" w:pos="9360"/>
        </w:tabs>
        <w:ind w:left="720"/>
        <w:jc w:val="left"/>
      </w:pPr>
    </w:p>
    <w:p w14:paraId="499DA021" w14:textId="7CAE4813" w:rsidR="003F27D8" w:rsidRDefault="003F27D8" w:rsidP="003F27D8">
      <w:pPr>
        <w:pStyle w:val="Footer"/>
        <w:tabs>
          <w:tab w:val="clear" w:pos="4680"/>
          <w:tab w:val="clear" w:pos="9360"/>
        </w:tabs>
        <w:jc w:val="left"/>
        <w:rPr>
          <w:b/>
        </w:rPr>
      </w:pPr>
      <w:r>
        <w:rPr>
          <w:b/>
        </w:rPr>
        <w:t>Boilers</w:t>
      </w:r>
    </w:p>
    <w:p w14:paraId="4341BF26" w14:textId="77777777" w:rsidR="003F27D8" w:rsidRPr="003F27D8" w:rsidRDefault="003F27D8" w:rsidP="003F27D8">
      <w:pPr>
        <w:pStyle w:val="BodyTextIndent2"/>
        <w:spacing w:after="120"/>
      </w:pPr>
      <w:r w:rsidRPr="003F27D8">
        <w:t>.</w:t>
      </w:r>
      <w:r w:rsidRPr="003F27D8">
        <w:tab/>
      </w:r>
    </w:p>
    <w:p w14:paraId="4C4EEF18" w14:textId="5B30C06C" w:rsidR="003F27D8" w:rsidRPr="003F27D8" w:rsidRDefault="003F27D8" w:rsidP="003F27D8">
      <w:pPr>
        <w:pStyle w:val="BodyTextIndent2"/>
        <w:spacing w:after="120"/>
        <w:ind w:firstLine="0"/>
      </w:pPr>
      <w:r w:rsidRPr="003F27D8">
        <w:t xml:space="preserve">The 12.247 </w:t>
      </w:r>
      <w:proofErr w:type="spellStart"/>
      <w:r w:rsidRPr="003F27D8">
        <w:t>mmBtu</w:t>
      </w:r>
      <w:proofErr w:type="spellEnd"/>
      <w:r w:rsidRPr="003F27D8">
        <w:t>/</w:t>
      </w:r>
      <w:proofErr w:type="spellStart"/>
      <w:r w:rsidR="002E29FF">
        <w:t>hr</w:t>
      </w:r>
      <w:proofErr w:type="spellEnd"/>
      <w:r w:rsidRPr="003F27D8">
        <w:t xml:space="preserve"> boiler is subject to the </w:t>
      </w:r>
      <w:r w:rsidR="000B56C5">
        <w:t>NSPS</w:t>
      </w:r>
      <w:r w:rsidRPr="003F27D8">
        <w:t xml:space="preserve"> for Small Industrial – Commercial – Institutional Steam Generating Uni</w:t>
      </w:r>
      <w:r w:rsidR="002E29FF">
        <w:t>t</w:t>
      </w:r>
      <w:r w:rsidRPr="003F27D8">
        <w:t xml:space="preserve">s, 40 CFR Part 60 Subparts A and Dc.  The </w:t>
      </w:r>
      <w:r w:rsidR="000B56C5">
        <w:t>I</w:t>
      </w:r>
      <w:r w:rsidRPr="003F27D8">
        <w:t>EPA is administering NSPS in Illinois on behalf of the United States EPA under a delegation agreement.</w:t>
      </w:r>
    </w:p>
    <w:p w14:paraId="0B3740D7" w14:textId="77777777" w:rsidR="003F27D8" w:rsidRPr="003F27D8" w:rsidRDefault="003F27D8" w:rsidP="003F27D8">
      <w:pPr>
        <w:pStyle w:val="BodyTextIndent2"/>
        <w:spacing w:after="120"/>
        <w:ind w:firstLine="0"/>
      </w:pPr>
      <w:r w:rsidRPr="003F27D8">
        <w:lastRenderedPageBreak/>
        <w:t xml:space="preserve"> The Permittee shall perform the applicable monitoring, reporting and recordkeeping as required by 40 CFR 60.47c and 60.48c.</w:t>
      </w:r>
    </w:p>
    <w:p w14:paraId="61BF38C4" w14:textId="2E097C27" w:rsidR="003F27D8" w:rsidRPr="003F27D8" w:rsidRDefault="003F27D8" w:rsidP="003F27D8">
      <w:pPr>
        <w:pStyle w:val="BodyTextIndent2"/>
        <w:spacing w:after="120"/>
        <w:ind w:firstLine="0"/>
      </w:pPr>
      <w:r w:rsidRPr="003F27D8">
        <w:t>At all times the Pe</w:t>
      </w:r>
      <w:r w:rsidR="009743D3">
        <w:t>rmittee shall, to the extent pr</w:t>
      </w:r>
      <w:r w:rsidRPr="003F27D8">
        <w:t>acticable, maintain and operate the boilers, including associated air pollution control equipment, in a manner consistent with good air pollution control practice for minimizing emissions.</w:t>
      </w:r>
    </w:p>
    <w:p w14:paraId="504EDE2D" w14:textId="77777777" w:rsidR="003F27D8" w:rsidRDefault="003F27D8" w:rsidP="003F27D8">
      <w:pPr>
        <w:pStyle w:val="Footer"/>
        <w:tabs>
          <w:tab w:val="clear" w:pos="4680"/>
          <w:tab w:val="clear" w:pos="9360"/>
        </w:tabs>
        <w:jc w:val="left"/>
      </w:pPr>
    </w:p>
    <w:p w14:paraId="76AC357D" w14:textId="5F5E19B7" w:rsidR="003F27D8" w:rsidRPr="003F27D8" w:rsidRDefault="009743D3" w:rsidP="003F27D8">
      <w:pPr>
        <w:pStyle w:val="Footer"/>
        <w:tabs>
          <w:tab w:val="left" w:pos="720"/>
        </w:tabs>
      </w:pPr>
      <w:r>
        <w:tab/>
      </w:r>
      <w:r w:rsidR="003F27D8" w:rsidRPr="003F27D8">
        <w:t>Emissions and operation of the two boilers shall not exceed the following limits:</w:t>
      </w:r>
    </w:p>
    <w:p w14:paraId="478CF2DF" w14:textId="77777777" w:rsidR="003F27D8" w:rsidRPr="003F27D8" w:rsidRDefault="003F27D8" w:rsidP="003F27D8">
      <w:pPr>
        <w:pStyle w:val="Footer"/>
        <w:tabs>
          <w:tab w:val="left" w:pos="720"/>
        </w:tabs>
      </w:pPr>
      <w:r w:rsidRPr="003F27D8">
        <w:tab/>
      </w:r>
    </w:p>
    <w:p w14:paraId="054E3599" w14:textId="4916BDA1" w:rsidR="003F27D8" w:rsidRPr="003F27D8" w:rsidRDefault="003F27D8" w:rsidP="003F27D8">
      <w:pPr>
        <w:pStyle w:val="Footer"/>
        <w:tabs>
          <w:tab w:val="left" w:pos="720"/>
        </w:tabs>
        <w:ind w:left="432"/>
      </w:pPr>
      <w:r>
        <w:tab/>
      </w:r>
      <w:r w:rsidRPr="003F27D8">
        <w:t xml:space="preserve">The 15 </w:t>
      </w:r>
      <w:proofErr w:type="spellStart"/>
      <w:r w:rsidRPr="003F27D8">
        <w:t>mmBtu</w:t>
      </w:r>
      <w:proofErr w:type="spellEnd"/>
      <w:r w:rsidRPr="003F27D8">
        <w:t>/</w:t>
      </w:r>
      <w:proofErr w:type="spellStart"/>
      <w:r w:rsidR="002E29FF">
        <w:t>hr</w:t>
      </w:r>
      <w:proofErr w:type="spellEnd"/>
      <w:r w:rsidRPr="003F27D8">
        <w:t xml:space="preserve"> boiler shall not exceed the following:</w:t>
      </w:r>
    </w:p>
    <w:p w14:paraId="246AE73B" w14:textId="77777777" w:rsidR="003F27D8" w:rsidRPr="003F27D8" w:rsidRDefault="003F27D8" w:rsidP="003F27D8">
      <w:pPr>
        <w:pStyle w:val="Footer"/>
        <w:tabs>
          <w:tab w:val="left" w:pos="720"/>
        </w:tabs>
        <w:jc w:val="left"/>
      </w:pPr>
      <w:r w:rsidRPr="003F27D8">
        <w:t xml:space="preserve">                  </w:t>
      </w:r>
    </w:p>
    <w:p w14:paraId="34358233" w14:textId="41CF2190" w:rsidR="003F27D8" w:rsidRPr="003F27D8" w:rsidRDefault="003F27D8" w:rsidP="003F27D8">
      <w:pPr>
        <w:pStyle w:val="Footer"/>
        <w:tabs>
          <w:tab w:val="left" w:pos="720"/>
        </w:tabs>
        <w:jc w:val="left"/>
      </w:pPr>
      <w:r>
        <w:t xml:space="preserve">            </w:t>
      </w:r>
      <w:r w:rsidRPr="003F27D8">
        <w:t xml:space="preserve">Natural Gas Usage:  11.2 </w:t>
      </w:r>
      <w:r w:rsidR="00072599">
        <w:t>million standard cubic feet (</w:t>
      </w:r>
      <w:proofErr w:type="spellStart"/>
      <w:r w:rsidRPr="003F27D8">
        <w:t>mmscf</w:t>
      </w:r>
      <w:proofErr w:type="spellEnd"/>
      <w:r w:rsidR="00072599">
        <w:t>)</w:t>
      </w:r>
      <w:r w:rsidRPr="003F27D8">
        <w:t>/month</w:t>
      </w:r>
      <w:r w:rsidR="00072599">
        <w:t xml:space="preserve"> (</w:t>
      </w:r>
      <w:proofErr w:type="spellStart"/>
      <w:r w:rsidR="00072599">
        <w:t>mo</w:t>
      </w:r>
      <w:proofErr w:type="spellEnd"/>
      <w:r w:rsidR="00072599">
        <w:t>)</w:t>
      </w:r>
      <w:r w:rsidRPr="003F27D8">
        <w:t xml:space="preserve">, 132 </w:t>
      </w:r>
      <w:proofErr w:type="spellStart"/>
      <w:r w:rsidRPr="003F27D8">
        <w:t>mmscf</w:t>
      </w:r>
      <w:proofErr w:type="spellEnd"/>
      <w:r w:rsidRPr="003F27D8">
        <w:t>/</w:t>
      </w:r>
      <w:proofErr w:type="spellStart"/>
      <w:r w:rsidRPr="003F27D8">
        <w:t>yr</w:t>
      </w:r>
      <w:proofErr w:type="spellEnd"/>
    </w:p>
    <w:p w14:paraId="03D0A81C" w14:textId="77777777" w:rsidR="003F27D8" w:rsidRPr="003F27D8" w:rsidRDefault="003F27D8" w:rsidP="003F27D8">
      <w:pPr>
        <w:pStyle w:val="Footer"/>
        <w:tabs>
          <w:tab w:val="left" w:pos="720"/>
        </w:tabs>
      </w:pPr>
    </w:p>
    <w:p w14:paraId="76CDFBE2" w14:textId="77777777" w:rsidR="003F27D8" w:rsidRPr="003F27D8" w:rsidRDefault="003F27D8" w:rsidP="003F27D8">
      <w:pPr>
        <w:pStyle w:val="Footer"/>
        <w:tabs>
          <w:tab w:val="left" w:pos="720"/>
          <w:tab w:val="center" w:pos="5760"/>
        </w:tabs>
      </w:pPr>
      <w:r w:rsidRPr="003F27D8">
        <w:tab/>
        <w:t xml:space="preserve">                       Emission</w:t>
      </w:r>
    </w:p>
    <w:p w14:paraId="5744F267" w14:textId="77777777" w:rsidR="003F27D8" w:rsidRPr="003F27D8" w:rsidRDefault="003F27D8" w:rsidP="003F27D8">
      <w:pPr>
        <w:pStyle w:val="Footer"/>
        <w:tabs>
          <w:tab w:val="left" w:pos="720"/>
          <w:tab w:val="center" w:pos="2880"/>
          <w:tab w:val="center" w:pos="5040"/>
          <w:tab w:val="center" w:pos="5760"/>
          <w:tab w:val="center" w:pos="7560"/>
        </w:tabs>
      </w:pPr>
      <w:r w:rsidRPr="003F27D8">
        <w:tab/>
        <w:t xml:space="preserve">                          Factor</w:t>
      </w:r>
      <w:r w:rsidRPr="003F27D8">
        <w:tab/>
      </w:r>
      <w:r w:rsidRPr="003F27D8">
        <w:tab/>
        <w:t>Emissions</w:t>
      </w:r>
    </w:p>
    <w:p w14:paraId="0B144970" w14:textId="44B3C934" w:rsidR="003F27D8" w:rsidRPr="003F27D8" w:rsidRDefault="003F27D8" w:rsidP="003F27D8">
      <w:pPr>
        <w:pStyle w:val="Footer"/>
        <w:tabs>
          <w:tab w:val="left" w:pos="720"/>
          <w:tab w:val="center" w:pos="2340"/>
          <w:tab w:val="center" w:pos="3420"/>
          <w:tab w:val="center" w:pos="5940"/>
          <w:tab w:val="center" w:pos="6660"/>
          <w:tab w:val="center" w:pos="7560"/>
        </w:tabs>
        <w:rPr>
          <w:u w:val="single"/>
        </w:rPr>
      </w:pPr>
      <w:r w:rsidRPr="003F27D8">
        <w:tab/>
      </w:r>
      <w:r w:rsidRPr="003F27D8">
        <w:rPr>
          <w:u w:val="single"/>
        </w:rPr>
        <w:t>Pollutant</w:t>
      </w:r>
      <w:r w:rsidRPr="003F27D8">
        <w:tab/>
      </w:r>
      <w:r w:rsidRPr="003F27D8">
        <w:rPr>
          <w:u w:val="single"/>
        </w:rPr>
        <w:t>(</w:t>
      </w:r>
      <w:proofErr w:type="spellStart"/>
      <w:r w:rsidRPr="003F27D8">
        <w:rPr>
          <w:u w:val="single"/>
        </w:rPr>
        <w:t>Lbs</w:t>
      </w:r>
      <w:proofErr w:type="spellEnd"/>
      <w:r w:rsidRPr="003F27D8">
        <w:rPr>
          <w:u w:val="single"/>
        </w:rPr>
        <w:t>/</w:t>
      </w:r>
      <w:proofErr w:type="spellStart"/>
      <w:r w:rsidRPr="003F27D8">
        <w:rPr>
          <w:u w:val="single"/>
        </w:rPr>
        <w:t>mmscf</w:t>
      </w:r>
      <w:proofErr w:type="spellEnd"/>
      <w:r w:rsidRPr="003F27D8">
        <w:rPr>
          <w:u w:val="single"/>
        </w:rPr>
        <w:t>)</w:t>
      </w:r>
      <w:r w:rsidRPr="003F27D8">
        <w:tab/>
      </w:r>
      <w:r w:rsidRPr="003F27D8">
        <w:tab/>
      </w:r>
      <w:r w:rsidRPr="003F27D8">
        <w:rPr>
          <w:u w:val="single"/>
        </w:rPr>
        <w:t>(Ton/Mo)  (Ton/</w:t>
      </w:r>
      <w:proofErr w:type="spellStart"/>
      <w:r w:rsidR="00072599">
        <w:rPr>
          <w:u w:val="single"/>
        </w:rPr>
        <w:t>y</w:t>
      </w:r>
      <w:r w:rsidRPr="003F27D8">
        <w:rPr>
          <w:u w:val="single"/>
        </w:rPr>
        <w:t>r</w:t>
      </w:r>
      <w:proofErr w:type="spellEnd"/>
      <w:r w:rsidRPr="003F27D8">
        <w:rPr>
          <w:u w:val="single"/>
        </w:rPr>
        <w:t>)</w:t>
      </w:r>
    </w:p>
    <w:p w14:paraId="2452165F" w14:textId="77777777" w:rsidR="003F27D8" w:rsidRPr="003F27D8" w:rsidRDefault="003F27D8" w:rsidP="003F27D8">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pPr>
      <w:r w:rsidRPr="003F27D8">
        <w:tab/>
      </w:r>
    </w:p>
    <w:p w14:paraId="7C30F554" w14:textId="77777777" w:rsidR="003F27D8" w:rsidRPr="003F27D8" w:rsidRDefault="003F27D8" w:rsidP="003F27D8">
      <w:pPr>
        <w:pStyle w:val="Footer"/>
        <w:tabs>
          <w:tab w:val="left" w:pos="720"/>
          <w:tab w:val="center" w:pos="1080"/>
          <w:tab w:val="center" w:pos="2340"/>
          <w:tab w:val="center" w:pos="2520"/>
          <w:tab w:val="center" w:pos="2880"/>
          <w:tab w:val="center" w:pos="3420"/>
          <w:tab w:val="left" w:pos="4320"/>
          <w:tab w:val="center" w:pos="5040"/>
          <w:tab w:val="center" w:pos="5400"/>
          <w:tab w:val="decimal" w:pos="5940"/>
          <w:tab w:val="center" w:pos="6480"/>
          <w:tab w:val="center" w:pos="6660"/>
          <w:tab w:val="decimal" w:pos="7200"/>
          <w:tab w:val="center" w:pos="7560"/>
          <w:tab w:val="decimal" w:pos="7920"/>
        </w:tabs>
      </w:pPr>
      <w:r w:rsidRPr="003F27D8">
        <w:tab/>
        <w:t>NOx</w:t>
      </w:r>
      <w:r w:rsidRPr="003F27D8">
        <w:tab/>
        <w:t>100.0</w:t>
      </w:r>
      <w:r w:rsidRPr="003F27D8">
        <w:tab/>
      </w:r>
      <w:r w:rsidRPr="003F27D8">
        <w:tab/>
      </w:r>
      <w:r w:rsidRPr="003F27D8">
        <w:tab/>
        <w:t>1.32</w:t>
      </w:r>
      <w:r w:rsidRPr="003F27D8">
        <w:tab/>
      </w:r>
      <w:r w:rsidRPr="003F27D8">
        <w:tab/>
        <w:t xml:space="preserve">  13.2</w:t>
      </w:r>
    </w:p>
    <w:p w14:paraId="7D4087E8" w14:textId="77777777" w:rsidR="003F27D8" w:rsidRPr="003F27D8" w:rsidRDefault="003F27D8" w:rsidP="003F27D8">
      <w:pPr>
        <w:pStyle w:val="Footer"/>
        <w:tabs>
          <w:tab w:val="left" w:pos="720"/>
          <w:tab w:val="center" w:pos="1080"/>
          <w:tab w:val="center" w:pos="2340"/>
          <w:tab w:val="center" w:pos="2520"/>
          <w:tab w:val="center" w:pos="2880"/>
          <w:tab w:val="center" w:pos="3420"/>
          <w:tab w:val="left" w:pos="4320"/>
          <w:tab w:val="center" w:pos="5040"/>
          <w:tab w:val="center" w:pos="5400"/>
          <w:tab w:val="decimal" w:pos="5940"/>
          <w:tab w:val="center" w:pos="6480"/>
          <w:tab w:val="center" w:pos="6660"/>
          <w:tab w:val="decimal" w:pos="7200"/>
          <w:tab w:val="center" w:pos="7560"/>
          <w:tab w:val="decimal" w:pos="7920"/>
        </w:tabs>
      </w:pPr>
      <w:r w:rsidRPr="003F27D8">
        <w:tab/>
        <w:t>CO</w:t>
      </w:r>
      <w:r w:rsidRPr="003F27D8">
        <w:tab/>
      </w:r>
      <w:r w:rsidRPr="003F27D8">
        <w:tab/>
        <w:t>84.0</w:t>
      </w:r>
      <w:r w:rsidRPr="003F27D8">
        <w:tab/>
      </w:r>
      <w:r w:rsidRPr="003F27D8">
        <w:tab/>
      </w:r>
      <w:r w:rsidRPr="003F27D8">
        <w:tab/>
      </w:r>
      <w:r w:rsidRPr="003F27D8">
        <w:tab/>
        <w:t>1.11</w:t>
      </w:r>
      <w:r w:rsidRPr="003F27D8">
        <w:tab/>
      </w:r>
      <w:r w:rsidRPr="003F27D8">
        <w:tab/>
        <w:t xml:space="preserve">  11.1</w:t>
      </w:r>
    </w:p>
    <w:p w14:paraId="2FAABACE" w14:textId="77777777" w:rsidR="003F27D8" w:rsidRPr="003F27D8" w:rsidRDefault="003F27D8" w:rsidP="003F27D8">
      <w:pPr>
        <w:pStyle w:val="Footer"/>
        <w:tabs>
          <w:tab w:val="left" w:pos="720"/>
          <w:tab w:val="center" w:pos="1080"/>
          <w:tab w:val="center" w:pos="2340"/>
          <w:tab w:val="center" w:pos="2520"/>
          <w:tab w:val="center" w:pos="2880"/>
          <w:tab w:val="center" w:pos="3420"/>
          <w:tab w:val="left" w:pos="4320"/>
          <w:tab w:val="center" w:pos="5040"/>
          <w:tab w:val="center" w:pos="5400"/>
          <w:tab w:val="decimal" w:pos="5940"/>
          <w:tab w:val="center" w:pos="6480"/>
          <w:tab w:val="center" w:pos="6660"/>
          <w:tab w:val="decimal" w:pos="7200"/>
          <w:tab w:val="center" w:pos="7560"/>
          <w:tab w:val="decimal" w:pos="7920"/>
        </w:tabs>
      </w:pPr>
      <w:r w:rsidRPr="003F27D8">
        <w:tab/>
        <w:t>PM</w:t>
      </w:r>
      <w:r w:rsidRPr="003F27D8">
        <w:tab/>
      </w:r>
      <w:r w:rsidRPr="003F27D8">
        <w:tab/>
        <w:t>7.6</w:t>
      </w:r>
      <w:r w:rsidRPr="003F27D8">
        <w:tab/>
      </w:r>
      <w:r w:rsidRPr="003F27D8">
        <w:tab/>
      </w:r>
      <w:r w:rsidRPr="003F27D8">
        <w:tab/>
      </w:r>
      <w:r w:rsidRPr="003F27D8">
        <w:tab/>
        <w:t>0.10</w:t>
      </w:r>
      <w:r w:rsidRPr="003F27D8">
        <w:tab/>
      </w:r>
      <w:r w:rsidRPr="003F27D8">
        <w:tab/>
        <w:t xml:space="preserve">  1.0</w:t>
      </w:r>
    </w:p>
    <w:p w14:paraId="43CD3D7D" w14:textId="77777777" w:rsidR="003F27D8" w:rsidRPr="003F27D8" w:rsidRDefault="003F27D8" w:rsidP="003F27D8">
      <w:pPr>
        <w:pStyle w:val="Footer"/>
        <w:tabs>
          <w:tab w:val="left" w:pos="720"/>
          <w:tab w:val="center" w:pos="1080"/>
          <w:tab w:val="center" w:pos="2340"/>
          <w:tab w:val="center" w:pos="2520"/>
          <w:tab w:val="center" w:pos="2880"/>
          <w:tab w:val="center" w:pos="3420"/>
          <w:tab w:val="left" w:pos="4320"/>
          <w:tab w:val="center" w:pos="5040"/>
          <w:tab w:val="center" w:pos="5400"/>
          <w:tab w:val="decimal" w:pos="5940"/>
          <w:tab w:val="center" w:pos="6480"/>
          <w:tab w:val="center" w:pos="6660"/>
          <w:tab w:val="decimal" w:pos="7200"/>
          <w:tab w:val="center" w:pos="7560"/>
          <w:tab w:val="decimal" w:pos="7920"/>
        </w:tabs>
      </w:pPr>
      <w:r w:rsidRPr="003F27D8">
        <w:tab/>
        <w:t>VO</w:t>
      </w:r>
      <w:r w:rsidRPr="003F27D8">
        <w:tab/>
      </w:r>
      <w:r w:rsidRPr="003F27D8">
        <w:tab/>
        <w:t>5.5</w:t>
      </w:r>
      <w:r w:rsidRPr="003F27D8">
        <w:tab/>
      </w:r>
      <w:r w:rsidRPr="003F27D8">
        <w:tab/>
      </w:r>
      <w:r w:rsidRPr="003F27D8">
        <w:tab/>
      </w:r>
      <w:r w:rsidRPr="003F27D8">
        <w:tab/>
        <w:t>0.07</w:t>
      </w:r>
      <w:r w:rsidRPr="003F27D8">
        <w:tab/>
      </w:r>
      <w:r w:rsidRPr="003F27D8">
        <w:tab/>
        <w:t xml:space="preserve">  0.7</w:t>
      </w:r>
    </w:p>
    <w:p w14:paraId="33BCB748" w14:textId="77777777" w:rsidR="003F27D8" w:rsidRPr="003F27D8" w:rsidRDefault="003F27D8" w:rsidP="003F27D8">
      <w:pPr>
        <w:pStyle w:val="Footer"/>
        <w:tabs>
          <w:tab w:val="left" w:pos="720"/>
          <w:tab w:val="center" w:pos="1080"/>
          <w:tab w:val="center" w:pos="2340"/>
          <w:tab w:val="center" w:pos="2520"/>
          <w:tab w:val="center" w:pos="2880"/>
          <w:tab w:val="center" w:pos="3420"/>
          <w:tab w:val="left" w:pos="4320"/>
          <w:tab w:val="center" w:pos="5040"/>
          <w:tab w:val="center" w:pos="5400"/>
          <w:tab w:val="decimal" w:pos="5940"/>
          <w:tab w:val="center" w:pos="6480"/>
          <w:tab w:val="center" w:pos="6660"/>
          <w:tab w:val="center" w:pos="7200"/>
          <w:tab w:val="center" w:pos="7560"/>
          <w:tab w:val="center" w:pos="7920"/>
        </w:tabs>
      </w:pPr>
    </w:p>
    <w:p w14:paraId="69D01AF2" w14:textId="77777777" w:rsidR="003F27D8" w:rsidRPr="003F27D8" w:rsidRDefault="003F27D8" w:rsidP="003F27D8">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ind w:left="720" w:hanging="720"/>
      </w:pPr>
      <w:r w:rsidRPr="003F27D8">
        <w:tab/>
        <w:t>These limits define the potential emissions of NOx, CO, PM, and VOM and are based on maximum fuel usage and standard emission factors.  Compliance with annual limits shall be determined from a running total of 12 months of data.</w:t>
      </w:r>
    </w:p>
    <w:p w14:paraId="6FA6B54A" w14:textId="77777777" w:rsidR="003F27D8" w:rsidRPr="003F27D8" w:rsidRDefault="003F27D8" w:rsidP="003F27D8">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ind w:left="720" w:hanging="720"/>
      </w:pPr>
      <w:r w:rsidRPr="003F27D8">
        <w:tab/>
      </w:r>
    </w:p>
    <w:p w14:paraId="6985CFFE" w14:textId="18F75903" w:rsidR="003F27D8" w:rsidRPr="003F27D8" w:rsidRDefault="003F27D8" w:rsidP="003F27D8">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ind w:left="720" w:hanging="720"/>
      </w:pPr>
      <w:r>
        <w:tab/>
      </w:r>
      <w:r w:rsidRPr="003F27D8">
        <w:t xml:space="preserve">The 11.55 </w:t>
      </w:r>
      <w:proofErr w:type="spellStart"/>
      <w:r w:rsidRPr="003F27D8">
        <w:t>mmBtu</w:t>
      </w:r>
      <w:proofErr w:type="spellEnd"/>
      <w:r w:rsidRPr="003F27D8">
        <w:t>/</w:t>
      </w:r>
      <w:proofErr w:type="spellStart"/>
      <w:r w:rsidR="002E29FF">
        <w:t>hr</w:t>
      </w:r>
      <w:proofErr w:type="spellEnd"/>
      <w:r w:rsidRPr="003F27D8">
        <w:t xml:space="preserve"> boiler shall not exceed the following:</w:t>
      </w:r>
    </w:p>
    <w:p w14:paraId="4D8923B5" w14:textId="77777777" w:rsidR="003F27D8" w:rsidRPr="003F27D8" w:rsidRDefault="003F27D8" w:rsidP="003F27D8">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ind w:left="720" w:hanging="720"/>
      </w:pPr>
      <w:r w:rsidRPr="003F27D8">
        <w:tab/>
      </w:r>
    </w:p>
    <w:p w14:paraId="212BA7D4" w14:textId="0F30E1FF" w:rsidR="003F27D8" w:rsidRPr="003F27D8" w:rsidRDefault="003F27D8" w:rsidP="003F27D8">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ind w:left="720" w:hanging="720"/>
      </w:pPr>
      <w:r w:rsidRPr="003F27D8">
        <w:tab/>
        <w:t xml:space="preserve">Natural Gas Usage:  10.0 </w:t>
      </w:r>
      <w:proofErr w:type="spellStart"/>
      <w:r w:rsidRPr="003F27D8">
        <w:t>mmscf</w:t>
      </w:r>
      <w:proofErr w:type="spellEnd"/>
      <w:r w:rsidRPr="003F27D8">
        <w:t>/month,</w:t>
      </w:r>
      <w:r w:rsidR="00072599">
        <w:t xml:space="preserve"> 99.25 </w:t>
      </w:r>
      <w:proofErr w:type="spellStart"/>
      <w:r w:rsidR="00072599">
        <w:t>mmscf</w:t>
      </w:r>
      <w:proofErr w:type="spellEnd"/>
      <w:r w:rsidR="00072599">
        <w:t>/</w:t>
      </w:r>
      <w:proofErr w:type="spellStart"/>
      <w:r w:rsidR="00072599">
        <w:t>y</w:t>
      </w:r>
      <w:r w:rsidRPr="003F27D8">
        <w:t>r</w:t>
      </w:r>
      <w:proofErr w:type="spellEnd"/>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1772"/>
        <w:gridCol w:w="1952"/>
        <w:gridCol w:w="1787"/>
      </w:tblGrid>
      <w:tr w:rsidR="003F27D8" w:rsidRPr="003F27D8" w14:paraId="608A34B1" w14:textId="77777777" w:rsidTr="009D7835">
        <w:tc>
          <w:tcPr>
            <w:tcW w:w="3618" w:type="dxa"/>
            <w:vMerge w:val="restart"/>
            <w:vAlign w:val="bottom"/>
          </w:tcPr>
          <w:p w14:paraId="22D23806"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left"/>
            </w:pPr>
            <w:r w:rsidRPr="003F27D8">
              <w:t>Pollutant</w:t>
            </w:r>
          </w:p>
        </w:tc>
        <w:tc>
          <w:tcPr>
            <w:tcW w:w="1800" w:type="dxa"/>
          </w:tcPr>
          <w:p w14:paraId="75BC0702"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Emission Factor</w:t>
            </w:r>
          </w:p>
        </w:tc>
        <w:tc>
          <w:tcPr>
            <w:tcW w:w="3798" w:type="dxa"/>
            <w:gridSpan w:val="2"/>
          </w:tcPr>
          <w:p w14:paraId="4965C6D8"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Emissions</w:t>
            </w:r>
          </w:p>
        </w:tc>
      </w:tr>
      <w:tr w:rsidR="003F27D8" w:rsidRPr="003F27D8" w14:paraId="16C79E2E" w14:textId="77777777" w:rsidTr="009D7835">
        <w:tc>
          <w:tcPr>
            <w:tcW w:w="3618" w:type="dxa"/>
            <w:vMerge/>
            <w:tcBorders>
              <w:bottom w:val="single" w:sz="18" w:space="0" w:color="auto"/>
            </w:tcBorders>
          </w:tcPr>
          <w:p w14:paraId="31145D8B"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pPr>
          </w:p>
        </w:tc>
        <w:tc>
          <w:tcPr>
            <w:tcW w:w="1800" w:type="dxa"/>
            <w:tcBorders>
              <w:bottom w:val="single" w:sz="18" w:space="0" w:color="auto"/>
            </w:tcBorders>
          </w:tcPr>
          <w:p w14:paraId="75555EE8"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w:t>
            </w:r>
            <w:proofErr w:type="spellStart"/>
            <w:r w:rsidRPr="003F27D8">
              <w:t>lb</w:t>
            </w:r>
            <w:proofErr w:type="spellEnd"/>
            <w:r w:rsidRPr="003F27D8">
              <w:t>/</w:t>
            </w:r>
            <w:proofErr w:type="spellStart"/>
            <w:r w:rsidRPr="003F27D8">
              <w:t>mmscf</w:t>
            </w:r>
            <w:proofErr w:type="spellEnd"/>
            <w:r w:rsidRPr="003F27D8">
              <w:t>)</w:t>
            </w:r>
          </w:p>
        </w:tc>
        <w:tc>
          <w:tcPr>
            <w:tcW w:w="1980" w:type="dxa"/>
            <w:tcBorders>
              <w:bottom w:val="single" w:sz="18" w:space="0" w:color="auto"/>
            </w:tcBorders>
          </w:tcPr>
          <w:p w14:paraId="6726DA12"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(tons/month)</w:t>
            </w:r>
          </w:p>
        </w:tc>
        <w:tc>
          <w:tcPr>
            <w:tcW w:w="1818" w:type="dxa"/>
            <w:tcBorders>
              <w:bottom w:val="single" w:sz="18" w:space="0" w:color="auto"/>
            </w:tcBorders>
          </w:tcPr>
          <w:p w14:paraId="5888E50A"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(tons/year)</w:t>
            </w:r>
          </w:p>
        </w:tc>
      </w:tr>
      <w:tr w:rsidR="003F27D8" w:rsidRPr="003F27D8" w14:paraId="3986FE3F" w14:textId="77777777" w:rsidTr="009D7835">
        <w:tc>
          <w:tcPr>
            <w:tcW w:w="3618" w:type="dxa"/>
            <w:tcBorders>
              <w:top w:val="single" w:sz="18" w:space="0" w:color="auto"/>
            </w:tcBorders>
          </w:tcPr>
          <w:p w14:paraId="030C139F"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pPr>
            <w:r w:rsidRPr="003F27D8">
              <w:t>Nitrogen Oxides (NOx)</w:t>
            </w:r>
          </w:p>
        </w:tc>
        <w:tc>
          <w:tcPr>
            <w:tcW w:w="1800" w:type="dxa"/>
            <w:tcBorders>
              <w:top w:val="single" w:sz="18" w:space="0" w:color="auto"/>
            </w:tcBorders>
          </w:tcPr>
          <w:p w14:paraId="01596420"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32*</w:t>
            </w:r>
          </w:p>
        </w:tc>
        <w:tc>
          <w:tcPr>
            <w:tcW w:w="1980" w:type="dxa"/>
            <w:tcBorders>
              <w:top w:val="single" w:sz="18" w:space="0" w:color="auto"/>
            </w:tcBorders>
          </w:tcPr>
          <w:p w14:paraId="5D62DD4B"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0.16</w:t>
            </w:r>
          </w:p>
        </w:tc>
        <w:tc>
          <w:tcPr>
            <w:tcW w:w="1818" w:type="dxa"/>
            <w:tcBorders>
              <w:top w:val="single" w:sz="18" w:space="0" w:color="auto"/>
            </w:tcBorders>
          </w:tcPr>
          <w:p w14:paraId="34D06387"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1.59</w:t>
            </w:r>
          </w:p>
        </w:tc>
      </w:tr>
      <w:tr w:rsidR="003F27D8" w:rsidRPr="003F27D8" w14:paraId="49045C43" w14:textId="77777777" w:rsidTr="009D7835">
        <w:tc>
          <w:tcPr>
            <w:tcW w:w="3618" w:type="dxa"/>
          </w:tcPr>
          <w:p w14:paraId="0AD48650"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pPr>
            <w:r w:rsidRPr="003F27D8">
              <w:t>Carbon Monoxide (CO)</w:t>
            </w:r>
          </w:p>
        </w:tc>
        <w:tc>
          <w:tcPr>
            <w:tcW w:w="1800" w:type="dxa"/>
          </w:tcPr>
          <w:p w14:paraId="16317339"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84</w:t>
            </w:r>
          </w:p>
        </w:tc>
        <w:tc>
          <w:tcPr>
            <w:tcW w:w="1980" w:type="dxa"/>
          </w:tcPr>
          <w:p w14:paraId="021E021D"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0.417</w:t>
            </w:r>
          </w:p>
        </w:tc>
        <w:tc>
          <w:tcPr>
            <w:tcW w:w="1818" w:type="dxa"/>
          </w:tcPr>
          <w:p w14:paraId="5443D30C"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4.17</w:t>
            </w:r>
          </w:p>
        </w:tc>
      </w:tr>
      <w:tr w:rsidR="003F27D8" w:rsidRPr="003F27D8" w14:paraId="55DFAFC5" w14:textId="77777777" w:rsidTr="009D7835">
        <w:tc>
          <w:tcPr>
            <w:tcW w:w="3618" w:type="dxa"/>
          </w:tcPr>
          <w:p w14:paraId="47544C35"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pPr>
            <w:r w:rsidRPr="003F27D8">
              <w:t>Sulfur Dioxide (SO2)</w:t>
            </w:r>
          </w:p>
        </w:tc>
        <w:tc>
          <w:tcPr>
            <w:tcW w:w="1800" w:type="dxa"/>
          </w:tcPr>
          <w:p w14:paraId="07FC6D3E"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0.6</w:t>
            </w:r>
          </w:p>
        </w:tc>
        <w:tc>
          <w:tcPr>
            <w:tcW w:w="1980" w:type="dxa"/>
          </w:tcPr>
          <w:p w14:paraId="79F78AC8"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0.003</w:t>
            </w:r>
          </w:p>
        </w:tc>
        <w:tc>
          <w:tcPr>
            <w:tcW w:w="1818" w:type="dxa"/>
          </w:tcPr>
          <w:p w14:paraId="289421C1"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0.03</w:t>
            </w:r>
          </w:p>
        </w:tc>
      </w:tr>
      <w:tr w:rsidR="003F27D8" w:rsidRPr="003F27D8" w14:paraId="41FB850F" w14:textId="77777777" w:rsidTr="009D7835">
        <w:tc>
          <w:tcPr>
            <w:tcW w:w="3618" w:type="dxa"/>
          </w:tcPr>
          <w:p w14:paraId="0166FD6D"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pPr>
            <w:r w:rsidRPr="003F27D8">
              <w:t>Particulate Matter (PM)</w:t>
            </w:r>
          </w:p>
        </w:tc>
        <w:tc>
          <w:tcPr>
            <w:tcW w:w="1800" w:type="dxa"/>
          </w:tcPr>
          <w:p w14:paraId="6714DE71"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7.6</w:t>
            </w:r>
          </w:p>
        </w:tc>
        <w:tc>
          <w:tcPr>
            <w:tcW w:w="1980" w:type="dxa"/>
          </w:tcPr>
          <w:p w14:paraId="26A67676"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0.038</w:t>
            </w:r>
          </w:p>
        </w:tc>
        <w:tc>
          <w:tcPr>
            <w:tcW w:w="1818" w:type="dxa"/>
          </w:tcPr>
          <w:p w14:paraId="5B1B50E7"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0.38</w:t>
            </w:r>
          </w:p>
        </w:tc>
      </w:tr>
      <w:tr w:rsidR="003F27D8" w:rsidRPr="003F27D8" w14:paraId="0465B2FA" w14:textId="77777777" w:rsidTr="009D7835">
        <w:tc>
          <w:tcPr>
            <w:tcW w:w="3618" w:type="dxa"/>
          </w:tcPr>
          <w:p w14:paraId="692C73CD"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pPr>
            <w:r w:rsidRPr="003F27D8">
              <w:t>Volatile Organic Material (VOM)</w:t>
            </w:r>
          </w:p>
        </w:tc>
        <w:tc>
          <w:tcPr>
            <w:tcW w:w="1800" w:type="dxa"/>
          </w:tcPr>
          <w:p w14:paraId="69637A21"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5.5</w:t>
            </w:r>
          </w:p>
        </w:tc>
        <w:tc>
          <w:tcPr>
            <w:tcW w:w="1980" w:type="dxa"/>
          </w:tcPr>
          <w:p w14:paraId="28512B17"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0.027</w:t>
            </w:r>
          </w:p>
        </w:tc>
        <w:tc>
          <w:tcPr>
            <w:tcW w:w="1818" w:type="dxa"/>
          </w:tcPr>
          <w:p w14:paraId="4CEEE8CC" w14:textId="77777777" w:rsidR="003F27D8" w:rsidRPr="003F27D8" w:rsidRDefault="003F27D8" w:rsidP="009D7835">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jc w:val="center"/>
            </w:pPr>
            <w:r w:rsidRPr="003F27D8">
              <w:t>0.27</w:t>
            </w:r>
          </w:p>
        </w:tc>
      </w:tr>
    </w:tbl>
    <w:p w14:paraId="4C8FE4A1" w14:textId="77777777" w:rsidR="003F27D8" w:rsidRPr="003F27D8" w:rsidRDefault="003F27D8" w:rsidP="003F27D8">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ind w:left="720" w:hanging="720"/>
      </w:pPr>
    </w:p>
    <w:p w14:paraId="4742DD17" w14:textId="77777777" w:rsidR="003F27D8" w:rsidRPr="003F27D8" w:rsidRDefault="003F27D8" w:rsidP="003F27D8">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ind w:left="720" w:hanging="720"/>
      </w:pPr>
      <w:r w:rsidRPr="003F27D8">
        <w:tab/>
        <w:t>*The emission factor for flue gas recirculation is used.  This boiler is constructed with flue gas recirculation.</w:t>
      </w:r>
    </w:p>
    <w:p w14:paraId="6B2884B5" w14:textId="77777777" w:rsidR="003F27D8" w:rsidRPr="003F27D8" w:rsidRDefault="003F27D8" w:rsidP="003F27D8">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ind w:left="720" w:hanging="720"/>
      </w:pPr>
    </w:p>
    <w:p w14:paraId="0C780D4B" w14:textId="441874CE" w:rsidR="003F27D8" w:rsidRPr="003F27D8" w:rsidRDefault="003F27D8" w:rsidP="003F27D8">
      <w:pPr>
        <w:pStyle w:val="Footer"/>
        <w:tabs>
          <w:tab w:val="left" w:pos="720"/>
          <w:tab w:val="center" w:pos="5760"/>
        </w:tabs>
        <w:ind w:left="720"/>
      </w:pPr>
      <w:r>
        <w:tab/>
      </w:r>
      <w:r w:rsidRPr="003F27D8">
        <w:t xml:space="preserve">Natural Gas shall be the only fuel used in the two boilers.  Use of any other fuel other than natural gas requires a permit change.           </w:t>
      </w:r>
    </w:p>
    <w:p w14:paraId="2DC7FFF8" w14:textId="77777777" w:rsidR="003F27D8" w:rsidRPr="003F27D8" w:rsidRDefault="003F27D8" w:rsidP="003F27D8">
      <w:pPr>
        <w:pStyle w:val="Footer"/>
        <w:tabs>
          <w:tab w:val="clear" w:pos="4680"/>
          <w:tab w:val="clear" w:pos="9360"/>
        </w:tabs>
        <w:jc w:val="left"/>
      </w:pPr>
    </w:p>
    <w:p w14:paraId="397DB1E0" w14:textId="1ECC5900" w:rsidR="003F27D8" w:rsidRDefault="003F27D8" w:rsidP="00BF736A">
      <w:pPr>
        <w:rPr>
          <w:b/>
        </w:rPr>
      </w:pPr>
      <w:r>
        <w:rPr>
          <w:b/>
        </w:rPr>
        <w:lastRenderedPageBreak/>
        <w:t>Fuel Dispensing</w:t>
      </w:r>
    </w:p>
    <w:p w14:paraId="725E1804" w14:textId="77777777" w:rsidR="003F27D8" w:rsidRDefault="003F27D8" w:rsidP="00BF736A">
      <w:pPr>
        <w:rPr>
          <w:b/>
        </w:rPr>
      </w:pPr>
    </w:p>
    <w:p w14:paraId="620A32B1" w14:textId="2680B288" w:rsidR="003F27D8" w:rsidRPr="003F27D8" w:rsidRDefault="003F27D8" w:rsidP="003F27D8">
      <w:pPr>
        <w:pStyle w:val="BodyTextIndent2"/>
        <w:spacing w:after="120"/>
        <w:ind w:hanging="60"/>
      </w:pPr>
      <w:r w:rsidRPr="003F27D8">
        <w:t xml:space="preserve">The Gasoline Dispensing Facility is subject to NESHAP for Source Categories:  Gasoline Dispensing Facilities, 40 CFR Part 63 Subparts A and CCCCCC.  The </w:t>
      </w:r>
      <w:r w:rsidR="000B56C5">
        <w:t>I</w:t>
      </w:r>
      <w:r w:rsidRPr="003F27D8">
        <w:t>EPA is administering NESHAP in Illinois on behalf of the USEPA under a delegation agreement.</w:t>
      </w:r>
    </w:p>
    <w:p w14:paraId="3C47AB09" w14:textId="77777777" w:rsidR="003F27D8" w:rsidRPr="003F27D8" w:rsidRDefault="003F27D8" w:rsidP="003F27D8">
      <w:pPr>
        <w:pStyle w:val="BodyTextIndent2"/>
        <w:spacing w:after="120"/>
        <w:ind w:left="660" w:firstLine="0"/>
      </w:pPr>
      <w:r w:rsidRPr="003F27D8">
        <w:t>The source shall comply with the applicable requirements of 40 CFR Part 63 Subparts A and CCCCCC.</w:t>
      </w:r>
    </w:p>
    <w:p w14:paraId="12A83845" w14:textId="2D09C26C" w:rsidR="003F27D8" w:rsidRDefault="003F27D8" w:rsidP="003F27D8">
      <w:pPr>
        <w:ind w:left="660"/>
        <w:rPr>
          <w:b/>
        </w:rPr>
      </w:pPr>
      <w:r w:rsidRPr="003F27D8">
        <w:t xml:space="preserve">This permit is issued based on negligible emissions of VOM from the gasoline dispensing storage tank.  For this purpose, emissions shall not exceed nominal emission rates of 0.1 </w:t>
      </w:r>
      <w:proofErr w:type="spellStart"/>
      <w:r w:rsidRPr="003F27D8">
        <w:t>lb</w:t>
      </w:r>
      <w:proofErr w:type="spellEnd"/>
      <w:r w:rsidRPr="003F27D8">
        <w:t>/</w:t>
      </w:r>
      <w:proofErr w:type="spellStart"/>
      <w:r w:rsidR="002E29FF">
        <w:t>hr</w:t>
      </w:r>
      <w:proofErr w:type="spellEnd"/>
      <w:r w:rsidRPr="003F27D8">
        <w:t xml:space="preserve"> and 0.44 tons/year.</w:t>
      </w:r>
    </w:p>
    <w:p w14:paraId="14F5BFE9" w14:textId="77777777" w:rsidR="003F27D8" w:rsidRDefault="003F27D8" w:rsidP="00BF736A">
      <w:pPr>
        <w:rPr>
          <w:b/>
        </w:rPr>
      </w:pPr>
    </w:p>
    <w:p w14:paraId="2DC0C607" w14:textId="21EF9E82" w:rsidR="003F27D8" w:rsidRPr="003F27D8" w:rsidRDefault="003F27D8" w:rsidP="003F27D8">
      <w:pPr>
        <w:pStyle w:val="Footer"/>
        <w:ind w:left="720" w:hanging="720"/>
      </w:pPr>
      <w:r>
        <w:tab/>
      </w:r>
      <w:r w:rsidRPr="003F27D8">
        <w:t>The gasoline tank shall be equipped and operated with a submerged loading pipe, pursuant to 35 IAC 218.122 (b) and 218.583(a)(1).</w:t>
      </w:r>
    </w:p>
    <w:p w14:paraId="5779C7B8" w14:textId="77777777" w:rsidR="003F27D8" w:rsidRPr="003F27D8" w:rsidRDefault="003F27D8" w:rsidP="003F27D8">
      <w:pPr>
        <w:pStyle w:val="Footer"/>
        <w:ind w:left="720" w:hanging="720"/>
      </w:pPr>
    </w:p>
    <w:p w14:paraId="75EFBB20" w14:textId="28DEBC3B" w:rsidR="003F27D8" w:rsidRPr="003F27D8" w:rsidRDefault="003F27D8" w:rsidP="003F27D8">
      <w:pPr>
        <w:pStyle w:val="Footer"/>
        <w:spacing w:after="180"/>
        <w:ind w:left="720" w:hanging="540"/>
      </w:pPr>
      <w:r>
        <w:tab/>
      </w:r>
      <w:r w:rsidRPr="003F27D8">
        <w:t>All tank vent pipes shall be equipped with pressure/vacuum relief valves with the following design specifications:</w:t>
      </w:r>
    </w:p>
    <w:p w14:paraId="08EAC04D" w14:textId="2AF300A7" w:rsidR="003F27D8" w:rsidRPr="003F27D8" w:rsidRDefault="003F27D8" w:rsidP="003F27D8">
      <w:pPr>
        <w:pStyle w:val="Footer"/>
        <w:spacing w:after="180"/>
        <w:ind w:left="1080" w:hanging="360"/>
      </w:pPr>
      <w:r>
        <w:t>a</w:t>
      </w:r>
      <w:r w:rsidRPr="003F27D8">
        <w:t>.</w:t>
      </w:r>
      <w:r w:rsidRPr="003F27D8">
        <w:tab/>
        <w:t>The pressure/vacuum relief value shall be set to resist a pressure of at least 3.5 inches of water column and to resist a vacuum of no less than 6.0 inches of water column; or</w:t>
      </w:r>
    </w:p>
    <w:p w14:paraId="30DFFF3F" w14:textId="246569A0" w:rsidR="003F27D8" w:rsidRPr="003F27D8" w:rsidRDefault="003F27D8" w:rsidP="003F27D8">
      <w:pPr>
        <w:pStyle w:val="Footer"/>
        <w:spacing w:after="180"/>
        <w:ind w:left="1440" w:hanging="720"/>
      </w:pPr>
      <w:r>
        <w:t>b</w:t>
      </w:r>
      <w:r w:rsidRPr="003F27D8">
        <w:t>.</w:t>
      </w:r>
      <w:r>
        <w:t xml:space="preserve">   </w:t>
      </w:r>
      <w:r w:rsidRPr="003F27D8">
        <w:t>The pressure/vacuum relief valve shall meet the requirements of Section 218.586(c).</w:t>
      </w:r>
    </w:p>
    <w:p w14:paraId="461686B3" w14:textId="77777777" w:rsidR="003F27D8" w:rsidRPr="003F27D8" w:rsidRDefault="003F27D8" w:rsidP="003F27D8">
      <w:pPr>
        <w:pStyle w:val="Footer"/>
        <w:tabs>
          <w:tab w:val="clear" w:pos="4680"/>
          <w:tab w:val="clear" w:pos="9360"/>
        </w:tabs>
        <w:spacing w:after="180"/>
        <w:ind w:left="720"/>
        <w:jc w:val="left"/>
      </w:pPr>
      <w:r w:rsidRPr="003F27D8">
        <w:t>The permittee shall implement the following with respect to the Stage I Vapor Balance System:</w:t>
      </w:r>
    </w:p>
    <w:p w14:paraId="693A607C" w14:textId="77777777" w:rsidR="003F27D8" w:rsidRPr="003F27D8" w:rsidRDefault="003F27D8" w:rsidP="009743D3">
      <w:pPr>
        <w:pStyle w:val="Footer"/>
        <w:numPr>
          <w:ilvl w:val="2"/>
          <w:numId w:val="25"/>
        </w:numPr>
        <w:tabs>
          <w:tab w:val="clear" w:pos="2340"/>
          <w:tab w:val="clear" w:pos="4680"/>
          <w:tab w:val="clear" w:pos="9360"/>
        </w:tabs>
        <w:spacing w:after="180"/>
        <w:ind w:left="1080"/>
        <w:jc w:val="left"/>
      </w:pPr>
      <w:r w:rsidRPr="003F27D8">
        <w:t>Maintain and operate the system in accordance with the established procedures and instructions.  [35 IAC 218 583 (d) (1)]</w:t>
      </w:r>
    </w:p>
    <w:p w14:paraId="7F945E9E" w14:textId="77777777" w:rsidR="003F27D8" w:rsidRPr="003F27D8" w:rsidRDefault="003F27D8" w:rsidP="009743D3">
      <w:pPr>
        <w:pStyle w:val="Footer"/>
        <w:numPr>
          <w:ilvl w:val="2"/>
          <w:numId w:val="25"/>
        </w:numPr>
        <w:tabs>
          <w:tab w:val="clear" w:pos="2340"/>
          <w:tab w:val="clear" w:pos="4680"/>
          <w:tab w:val="clear" w:pos="9360"/>
        </w:tabs>
        <w:spacing w:after="180"/>
        <w:ind w:left="1080"/>
        <w:jc w:val="left"/>
      </w:pPr>
      <w:r w:rsidRPr="003F27D8">
        <w:t>Maintain gauges, meters, or other specified testing devices in proper working order [35 IAC 218.583(d)(3)]</w:t>
      </w:r>
    </w:p>
    <w:p w14:paraId="79FED0FA" w14:textId="77777777" w:rsidR="003F27D8" w:rsidRPr="003F27D8" w:rsidRDefault="003F27D8" w:rsidP="009743D3">
      <w:pPr>
        <w:pStyle w:val="Footer"/>
        <w:numPr>
          <w:ilvl w:val="2"/>
          <w:numId w:val="25"/>
        </w:numPr>
        <w:tabs>
          <w:tab w:val="clear" w:pos="2340"/>
          <w:tab w:val="clear" w:pos="4680"/>
          <w:tab w:val="clear" w:pos="9360"/>
        </w:tabs>
        <w:spacing w:after="180"/>
        <w:ind w:left="1080"/>
        <w:jc w:val="left"/>
      </w:pPr>
      <w:r w:rsidRPr="003F27D8">
        <w:t>Operate the vapor balance system and delivery vessel unloading points in a manner that prevents:</w:t>
      </w:r>
    </w:p>
    <w:p w14:paraId="3FA3F125" w14:textId="77777777" w:rsidR="003F27D8" w:rsidRPr="003F27D8" w:rsidRDefault="003F27D8" w:rsidP="009743D3">
      <w:pPr>
        <w:pStyle w:val="Footer"/>
        <w:numPr>
          <w:ilvl w:val="0"/>
          <w:numId w:val="30"/>
        </w:numPr>
        <w:tabs>
          <w:tab w:val="left" w:pos="180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spacing w:after="180"/>
        <w:ind w:left="1783"/>
      </w:pPr>
      <w:r w:rsidRPr="003F27D8">
        <w:t>A reading equal to or greater than 100 percent of the lower explosive limit (LEL measured as propane) when tested in accordance with the procedure described in EPA 450/2-78-051 Appendix B, and</w:t>
      </w:r>
    </w:p>
    <w:p w14:paraId="0F66E8B1" w14:textId="70399D63" w:rsidR="003F27D8" w:rsidRPr="003F27D8" w:rsidRDefault="003F27D8" w:rsidP="009743D3">
      <w:pPr>
        <w:pStyle w:val="Footer"/>
        <w:spacing w:after="180"/>
        <w:ind w:left="1296" w:hanging="864"/>
      </w:pPr>
      <w:r w:rsidRPr="003F27D8">
        <w:t xml:space="preserve">            ii.</w:t>
      </w:r>
      <w:r w:rsidRPr="003F27D8">
        <w:tab/>
        <w:t xml:space="preserve">       Avoidable leaks of liquid during the filling of storage tanks.  [35 IAC 218.583 (d) </w:t>
      </w:r>
      <w:r w:rsidR="009743D3">
        <w:t xml:space="preserve">         </w:t>
      </w:r>
      <w:r w:rsidRPr="003F27D8">
        <w:t>(4)]</w:t>
      </w:r>
    </w:p>
    <w:p w14:paraId="79F99661" w14:textId="77777777" w:rsidR="003F27D8" w:rsidRPr="003F27D8" w:rsidRDefault="003F27D8" w:rsidP="009743D3">
      <w:pPr>
        <w:pStyle w:val="Footer"/>
        <w:tabs>
          <w:tab w:val="left" w:pos="1440"/>
          <w:tab w:val="num" w:pos="198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spacing w:after="180"/>
        <w:ind w:left="1080" w:hanging="360"/>
      </w:pPr>
      <w:r w:rsidRPr="003F27D8">
        <w:t>d.</w:t>
      </w:r>
      <w:r w:rsidRPr="003F27D8">
        <w:tab/>
        <w:t>Repair, replace, or modify any worn out or malfunctioning component or element of design.  [35 IAC 218.583(c)(3)]</w:t>
      </w:r>
    </w:p>
    <w:p w14:paraId="770AFD66" w14:textId="77777777" w:rsidR="003F27D8" w:rsidRPr="003F27D8" w:rsidRDefault="003F27D8" w:rsidP="009743D3">
      <w:pPr>
        <w:pStyle w:val="Footer"/>
        <w:tabs>
          <w:tab w:val="left" w:pos="1440"/>
          <w:tab w:val="num" w:pos="198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spacing w:after="180"/>
        <w:ind w:left="1080" w:hanging="360"/>
      </w:pPr>
      <w:r w:rsidRPr="003F27D8">
        <w:t>e.</w:t>
      </w:r>
      <w:r w:rsidRPr="003F27D8">
        <w:tab/>
        <w:t>Within 15 business days after discover of the leak, repair and retest a vapor balance system which exceeds the above limits in Condition 14©.  [35 IAC 218.583(d)(5)]</w:t>
      </w:r>
    </w:p>
    <w:p w14:paraId="7BA81D20" w14:textId="77777777" w:rsidR="003F27D8" w:rsidRPr="003F27D8" w:rsidRDefault="003F27D8" w:rsidP="009743D3">
      <w:pPr>
        <w:pStyle w:val="Footer"/>
        <w:tabs>
          <w:tab w:val="left" w:pos="1440"/>
          <w:tab w:val="num" w:pos="198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spacing w:after="180"/>
        <w:ind w:left="1080" w:hanging="360"/>
      </w:pPr>
      <w:r w:rsidRPr="003F27D8">
        <w:lastRenderedPageBreak/>
        <w:t>f.</w:t>
      </w:r>
      <w:r w:rsidRPr="003F27D8">
        <w:tab/>
        <w:t>Provide instructions to the personnel operating the gasoline dispensing facility describing necessary maintenance operations and procedures for prompt notification of the Permittee in case of any malfunction of a vapor balance system.  [35 IAC 218.583(c)(2)]</w:t>
      </w:r>
    </w:p>
    <w:p w14:paraId="42186821" w14:textId="75B45281" w:rsidR="003F27D8" w:rsidRDefault="00DE3A1B" w:rsidP="009743D3">
      <w:pPr>
        <w:ind w:left="720"/>
      </w:pPr>
      <w:r w:rsidRPr="003F27D8">
        <w:t>Personnel operating the gasoline dispensing facility shall operate in accordance with the Permittee’s instructions and shall promptly notify responsible maintenance personnel or their supervisor of any scheduled maintenance or malfunction requiring replacement or repair of a major component of a vapor balance system.  [35 IAC 218.583(d)(1) and (2)]</w:t>
      </w:r>
    </w:p>
    <w:p w14:paraId="16EF7323" w14:textId="77777777" w:rsidR="00DE3A1B" w:rsidRDefault="00DE3A1B" w:rsidP="00DE3A1B">
      <w:pPr>
        <w:ind w:left="547"/>
      </w:pPr>
    </w:p>
    <w:p w14:paraId="0A733B8F" w14:textId="14AA980B" w:rsidR="00DE3A1B" w:rsidRDefault="00DE3A1B" w:rsidP="00DE3A1B">
      <w:pPr>
        <w:rPr>
          <w:b/>
        </w:rPr>
      </w:pPr>
      <w:r>
        <w:rPr>
          <w:b/>
        </w:rPr>
        <w:t>Radionuclide Emission Stacks</w:t>
      </w:r>
    </w:p>
    <w:p w14:paraId="43250FCF" w14:textId="15268573" w:rsidR="00DE3A1B" w:rsidRPr="003F27D8" w:rsidRDefault="00DE3A1B" w:rsidP="009743D3">
      <w:pPr>
        <w:pStyle w:val="BodyTextIndent2"/>
        <w:spacing w:before="240" w:after="120"/>
        <w:ind w:firstLine="0"/>
      </w:pPr>
      <w:r w:rsidRPr="003F27D8">
        <w:t xml:space="preserve">This </w:t>
      </w:r>
      <w:r w:rsidR="000B56C5">
        <w:t>DOE facility</w:t>
      </w:r>
      <w:r w:rsidRPr="003F27D8">
        <w:t xml:space="preserve"> is subject to a NESHAP for radionuclide emissions, 40 CFR 61, Subparts A and H.</w:t>
      </w:r>
    </w:p>
    <w:p w14:paraId="7FDC4DB0" w14:textId="30F62036" w:rsidR="00DE3A1B" w:rsidRPr="003F27D8" w:rsidRDefault="00DE3A1B" w:rsidP="00DE3A1B">
      <w:pPr>
        <w:spacing w:before="240" w:after="120"/>
        <w:ind w:left="720"/>
        <w:jc w:val="left"/>
      </w:pPr>
      <w:r w:rsidRPr="003F27D8">
        <w:t xml:space="preserve">Pursuant to the </w:t>
      </w:r>
      <w:r w:rsidR="000B56C5">
        <w:t>NESHAP</w:t>
      </w:r>
      <w:r w:rsidRPr="003F27D8">
        <w:t>, emissions of radionuclides shall not exceed those amounts that cause a dose equivalent to 10 mrem/</w:t>
      </w:r>
      <w:proofErr w:type="spellStart"/>
      <w:r w:rsidRPr="003F27D8">
        <w:t>yr</w:t>
      </w:r>
      <w:proofErr w:type="spellEnd"/>
      <w:r w:rsidRPr="003F27D8">
        <w:t xml:space="preserve"> to any member of the public.  Dose due to radon-220, radon-222, and their respective decay products are excluded from these limits.</w:t>
      </w:r>
    </w:p>
    <w:p w14:paraId="419D62CE" w14:textId="77777777" w:rsidR="00DE3A1B" w:rsidRPr="003F27D8" w:rsidRDefault="00DE3A1B" w:rsidP="00DE3A1B">
      <w:pPr>
        <w:spacing w:before="240" w:after="120"/>
        <w:ind w:left="720"/>
        <w:jc w:val="left"/>
      </w:pPr>
      <w:r w:rsidRPr="003F27D8">
        <w:t>The Permittee shall demonstrate compliance with NESHAP using the procedures specified by 40 CFR 61.93</w:t>
      </w:r>
    </w:p>
    <w:p w14:paraId="4DE45B11" w14:textId="77777777" w:rsidR="00DE3A1B" w:rsidRPr="003F27D8" w:rsidRDefault="00DE3A1B" w:rsidP="00DE3A1B">
      <w:pPr>
        <w:pStyle w:val="ListParagraph"/>
        <w:spacing w:before="240"/>
        <w:jc w:val="left"/>
      </w:pPr>
      <w:r w:rsidRPr="003F27D8">
        <w:t>The Permittee shall fulfill applicable notification, record keeping and reporting requirements for the NESHAP, 40 CFR 61.09, 61.10(c) and 61.94(c).</w:t>
      </w:r>
    </w:p>
    <w:p w14:paraId="4C867A09" w14:textId="77777777" w:rsidR="00DE3A1B" w:rsidRDefault="00DE3A1B" w:rsidP="00DE3A1B">
      <w:pPr>
        <w:pStyle w:val="BodyTextIndent2"/>
        <w:spacing w:before="240" w:after="120"/>
        <w:ind w:firstLine="0"/>
      </w:pPr>
      <w:r w:rsidRPr="003F27D8">
        <w:t>At all times, the Permittee shall also, to the extent practicable, maintain and operate the plant, including associated air pollution control equipment, in a manner consistent with good air pollution control practice for minimizing emissions.</w:t>
      </w:r>
    </w:p>
    <w:p w14:paraId="7B041AB2" w14:textId="78FD4F19" w:rsidR="00DE3A1B" w:rsidRDefault="00DE3A1B" w:rsidP="00DE3A1B">
      <w:pPr>
        <w:pStyle w:val="BodyTextIndent2"/>
        <w:spacing w:before="240" w:after="120"/>
        <w:rPr>
          <w:b/>
        </w:rPr>
      </w:pPr>
      <w:r>
        <w:rPr>
          <w:b/>
        </w:rPr>
        <w:t>FCC Generator</w:t>
      </w:r>
    </w:p>
    <w:p w14:paraId="0868D615" w14:textId="4D415341" w:rsidR="00DE3A1B" w:rsidRPr="003F27D8" w:rsidRDefault="00DE3A1B" w:rsidP="00DE3A1B">
      <w:pPr>
        <w:pStyle w:val="Footer"/>
        <w:tabs>
          <w:tab w:val="left" w:pos="72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ind w:left="720" w:hanging="720"/>
      </w:pPr>
      <w:r>
        <w:tab/>
      </w:r>
      <w:r w:rsidRPr="003F27D8">
        <w:t>The only fuel fired in the Emergency Engine-Generator shall be distillate fuel oil (No. 1 and 2 oil).</w:t>
      </w:r>
    </w:p>
    <w:p w14:paraId="38E98EB7" w14:textId="77777777" w:rsidR="00DE3A1B" w:rsidRPr="003F27D8" w:rsidRDefault="00DE3A1B" w:rsidP="00DE3A1B">
      <w:pPr>
        <w:pStyle w:val="Footer"/>
        <w:tabs>
          <w:tab w:val="left" w:pos="72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ind w:left="720" w:hanging="720"/>
      </w:pPr>
    </w:p>
    <w:p w14:paraId="7314C6F6" w14:textId="3497C44C" w:rsidR="00DE3A1B" w:rsidRPr="003F27D8" w:rsidRDefault="00DE3A1B" w:rsidP="00DE3A1B">
      <w:pPr>
        <w:pStyle w:val="Footer"/>
        <w:tabs>
          <w:tab w:val="left" w:pos="72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ind w:left="778" w:hanging="720"/>
      </w:pPr>
      <w:r>
        <w:tab/>
      </w:r>
      <w:r w:rsidRPr="003F27D8">
        <w:t>The total annual consumption of fuel by the standby engine-generator shall not exceed 5,000 gallons/month and 60,000 gallons/year.</w:t>
      </w:r>
    </w:p>
    <w:p w14:paraId="7F21CC51" w14:textId="77777777" w:rsidR="00DE3A1B" w:rsidRPr="003F27D8" w:rsidRDefault="00DE3A1B" w:rsidP="00DE3A1B">
      <w:pPr>
        <w:pStyle w:val="Footer"/>
        <w:tabs>
          <w:tab w:val="left" w:pos="72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ind w:left="778" w:hanging="720"/>
      </w:pPr>
    </w:p>
    <w:p w14:paraId="4EA8307E" w14:textId="0485A999" w:rsidR="00DE3A1B" w:rsidRPr="003F27D8" w:rsidRDefault="00DE3A1B" w:rsidP="00DE3A1B">
      <w:pPr>
        <w:pStyle w:val="Footer"/>
        <w:tabs>
          <w:tab w:val="left" w:pos="72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ind w:left="60"/>
      </w:pPr>
      <w:r>
        <w:tab/>
      </w:r>
      <w:r w:rsidRPr="003F27D8">
        <w:t>At the above location, the Permittee shall not keep, store, or utilize:</w:t>
      </w:r>
    </w:p>
    <w:p w14:paraId="25592F5C" w14:textId="77777777" w:rsidR="00DE3A1B" w:rsidRPr="003F27D8" w:rsidRDefault="00DE3A1B" w:rsidP="00DE3A1B">
      <w:pPr>
        <w:pStyle w:val="Footer"/>
        <w:tabs>
          <w:tab w:val="left" w:pos="72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ind w:left="1080" w:hanging="360"/>
      </w:pPr>
    </w:p>
    <w:p w14:paraId="697AB13D" w14:textId="77777777" w:rsidR="00DE3A1B" w:rsidRPr="003F27D8" w:rsidRDefault="00DE3A1B" w:rsidP="00DE3A1B">
      <w:pPr>
        <w:pStyle w:val="Footer"/>
        <w:numPr>
          <w:ilvl w:val="2"/>
          <w:numId w:val="29"/>
        </w:numPr>
        <w:tabs>
          <w:tab w:val="clear" w:pos="4680"/>
          <w:tab w:val="clear" w:pos="9360"/>
          <w:tab w:val="left" w:pos="720"/>
          <w:tab w:val="left" w:pos="1440"/>
        </w:tabs>
        <w:ind w:left="1440" w:hanging="360"/>
        <w:jc w:val="left"/>
      </w:pPr>
      <w:r w:rsidRPr="003F27D8">
        <w:t>Distillate fuel oil (Grades No. 1 and 2) with a sulfur content greater than the larger of the following two values:</w:t>
      </w:r>
    </w:p>
    <w:p w14:paraId="22EE62AE" w14:textId="77777777" w:rsidR="00DE3A1B" w:rsidRPr="003F27D8" w:rsidRDefault="00DE3A1B" w:rsidP="00DE3A1B">
      <w:pPr>
        <w:pStyle w:val="Footer"/>
        <w:tabs>
          <w:tab w:val="left" w:pos="720"/>
        </w:tabs>
        <w:ind w:left="1800" w:hanging="360"/>
      </w:pPr>
    </w:p>
    <w:p w14:paraId="2E4C67CE" w14:textId="77777777" w:rsidR="00DE3A1B" w:rsidRPr="003F27D8" w:rsidRDefault="00DE3A1B" w:rsidP="00DE3A1B">
      <w:pPr>
        <w:pStyle w:val="Footer"/>
        <w:numPr>
          <w:ilvl w:val="3"/>
          <w:numId w:val="29"/>
        </w:numPr>
        <w:tabs>
          <w:tab w:val="clear" w:pos="4680"/>
          <w:tab w:val="clear" w:pos="9360"/>
        </w:tabs>
        <w:spacing w:after="120"/>
        <w:ind w:left="1800"/>
        <w:jc w:val="left"/>
      </w:pPr>
      <w:r w:rsidRPr="003F27D8">
        <w:t>0.28 weight percent, or</w:t>
      </w:r>
    </w:p>
    <w:p w14:paraId="44372553" w14:textId="77777777" w:rsidR="00DE3A1B" w:rsidRPr="003F27D8" w:rsidRDefault="00DE3A1B" w:rsidP="00DE3A1B">
      <w:pPr>
        <w:pStyle w:val="Footer"/>
        <w:numPr>
          <w:ilvl w:val="3"/>
          <w:numId w:val="29"/>
        </w:numPr>
        <w:tabs>
          <w:tab w:val="clear" w:pos="4680"/>
          <w:tab w:val="clear" w:pos="9360"/>
          <w:tab w:val="left" w:pos="720"/>
        </w:tabs>
        <w:spacing w:after="120"/>
        <w:ind w:left="1800"/>
        <w:jc w:val="left"/>
      </w:pPr>
      <w:r w:rsidRPr="003F27D8">
        <w:t>The wt. Percent given by the formula:  Maximum wt. Percent sulfur = (0.000015) x (Gross heating value of oil, Btu/</w:t>
      </w:r>
      <w:proofErr w:type="spellStart"/>
      <w:r w:rsidRPr="003F27D8">
        <w:t>lb</w:t>
      </w:r>
      <w:proofErr w:type="spellEnd"/>
      <w:r w:rsidRPr="003F27D8">
        <w:t>).</w:t>
      </w:r>
    </w:p>
    <w:p w14:paraId="129FB2AD" w14:textId="60642517" w:rsidR="00DE3A1B" w:rsidRPr="003F27D8" w:rsidRDefault="00DE3A1B" w:rsidP="00DE3A1B">
      <w:pPr>
        <w:pStyle w:val="Footer"/>
        <w:tabs>
          <w:tab w:val="clear" w:pos="4680"/>
          <w:tab w:val="clear" w:pos="9360"/>
          <w:tab w:val="left" w:pos="720"/>
        </w:tabs>
        <w:spacing w:after="120"/>
        <w:jc w:val="left"/>
      </w:pPr>
      <w:r>
        <w:tab/>
      </w:r>
      <w:r w:rsidRPr="003F27D8">
        <w:t>Emissions and operation of the engine-generator shall not exceed the following limits:</w:t>
      </w:r>
    </w:p>
    <w:p w14:paraId="1396624E" w14:textId="77777777" w:rsidR="00DE3A1B" w:rsidRPr="003F27D8" w:rsidRDefault="00DE3A1B" w:rsidP="00DE3A1B">
      <w:pPr>
        <w:pStyle w:val="Footer"/>
        <w:tabs>
          <w:tab w:val="left" w:pos="72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ind w:left="720"/>
      </w:pPr>
      <w:r w:rsidRPr="003F27D8">
        <w:lastRenderedPageBreak/>
        <w:tab/>
      </w:r>
      <w:r w:rsidRPr="003F27D8">
        <w:tab/>
        <w:t>Emission Factors</w:t>
      </w:r>
      <w:r w:rsidRPr="003F27D8">
        <w:tab/>
      </w:r>
      <w:r w:rsidRPr="003F27D8">
        <w:tab/>
      </w:r>
      <w:r w:rsidRPr="003F27D8">
        <w:tab/>
        <w:t>Monthly Limits</w:t>
      </w:r>
      <w:r w:rsidRPr="003F27D8">
        <w:tab/>
      </w:r>
      <w:r w:rsidRPr="003F27D8">
        <w:tab/>
      </w:r>
      <w:r w:rsidRPr="003F27D8">
        <w:tab/>
        <w:t>Annual Limits</w:t>
      </w:r>
    </w:p>
    <w:p w14:paraId="0B45FA72" w14:textId="77777777" w:rsidR="00DE3A1B" w:rsidRPr="003F27D8" w:rsidRDefault="00DE3A1B" w:rsidP="00DE3A1B">
      <w:pPr>
        <w:pStyle w:val="Footer"/>
        <w:tabs>
          <w:tab w:val="left" w:pos="720"/>
          <w:tab w:val="center" w:pos="2160"/>
          <w:tab w:val="center" w:pos="3420"/>
          <w:tab w:val="center" w:pos="5400"/>
          <w:tab w:val="center" w:pos="7380"/>
        </w:tabs>
      </w:pPr>
      <w:r w:rsidRPr="003F27D8">
        <w:tab/>
      </w:r>
      <w:r w:rsidRPr="003F27D8">
        <w:rPr>
          <w:u w:val="single"/>
        </w:rPr>
        <w:t>Pollutant</w:t>
      </w:r>
      <w:r w:rsidRPr="003F27D8">
        <w:tab/>
      </w:r>
      <w:r w:rsidRPr="003F27D8">
        <w:tab/>
        <w:t>(</w:t>
      </w:r>
      <w:proofErr w:type="spellStart"/>
      <w:r w:rsidRPr="003F27D8">
        <w:rPr>
          <w:u w:val="single"/>
        </w:rPr>
        <w:t>Lb</w:t>
      </w:r>
      <w:proofErr w:type="spellEnd"/>
      <w:r w:rsidRPr="003F27D8">
        <w:rPr>
          <w:u w:val="single"/>
        </w:rPr>
        <w:t>/Hp*</w:t>
      </w:r>
      <w:proofErr w:type="spellStart"/>
      <w:r w:rsidRPr="003F27D8">
        <w:rPr>
          <w:u w:val="single"/>
        </w:rPr>
        <w:t>Hr</w:t>
      </w:r>
      <w:proofErr w:type="spellEnd"/>
      <w:r w:rsidRPr="003F27D8">
        <w:rPr>
          <w:u w:val="single"/>
        </w:rPr>
        <w:t>)</w:t>
      </w:r>
      <w:r w:rsidRPr="003F27D8">
        <w:tab/>
      </w:r>
      <w:r w:rsidRPr="003F27D8">
        <w:tab/>
      </w:r>
      <w:r w:rsidRPr="003F27D8">
        <w:rPr>
          <w:u w:val="single"/>
        </w:rPr>
        <w:t>(Tons/Month)</w:t>
      </w:r>
      <w:r w:rsidRPr="003F27D8">
        <w:tab/>
      </w:r>
      <w:r w:rsidRPr="003F27D8">
        <w:rPr>
          <w:u w:val="single"/>
        </w:rPr>
        <w:t>(Tons/Year)</w:t>
      </w:r>
      <w:r w:rsidRPr="003F27D8">
        <w:tab/>
      </w:r>
    </w:p>
    <w:p w14:paraId="16A58C0F" w14:textId="77777777" w:rsidR="00DE3A1B" w:rsidRPr="003F27D8" w:rsidRDefault="00DE3A1B" w:rsidP="00DE3A1B">
      <w:pPr>
        <w:pStyle w:val="Footer"/>
        <w:tabs>
          <w:tab w:val="left" w:pos="720"/>
          <w:tab w:val="center" w:pos="1080"/>
          <w:tab w:val="center" w:pos="2340"/>
          <w:tab w:val="center" w:pos="2520"/>
          <w:tab w:val="center" w:pos="2880"/>
          <w:tab w:val="center" w:pos="3420"/>
          <w:tab w:val="center" w:pos="5040"/>
          <w:tab w:val="center" w:pos="5400"/>
          <w:tab w:val="center" w:pos="5940"/>
          <w:tab w:val="center" w:pos="6480"/>
          <w:tab w:val="center" w:pos="6660"/>
          <w:tab w:val="center" w:pos="7200"/>
          <w:tab w:val="center" w:pos="7560"/>
          <w:tab w:val="center" w:pos="7920"/>
        </w:tabs>
      </w:pPr>
      <w:r w:rsidRPr="003F27D8">
        <w:tab/>
      </w:r>
    </w:p>
    <w:p w14:paraId="67FAC81B" w14:textId="77777777" w:rsidR="00DE3A1B" w:rsidRPr="003F27D8" w:rsidRDefault="00DE3A1B" w:rsidP="00DE3A1B">
      <w:pPr>
        <w:pStyle w:val="Footer"/>
        <w:tabs>
          <w:tab w:val="left" w:pos="720"/>
          <w:tab w:val="decimal" w:pos="3240"/>
          <w:tab w:val="decimal" w:pos="5400"/>
          <w:tab w:val="decimal" w:pos="7200"/>
        </w:tabs>
      </w:pPr>
      <w:r w:rsidRPr="003F27D8">
        <w:tab/>
        <w:t>NOx</w:t>
      </w:r>
      <w:r w:rsidRPr="003F27D8">
        <w:tab/>
        <w:t>0.024</w:t>
      </w:r>
      <w:r w:rsidRPr="003F27D8">
        <w:tab/>
      </w:r>
      <w:r w:rsidRPr="003F27D8">
        <w:tab/>
        <w:t>1.11</w:t>
      </w:r>
      <w:r w:rsidRPr="003F27D8">
        <w:tab/>
        <w:t>13.32</w:t>
      </w:r>
      <w:r w:rsidRPr="003F27D8">
        <w:tab/>
      </w:r>
      <w:r w:rsidRPr="003F27D8">
        <w:tab/>
        <w:t>CO</w:t>
      </w:r>
      <w:r w:rsidRPr="003F27D8">
        <w:tab/>
        <w:t>0.0055</w:t>
      </w:r>
      <w:r w:rsidRPr="003F27D8">
        <w:tab/>
      </w:r>
      <w:r w:rsidRPr="003F27D8">
        <w:tab/>
        <w:t>0.25</w:t>
      </w:r>
      <w:r w:rsidRPr="003F27D8">
        <w:tab/>
        <w:t>3.05</w:t>
      </w:r>
    </w:p>
    <w:p w14:paraId="1ADB978A" w14:textId="77777777" w:rsidR="00DE3A1B" w:rsidRPr="003F27D8" w:rsidRDefault="00DE3A1B" w:rsidP="00DE3A1B">
      <w:pPr>
        <w:pStyle w:val="Footer"/>
        <w:tabs>
          <w:tab w:val="left" w:pos="720"/>
          <w:tab w:val="decimal" w:pos="3240"/>
          <w:tab w:val="decimal" w:pos="5400"/>
          <w:tab w:val="decimal" w:pos="7200"/>
        </w:tabs>
      </w:pPr>
      <w:r w:rsidRPr="003F27D8">
        <w:tab/>
        <w:t>SO</w:t>
      </w:r>
      <w:r w:rsidRPr="003F27D8">
        <w:rPr>
          <w:vertAlign w:val="subscript"/>
        </w:rPr>
        <w:t>2</w:t>
      </w:r>
      <w:r w:rsidRPr="003F27D8">
        <w:tab/>
        <w:t>0.0004</w:t>
      </w:r>
      <w:r w:rsidRPr="003F27D8">
        <w:tab/>
      </w:r>
      <w:r w:rsidRPr="003F27D8">
        <w:tab/>
        <w:t>0.02</w:t>
      </w:r>
      <w:r w:rsidRPr="003F27D8">
        <w:tab/>
        <w:t>0.22</w:t>
      </w:r>
    </w:p>
    <w:p w14:paraId="755159E7" w14:textId="77777777" w:rsidR="00DE3A1B" w:rsidRPr="003F27D8" w:rsidRDefault="00DE3A1B" w:rsidP="00DE3A1B">
      <w:pPr>
        <w:pStyle w:val="Footer"/>
        <w:tabs>
          <w:tab w:val="left" w:pos="720"/>
          <w:tab w:val="decimal" w:pos="3240"/>
          <w:tab w:val="decimal" w:pos="5400"/>
          <w:tab w:val="decimal" w:pos="7200"/>
        </w:tabs>
      </w:pPr>
      <w:r w:rsidRPr="003F27D8">
        <w:tab/>
        <w:t>VOC</w:t>
      </w:r>
      <w:r w:rsidRPr="003F27D8">
        <w:tab/>
        <w:t>0.00071</w:t>
      </w:r>
      <w:r w:rsidRPr="003F27D8">
        <w:tab/>
      </w:r>
      <w:r w:rsidRPr="003F27D8">
        <w:tab/>
        <w:t>0.03</w:t>
      </w:r>
      <w:r w:rsidRPr="003F27D8">
        <w:tab/>
        <w:t>0.39</w:t>
      </w:r>
    </w:p>
    <w:p w14:paraId="4CF2EBC7" w14:textId="77777777" w:rsidR="00DE3A1B" w:rsidRPr="003F27D8" w:rsidRDefault="00DE3A1B" w:rsidP="00DE3A1B">
      <w:pPr>
        <w:pStyle w:val="Footer"/>
        <w:tabs>
          <w:tab w:val="left" w:pos="720"/>
          <w:tab w:val="decimal" w:pos="3240"/>
          <w:tab w:val="decimal" w:pos="5400"/>
          <w:tab w:val="decimal" w:pos="7200"/>
        </w:tabs>
      </w:pPr>
      <w:r w:rsidRPr="003F27D8">
        <w:tab/>
        <w:t>PM</w:t>
      </w:r>
      <w:r w:rsidRPr="003F27D8">
        <w:tab/>
        <w:t>0.0007</w:t>
      </w:r>
      <w:r w:rsidRPr="003F27D8">
        <w:tab/>
      </w:r>
      <w:r w:rsidRPr="003F27D8">
        <w:tab/>
        <w:t>0.03</w:t>
      </w:r>
      <w:r w:rsidRPr="003F27D8">
        <w:tab/>
        <w:t>0.39</w:t>
      </w:r>
    </w:p>
    <w:p w14:paraId="1E4C0AAF" w14:textId="77777777" w:rsidR="00DE3A1B" w:rsidRPr="003F27D8" w:rsidRDefault="00DE3A1B" w:rsidP="00DE3A1B">
      <w:pPr>
        <w:pStyle w:val="Footer"/>
        <w:tabs>
          <w:tab w:val="left" w:pos="720"/>
          <w:tab w:val="decimal" w:pos="3240"/>
          <w:tab w:val="decimal" w:pos="5400"/>
          <w:tab w:val="decimal" w:pos="7200"/>
        </w:tabs>
      </w:pPr>
    </w:p>
    <w:p w14:paraId="6642A9CC" w14:textId="4121B1C0" w:rsidR="00DE3A1B" w:rsidRPr="003F27D8" w:rsidRDefault="00DE3A1B" w:rsidP="00DE3A1B">
      <w:pPr>
        <w:pStyle w:val="Footer"/>
        <w:tabs>
          <w:tab w:val="left" w:pos="720"/>
          <w:tab w:val="decimal" w:pos="3240"/>
          <w:tab w:val="decimal" w:pos="5400"/>
          <w:tab w:val="decimal" w:pos="7200"/>
        </w:tabs>
        <w:ind w:left="720"/>
      </w:pPr>
      <w:r w:rsidRPr="003F27D8">
        <w:tab/>
        <w:t xml:space="preserve">These limits are based on standard AP-42 emission factors and information provided in the permit application, a maximum of 120 gallons per </w:t>
      </w:r>
      <w:r w:rsidR="00072599">
        <w:t>hour</w:t>
      </w:r>
      <w:r w:rsidRPr="003F27D8">
        <w:t xml:space="preserve"> of fuel usage, a heat content of 137,000 Btu/gallon, and maximum operation of 500 </w:t>
      </w:r>
      <w:r w:rsidR="00072599">
        <w:t>hour</w:t>
      </w:r>
      <w:r w:rsidRPr="003F27D8">
        <w:t>s per year for the engine-generator.  Compliance with annual limits shall be determined from a running total of 12 months of data.</w:t>
      </w:r>
    </w:p>
    <w:p w14:paraId="2678E93A" w14:textId="77777777" w:rsidR="00DE3A1B" w:rsidRPr="003F27D8" w:rsidRDefault="00DE3A1B" w:rsidP="00DE3A1B">
      <w:pPr>
        <w:pStyle w:val="Footer"/>
        <w:tabs>
          <w:tab w:val="left" w:pos="720"/>
          <w:tab w:val="decimal" w:pos="3240"/>
          <w:tab w:val="decimal" w:pos="5400"/>
          <w:tab w:val="decimal" w:pos="7200"/>
        </w:tabs>
      </w:pPr>
    </w:p>
    <w:p w14:paraId="0798220D" w14:textId="77777777" w:rsidR="00DE3A1B" w:rsidRDefault="00DE3A1B" w:rsidP="00DE3A1B">
      <w:pPr>
        <w:pStyle w:val="Footer"/>
        <w:tabs>
          <w:tab w:val="decimal" w:pos="3240"/>
          <w:tab w:val="decimal" w:pos="5400"/>
          <w:tab w:val="decimal" w:pos="7200"/>
        </w:tabs>
        <w:ind w:left="720"/>
      </w:pPr>
      <w:r w:rsidRPr="003F27D8">
        <w:t xml:space="preserve">The Permittee shall comply with the applicable requirements of 40 CFR Part 63 Subpart </w:t>
      </w:r>
      <w:proofErr w:type="spellStart"/>
      <w:r w:rsidRPr="003F27D8">
        <w:t>ZZZZfor</w:t>
      </w:r>
      <w:proofErr w:type="spellEnd"/>
      <w:r w:rsidRPr="003F27D8">
        <w:t xml:space="preserve"> the emergency generator.</w:t>
      </w:r>
    </w:p>
    <w:p w14:paraId="46EB597E" w14:textId="77777777" w:rsidR="00DE3A1B" w:rsidRPr="003F27D8" w:rsidRDefault="00DE3A1B" w:rsidP="00DE3A1B">
      <w:pPr>
        <w:pStyle w:val="Footer"/>
        <w:tabs>
          <w:tab w:val="decimal" w:pos="3240"/>
          <w:tab w:val="decimal" w:pos="5400"/>
          <w:tab w:val="decimal" w:pos="7200"/>
        </w:tabs>
        <w:ind w:left="720"/>
      </w:pPr>
    </w:p>
    <w:p w14:paraId="2381E4BC" w14:textId="73175864" w:rsidR="00DE3A1B" w:rsidRPr="003F27D8" w:rsidRDefault="00DE3A1B" w:rsidP="00DE3A1B">
      <w:pPr>
        <w:pStyle w:val="Footer"/>
        <w:spacing w:after="180"/>
        <w:ind w:left="720" w:hanging="720"/>
      </w:pPr>
      <w:r>
        <w:tab/>
        <w:t>M</w:t>
      </w:r>
      <w:r w:rsidRPr="003F27D8">
        <w:t>aintain records of the following items to address compliance with the limits:</w:t>
      </w:r>
    </w:p>
    <w:p w14:paraId="4930D0FF" w14:textId="77777777" w:rsidR="00DE3A1B" w:rsidRPr="003F27D8" w:rsidRDefault="00DE3A1B" w:rsidP="009743D3">
      <w:pPr>
        <w:pStyle w:val="Footer"/>
        <w:numPr>
          <w:ilvl w:val="1"/>
          <w:numId w:val="32"/>
        </w:numPr>
        <w:spacing w:after="180"/>
      </w:pPr>
      <w:r w:rsidRPr="003F27D8">
        <w:t>Records of the sulfur content of the fuel oil for each shipment of fuel oil received, percent by weight.</w:t>
      </w:r>
    </w:p>
    <w:p w14:paraId="70CE9229" w14:textId="2F1281CD" w:rsidR="00DE3A1B" w:rsidRPr="003F27D8" w:rsidRDefault="00DE3A1B" w:rsidP="009743D3">
      <w:pPr>
        <w:pStyle w:val="Footer"/>
        <w:numPr>
          <w:ilvl w:val="1"/>
          <w:numId w:val="32"/>
        </w:numPr>
        <w:spacing w:after="180"/>
      </w:pPr>
      <w:r w:rsidRPr="003F27D8">
        <w:t>Hours of operation for the engine-generator (</w:t>
      </w:r>
      <w:proofErr w:type="spellStart"/>
      <w:r w:rsidR="00072599">
        <w:t>hr</w:t>
      </w:r>
      <w:r w:rsidRPr="003F27D8">
        <w:t>s</w:t>
      </w:r>
      <w:proofErr w:type="spellEnd"/>
      <w:r w:rsidRPr="003F27D8">
        <w:t xml:space="preserve">/month and </w:t>
      </w:r>
      <w:proofErr w:type="spellStart"/>
      <w:r w:rsidR="00072599">
        <w:t>hr</w:t>
      </w:r>
      <w:r w:rsidRPr="003F27D8">
        <w:t>s</w:t>
      </w:r>
      <w:proofErr w:type="spellEnd"/>
      <w:r w:rsidRPr="003F27D8">
        <w:t>/year).</w:t>
      </w:r>
    </w:p>
    <w:p w14:paraId="3FCA32B2" w14:textId="77777777" w:rsidR="00DE3A1B" w:rsidRPr="003F27D8" w:rsidRDefault="00DE3A1B" w:rsidP="009743D3">
      <w:pPr>
        <w:pStyle w:val="Footer"/>
        <w:numPr>
          <w:ilvl w:val="1"/>
          <w:numId w:val="32"/>
        </w:numPr>
        <w:spacing w:after="180"/>
      </w:pPr>
      <w:r w:rsidRPr="003F27D8">
        <w:t>Monthly and annual records of fuel consumption by the engine-generator (gallons/month and gallons/year).</w:t>
      </w:r>
    </w:p>
    <w:p w14:paraId="4B079D9F" w14:textId="77777777" w:rsidR="00DE3A1B" w:rsidRPr="003F27D8" w:rsidRDefault="00DE3A1B" w:rsidP="009743D3">
      <w:pPr>
        <w:pStyle w:val="Footer"/>
        <w:numPr>
          <w:ilvl w:val="1"/>
          <w:numId w:val="32"/>
        </w:numPr>
        <w:spacing w:after="180"/>
      </w:pPr>
      <w:r w:rsidRPr="003F27D8">
        <w:t>Monthly and aggregate annual emissions of NOx, CO, SO</w:t>
      </w:r>
      <w:r w:rsidRPr="003F27D8">
        <w:rPr>
          <w:vertAlign w:val="subscript"/>
        </w:rPr>
        <w:t>2</w:t>
      </w:r>
      <w:r w:rsidRPr="003F27D8">
        <w:t>, VOC, and PM in tons/month and tons/year of the engine-generator, with supporting calculations.</w:t>
      </w:r>
    </w:p>
    <w:p w14:paraId="141C22B7" w14:textId="77777777" w:rsidR="00DE3A1B" w:rsidRPr="003F27D8" w:rsidRDefault="00DE3A1B" w:rsidP="00DE3A1B">
      <w:pPr>
        <w:pStyle w:val="Footer"/>
        <w:tabs>
          <w:tab w:val="clear" w:pos="4680"/>
          <w:tab w:val="clear" w:pos="9360"/>
        </w:tabs>
        <w:ind w:left="720"/>
        <w:jc w:val="left"/>
      </w:pPr>
      <w:r w:rsidRPr="003F27D8">
        <w:t>The Permittee shall keep a maintenance and repair log for the engine-generator, listing significant activities performed with date.</w:t>
      </w:r>
    </w:p>
    <w:p w14:paraId="0073E3F8" w14:textId="10B1422F" w:rsidR="00DE3A1B" w:rsidRDefault="00DE3A1B" w:rsidP="00DE3A1B">
      <w:pPr>
        <w:pStyle w:val="BodyTextIndent2"/>
        <w:spacing w:before="240" w:after="120"/>
        <w:rPr>
          <w:b/>
        </w:rPr>
      </w:pPr>
      <w:r>
        <w:rPr>
          <w:b/>
        </w:rPr>
        <w:t>Cavity Processing Laboratory</w:t>
      </w:r>
    </w:p>
    <w:p w14:paraId="3F25300D" w14:textId="13B865AF" w:rsidR="00DE3A1B" w:rsidRPr="00DE3A1B" w:rsidRDefault="00DE3A1B" w:rsidP="00DE3A1B">
      <w:pPr>
        <w:pStyle w:val="BodyTextIndent2"/>
        <w:spacing w:before="240" w:after="120"/>
        <w:ind w:firstLine="0"/>
      </w:pPr>
      <w:r w:rsidRPr="003F27D8">
        <w:t>This permit is issued based on the cavity processing operations not being subject to the NESHAP for Area Source Standards for Plating and Polishing Operations, 40 CFR 63 Subpart WWWWWW because the source</w:t>
      </w:r>
      <w:r w:rsidR="00AB6BAA">
        <w:t xml:space="preserve"> does not use or have emissions </w:t>
      </w:r>
      <w:r w:rsidRPr="003F27D8">
        <w:t>of compounds of one or more plating and polishing metal HAPs, listed in 40 CFR 63.11504.</w:t>
      </w:r>
    </w:p>
    <w:p w14:paraId="116C4E90" w14:textId="77777777" w:rsidR="00DE3A1B" w:rsidRDefault="00DE3A1B" w:rsidP="00DE3A1B">
      <w:pPr>
        <w:pStyle w:val="Footer"/>
        <w:tabs>
          <w:tab w:val="clear" w:pos="4680"/>
          <w:tab w:val="clear" w:pos="9360"/>
        </w:tabs>
        <w:ind w:left="720"/>
        <w:jc w:val="left"/>
      </w:pPr>
      <w:r w:rsidRPr="003F27D8">
        <w:t>Operation and emissions of the Cavity Processing Facility shall not exceed the following limits:</w:t>
      </w:r>
    </w:p>
    <w:p w14:paraId="4E455252" w14:textId="77777777" w:rsidR="00481675" w:rsidRDefault="00481675" w:rsidP="00DE3A1B">
      <w:pPr>
        <w:pStyle w:val="Footer"/>
        <w:tabs>
          <w:tab w:val="clear" w:pos="4680"/>
          <w:tab w:val="clear" w:pos="9360"/>
        </w:tabs>
        <w:ind w:left="720"/>
        <w:jc w:val="left"/>
      </w:pPr>
    </w:p>
    <w:p w14:paraId="5473E396" w14:textId="77777777" w:rsidR="00481675" w:rsidRDefault="00481675" w:rsidP="00DE3A1B">
      <w:pPr>
        <w:pStyle w:val="Footer"/>
        <w:tabs>
          <w:tab w:val="clear" w:pos="4680"/>
          <w:tab w:val="clear" w:pos="9360"/>
        </w:tabs>
        <w:ind w:left="720"/>
        <w:jc w:val="left"/>
      </w:pPr>
    </w:p>
    <w:p w14:paraId="7CEEDC7D" w14:textId="77777777" w:rsidR="00481675" w:rsidRDefault="00481675" w:rsidP="00DE3A1B">
      <w:pPr>
        <w:pStyle w:val="Footer"/>
        <w:tabs>
          <w:tab w:val="clear" w:pos="4680"/>
          <w:tab w:val="clear" w:pos="9360"/>
        </w:tabs>
        <w:ind w:left="720"/>
        <w:jc w:val="left"/>
      </w:pPr>
    </w:p>
    <w:p w14:paraId="728D8FEF" w14:textId="77777777" w:rsidR="00481675" w:rsidRPr="003F27D8" w:rsidRDefault="00481675" w:rsidP="00DE3A1B">
      <w:pPr>
        <w:pStyle w:val="Footer"/>
        <w:tabs>
          <w:tab w:val="clear" w:pos="4680"/>
          <w:tab w:val="clear" w:pos="9360"/>
        </w:tabs>
        <w:ind w:left="720"/>
        <w:jc w:val="left"/>
      </w:pPr>
    </w:p>
    <w:p w14:paraId="030EB2C6" w14:textId="77777777" w:rsidR="00DE3A1B" w:rsidRPr="003F27D8" w:rsidRDefault="00DE3A1B" w:rsidP="00DE3A1B">
      <w:pPr>
        <w:pStyle w:val="Footer"/>
        <w:tabs>
          <w:tab w:val="clear" w:pos="4680"/>
          <w:tab w:val="clear" w:pos="9360"/>
        </w:tabs>
        <w:ind w:left="60"/>
        <w:jc w:val="left"/>
      </w:pPr>
      <w:r w:rsidRPr="003F27D8">
        <w:tab/>
      </w:r>
    </w:p>
    <w:tbl>
      <w:tblPr>
        <w:tblStyle w:val="TableGrid"/>
        <w:tblW w:w="0" w:type="auto"/>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2407"/>
        <w:gridCol w:w="2423"/>
        <w:gridCol w:w="2415"/>
      </w:tblGrid>
      <w:tr w:rsidR="00DE3A1B" w:rsidRPr="003F27D8" w14:paraId="71B1F052" w14:textId="77777777" w:rsidTr="009D7835">
        <w:tc>
          <w:tcPr>
            <w:tcW w:w="2468" w:type="dxa"/>
          </w:tcPr>
          <w:p w14:paraId="65ECFBD7" w14:textId="77777777" w:rsidR="00DE3A1B" w:rsidRPr="003F27D8" w:rsidRDefault="00DE3A1B" w:rsidP="009D7835">
            <w:pPr>
              <w:pStyle w:val="Footer"/>
              <w:tabs>
                <w:tab w:val="clear" w:pos="4680"/>
                <w:tab w:val="clear" w:pos="9360"/>
              </w:tabs>
              <w:jc w:val="left"/>
            </w:pPr>
          </w:p>
        </w:tc>
        <w:tc>
          <w:tcPr>
            <w:tcW w:w="7408" w:type="dxa"/>
            <w:gridSpan w:val="3"/>
          </w:tcPr>
          <w:p w14:paraId="4F8663DD" w14:textId="77777777" w:rsidR="00DE3A1B" w:rsidRPr="003F27D8" w:rsidRDefault="00DE3A1B" w:rsidP="009D7835">
            <w:pPr>
              <w:pStyle w:val="Footer"/>
              <w:tabs>
                <w:tab w:val="clear" w:pos="4680"/>
                <w:tab w:val="clear" w:pos="9360"/>
              </w:tabs>
              <w:jc w:val="center"/>
            </w:pPr>
            <w:r w:rsidRPr="003F27D8">
              <w:t>Emissions</w:t>
            </w:r>
          </w:p>
        </w:tc>
      </w:tr>
      <w:tr w:rsidR="00DE3A1B" w:rsidRPr="003F27D8" w14:paraId="7F6EA489" w14:textId="77777777" w:rsidTr="009D7835">
        <w:tc>
          <w:tcPr>
            <w:tcW w:w="2468" w:type="dxa"/>
            <w:tcBorders>
              <w:bottom w:val="single" w:sz="18" w:space="0" w:color="auto"/>
            </w:tcBorders>
          </w:tcPr>
          <w:p w14:paraId="525D6E3A" w14:textId="77777777" w:rsidR="00DE3A1B" w:rsidRPr="003F27D8" w:rsidRDefault="00DE3A1B" w:rsidP="009D7835">
            <w:pPr>
              <w:pStyle w:val="Footer"/>
              <w:tabs>
                <w:tab w:val="clear" w:pos="4680"/>
                <w:tab w:val="clear" w:pos="9360"/>
              </w:tabs>
              <w:jc w:val="left"/>
            </w:pPr>
            <w:r w:rsidRPr="003F27D8">
              <w:t>Pollutant</w:t>
            </w:r>
          </w:p>
        </w:tc>
        <w:tc>
          <w:tcPr>
            <w:tcW w:w="2474" w:type="dxa"/>
            <w:tcBorders>
              <w:bottom w:val="single" w:sz="18" w:space="0" w:color="auto"/>
            </w:tcBorders>
          </w:tcPr>
          <w:p w14:paraId="655A8B66" w14:textId="59C67946" w:rsidR="00DE3A1B" w:rsidRPr="003F27D8" w:rsidRDefault="00DE3A1B" w:rsidP="00072599">
            <w:pPr>
              <w:pStyle w:val="Footer"/>
              <w:tabs>
                <w:tab w:val="clear" w:pos="4680"/>
                <w:tab w:val="clear" w:pos="9360"/>
              </w:tabs>
              <w:jc w:val="center"/>
            </w:pPr>
            <w:r w:rsidRPr="003F27D8">
              <w:t>(</w:t>
            </w:r>
            <w:proofErr w:type="spellStart"/>
            <w:r w:rsidRPr="003F27D8">
              <w:t>lbs</w:t>
            </w:r>
            <w:proofErr w:type="spellEnd"/>
            <w:r w:rsidRPr="003F27D8">
              <w:t>/</w:t>
            </w:r>
            <w:proofErr w:type="spellStart"/>
            <w:r w:rsidR="00072599">
              <w:t>hr</w:t>
            </w:r>
            <w:proofErr w:type="spellEnd"/>
            <w:r w:rsidRPr="003F27D8">
              <w:t>)</w:t>
            </w:r>
          </w:p>
        </w:tc>
        <w:tc>
          <w:tcPr>
            <w:tcW w:w="2467" w:type="dxa"/>
            <w:tcBorders>
              <w:bottom w:val="single" w:sz="18" w:space="0" w:color="auto"/>
            </w:tcBorders>
          </w:tcPr>
          <w:p w14:paraId="5DA2AA36" w14:textId="77777777" w:rsidR="00DE3A1B" w:rsidRPr="003F27D8" w:rsidRDefault="00DE3A1B" w:rsidP="009D7835">
            <w:pPr>
              <w:pStyle w:val="Footer"/>
              <w:tabs>
                <w:tab w:val="clear" w:pos="4680"/>
                <w:tab w:val="clear" w:pos="9360"/>
              </w:tabs>
              <w:jc w:val="center"/>
            </w:pPr>
            <w:r w:rsidRPr="003F27D8">
              <w:t>(tons/month)</w:t>
            </w:r>
          </w:p>
        </w:tc>
        <w:tc>
          <w:tcPr>
            <w:tcW w:w="2467" w:type="dxa"/>
            <w:tcBorders>
              <w:bottom w:val="single" w:sz="18" w:space="0" w:color="auto"/>
            </w:tcBorders>
          </w:tcPr>
          <w:p w14:paraId="4468B182" w14:textId="77777777" w:rsidR="00DE3A1B" w:rsidRPr="003F27D8" w:rsidRDefault="00DE3A1B" w:rsidP="009D7835">
            <w:pPr>
              <w:pStyle w:val="Footer"/>
              <w:tabs>
                <w:tab w:val="clear" w:pos="4680"/>
                <w:tab w:val="clear" w:pos="9360"/>
              </w:tabs>
              <w:jc w:val="center"/>
            </w:pPr>
            <w:r w:rsidRPr="003F27D8">
              <w:t>(tons/year)</w:t>
            </w:r>
          </w:p>
        </w:tc>
      </w:tr>
      <w:tr w:rsidR="00DE3A1B" w:rsidRPr="003F27D8" w14:paraId="66D56ADB" w14:textId="77777777" w:rsidTr="009D7835">
        <w:tc>
          <w:tcPr>
            <w:tcW w:w="2468" w:type="dxa"/>
            <w:tcBorders>
              <w:top w:val="single" w:sz="18" w:space="0" w:color="auto"/>
            </w:tcBorders>
          </w:tcPr>
          <w:p w14:paraId="52AB1394" w14:textId="77777777" w:rsidR="00DE3A1B" w:rsidRPr="003F27D8" w:rsidRDefault="00DE3A1B" w:rsidP="009D7835">
            <w:pPr>
              <w:pStyle w:val="Footer"/>
              <w:tabs>
                <w:tab w:val="clear" w:pos="4680"/>
                <w:tab w:val="clear" w:pos="9360"/>
              </w:tabs>
              <w:jc w:val="left"/>
            </w:pPr>
            <w:r w:rsidRPr="003F27D8">
              <w:t>Nitrogen Oxides (NOx)</w:t>
            </w:r>
          </w:p>
        </w:tc>
        <w:tc>
          <w:tcPr>
            <w:tcW w:w="2474" w:type="dxa"/>
            <w:tcBorders>
              <w:top w:val="single" w:sz="18" w:space="0" w:color="auto"/>
            </w:tcBorders>
          </w:tcPr>
          <w:p w14:paraId="081AFFB1" w14:textId="77777777" w:rsidR="00DE3A1B" w:rsidRPr="003F27D8" w:rsidRDefault="00DE3A1B" w:rsidP="009D7835">
            <w:pPr>
              <w:pStyle w:val="Footer"/>
              <w:tabs>
                <w:tab w:val="clear" w:pos="4680"/>
                <w:tab w:val="clear" w:pos="9360"/>
              </w:tabs>
              <w:jc w:val="center"/>
            </w:pPr>
            <w:r w:rsidRPr="003F27D8">
              <w:t>0.13</w:t>
            </w:r>
          </w:p>
        </w:tc>
        <w:tc>
          <w:tcPr>
            <w:tcW w:w="2467" w:type="dxa"/>
            <w:tcBorders>
              <w:top w:val="single" w:sz="18" w:space="0" w:color="auto"/>
            </w:tcBorders>
          </w:tcPr>
          <w:p w14:paraId="0ECFE47F" w14:textId="77777777" w:rsidR="00DE3A1B" w:rsidRPr="003F27D8" w:rsidRDefault="00DE3A1B" w:rsidP="009D7835">
            <w:pPr>
              <w:pStyle w:val="Footer"/>
              <w:tabs>
                <w:tab w:val="clear" w:pos="4680"/>
                <w:tab w:val="clear" w:pos="9360"/>
              </w:tabs>
              <w:jc w:val="center"/>
            </w:pPr>
            <w:r w:rsidRPr="003F27D8">
              <w:t>0.06</w:t>
            </w:r>
          </w:p>
        </w:tc>
        <w:tc>
          <w:tcPr>
            <w:tcW w:w="2467" w:type="dxa"/>
            <w:tcBorders>
              <w:top w:val="single" w:sz="18" w:space="0" w:color="auto"/>
            </w:tcBorders>
          </w:tcPr>
          <w:p w14:paraId="587DA2A5" w14:textId="77777777" w:rsidR="00DE3A1B" w:rsidRPr="003F27D8" w:rsidRDefault="00DE3A1B" w:rsidP="009D7835">
            <w:pPr>
              <w:pStyle w:val="Footer"/>
              <w:tabs>
                <w:tab w:val="clear" w:pos="4680"/>
                <w:tab w:val="clear" w:pos="9360"/>
              </w:tabs>
              <w:jc w:val="center"/>
            </w:pPr>
            <w:r w:rsidRPr="003F27D8">
              <w:t>0.58</w:t>
            </w:r>
          </w:p>
        </w:tc>
      </w:tr>
      <w:tr w:rsidR="00DE3A1B" w:rsidRPr="003F27D8" w14:paraId="2BED45D0" w14:textId="77777777" w:rsidTr="009D7835">
        <w:tc>
          <w:tcPr>
            <w:tcW w:w="2468" w:type="dxa"/>
          </w:tcPr>
          <w:p w14:paraId="24714860" w14:textId="77777777" w:rsidR="00DE3A1B" w:rsidRPr="003F27D8" w:rsidRDefault="00DE3A1B" w:rsidP="009D7835">
            <w:pPr>
              <w:pStyle w:val="Footer"/>
              <w:tabs>
                <w:tab w:val="clear" w:pos="4680"/>
                <w:tab w:val="clear" w:pos="9360"/>
              </w:tabs>
              <w:jc w:val="left"/>
            </w:pPr>
            <w:r w:rsidRPr="003F27D8">
              <w:t>Particulate Matter (PM)</w:t>
            </w:r>
          </w:p>
        </w:tc>
        <w:tc>
          <w:tcPr>
            <w:tcW w:w="2474" w:type="dxa"/>
          </w:tcPr>
          <w:p w14:paraId="28F2452C" w14:textId="77777777" w:rsidR="00DE3A1B" w:rsidRPr="003F27D8" w:rsidRDefault="00DE3A1B" w:rsidP="009D7835">
            <w:pPr>
              <w:pStyle w:val="Footer"/>
              <w:tabs>
                <w:tab w:val="clear" w:pos="4680"/>
                <w:tab w:val="clear" w:pos="9360"/>
              </w:tabs>
              <w:jc w:val="center"/>
            </w:pPr>
            <w:r w:rsidRPr="003F27D8">
              <w:t>0.02</w:t>
            </w:r>
          </w:p>
        </w:tc>
        <w:tc>
          <w:tcPr>
            <w:tcW w:w="2467" w:type="dxa"/>
          </w:tcPr>
          <w:p w14:paraId="71546899" w14:textId="77777777" w:rsidR="00DE3A1B" w:rsidRPr="003F27D8" w:rsidRDefault="00DE3A1B" w:rsidP="009D7835">
            <w:pPr>
              <w:pStyle w:val="Footer"/>
              <w:tabs>
                <w:tab w:val="clear" w:pos="4680"/>
                <w:tab w:val="clear" w:pos="9360"/>
              </w:tabs>
              <w:jc w:val="center"/>
            </w:pPr>
            <w:r w:rsidRPr="003F27D8">
              <w:t>0.004</w:t>
            </w:r>
          </w:p>
        </w:tc>
        <w:tc>
          <w:tcPr>
            <w:tcW w:w="2467" w:type="dxa"/>
          </w:tcPr>
          <w:p w14:paraId="4E3D9796" w14:textId="77777777" w:rsidR="00DE3A1B" w:rsidRPr="003F27D8" w:rsidRDefault="00DE3A1B" w:rsidP="009D7835">
            <w:pPr>
              <w:pStyle w:val="Footer"/>
              <w:tabs>
                <w:tab w:val="clear" w:pos="4680"/>
                <w:tab w:val="clear" w:pos="9360"/>
              </w:tabs>
              <w:jc w:val="center"/>
            </w:pPr>
            <w:r w:rsidRPr="003F27D8">
              <w:t>0.042</w:t>
            </w:r>
          </w:p>
        </w:tc>
      </w:tr>
    </w:tbl>
    <w:p w14:paraId="489BFAC1" w14:textId="77777777" w:rsidR="00DE3A1B" w:rsidRPr="003F27D8" w:rsidRDefault="00DE3A1B" w:rsidP="00DE3A1B">
      <w:pPr>
        <w:pStyle w:val="Footer"/>
        <w:tabs>
          <w:tab w:val="clear" w:pos="4680"/>
          <w:tab w:val="clear" w:pos="9360"/>
        </w:tabs>
        <w:ind w:left="60"/>
        <w:jc w:val="left"/>
      </w:pPr>
    </w:p>
    <w:p w14:paraId="22EF8ED0" w14:textId="720A4FC2" w:rsidR="00DE3A1B" w:rsidRDefault="00DE3A1B" w:rsidP="00DE3A1B">
      <w:pPr>
        <w:pStyle w:val="Footer"/>
        <w:tabs>
          <w:tab w:val="left" w:pos="720"/>
        </w:tabs>
        <w:ind w:left="720"/>
      </w:pPr>
      <w:r w:rsidRPr="003F27D8">
        <w:tab/>
        <w:t xml:space="preserve">These limits are based on a maximum of 2,000 </w:t>
      </w:r>
      <w:proofErr w:type="spellStart"/>
      <w:r w:rsidR="00072599">
        <w:t>hr</w:t>
      </w:r>
      <w:r w:rsidRPr="003F27D8">
        <w:t>s</w:t>
      </w:r>
      <w:proofErr w:type="spellEnd"/>
      <w:r w:rsidRPr="003F27D8">
        <w:t xml:space="preserve">/year operation of the BCP process and a maximum 5,000 </w:t>
      </w:r>
      <w:proofErr w:type="spellStart"/>
      <w:r w:rsidR="00072599">
        <w:t>hr</w:t>
      </w:r>
      <w:r w:rsidRPr="003F27D8">
        <w:t>s</w:t>
      </w:r>
      <w:proofErr w:type="spellEnd"/>
      <w:r w:rsidRPr="003F27D8">
        <w:t>/year operation of the EP process and the information provided in the application.  Compliance with annual limits shall be determined from a running total of 12 months of data.</w:t>
      </w:r>
    </w:p>
    <w:p w14:paraId="22D8DAE9" w14:textId="77777777" w:rsidR="00DE3A1B" w:rsidRDefault="00DE3A1B" w:rsidP="00DE3A1B"/>
    <w:p w14:paraId="21CF86EB" w14:textId="77777777" w:rsidR="006A4D1A" w:rsidRDefault="006A4D1A" w:rsidP="006A4D1A">
      <w:pPr>
        <w:rPr>
          <w:b/>
        </w:rPr>
      </w:pPr>
      <w:r>
        <w:rPr>
          <w:b/>
        </w:rPr>
        <w:t>General</w:t>
      </w:r>
    </w:p>
    <w:p w14:paraId="3177982C" w14:textId="77777777" w:rsidR="006A4D1A" w:rsidRDefault="006A4D1A" w:rsidP="006A4D1A">
      <w:pPr>
        <w:rPr>
          <w:b/>
        </w:rPr>
      </w:pPr>
    </w:p>
    <w:p w14:paraId="5415AFAB" w14:textId="2AC7149B" w:rsidR="006A4D1A" w:rsidRDefault="006A4D1A" w:rsidP="00072599">
      <w:pPr>
        <w:ind w:left="720"/>
      </w:pPr>
      <w:r w:rsidRPr="003F27D8">
        <w:t xml:space="preserve">Pursuant to 35 </w:t>
      </w:r>
      <w:r w:rsidR="00072599">
        <w:t>IAC</w:t>
      </w:r>
      <w:r w:rsidRPr="003F27D8">
        <w:t xml:space="preserve"> 216.121, no person shall cause or allow the emission of carbon monoxide (CO) into the atmosphere from any fuel combustion emission source with actual heat input greater than 10 </w:t>
      </w:r>
      <w:proofErr w:type="spellStart"/>
      <w:r w:rsidRPr="003F27D8">
        <w:t>mmBtu</w:t>
      </w:r>
      <w:proofErr w:type="spellEnd"/>
      <w:r w:rsidRPr="003F27D8">
        <w:t>/</w:t>
      </w:r>
      <w:proofErr w:type="spellStart"/>
      <w:r w:rsidR="00072599">
        <w:t>hr</w:t>
      </w:r>
      <w:proofErr w:type="spellEnd"/>
      <w:r w:rsidRPr="003F27D8">
        <w:t xml:space="preserve"> to exceed 200 ppm, corrected to 50 percent excess air.</w:t>
      </w:r>
    </w:p>
    <w:p w14:paraId="5F010B3C" w14:textId="77777777" w:rsidR="006A4D1A" w:rsidRDefault="006A4D1A" w:rsidP="006A4D1A"/>
    <w:p w14:paraId="4618EE03" w14:textId="2104B3CB" w:rsidR="006A4D1A" w:rsidRDefault="006A4D1A" w:rsidP="00D71D5C">
      <w:pPr>
        <w:ind w:firstLine="720"/>
      </w:pPr>
      <w:r w:rsidRPr="003F27D8">
        <w:t xml:space="preserve">The </w:t>
      </w:r>
      <w:r w:rsidR="00072599">
        <w:t>I</w:t>
      </w:r>
      <w:r w:rsidRPr="003F27D8">
        <w:t>EPA shall be allowed to sample all fuels stored at the above location</w:t>
      </w:r>
      <w:r>
        <w:t>.</w:t>
      </w:r>
    </w:p>
    <w:p w14:paraId="70AFF576" w14:textId="77777777" w:rsidR="006A4D1A" w:rsidRDefault="006A4D1A" w:rsidP="006A4D1A"/>
    <w:p w14:paraId="1684CDD4" w14:textId="38A22B6E" w:rsidR="006A4D1A" w:rsidRPr="006A4D1A" w:rsidRDefault="006A4D1A" w:rsidP="00D71D5C">
      <w:pPr>
        <w:ind w:left="720"/>
      </w:pPr>
      <w:r>
        <w:t xml:space="preserve">If there is an exceedance of or deviation from the requirements of this permit as determined by the records required by this permit, the Permittee shall submit a report to the </w:t>
      </w:r>
      <w:r w:rsidR="000B56C5">
        <w:t>I</w:t>
      </w:r>
      <w:r>
        <w:t>EPA’s Compliance Section in Springfield, Illinois within 30 days after the exceedance/deviation.  The report shall include the emissions released</w:t>
      </w:r>
      <w:r w:rsidR="00D71D5C">
        <w:t xml:space="preserve"> in accordance with the recordkeeping requirements, a copy of the relevant records, and a description of the exceedance or deviation and efforts to reduce emissions and future occurrences. </w:t>
      </w:r>
    </w:p>
    <w:p w14:paraId="104A3A00" w14:textId="77777777" w:rsidR="006A4D1A" w:rsidRDefault="006A4D1A" w:rsidP="00DE3A1B"/>
    <w:p w14:paraId="39F25FC7" w14:textId="18789629" w:rsidR="006A4D1A" w:rsidRDefault="006A4D1A" w:rsidP="00DE3A1B">
      <w:pPr>
        <w:rPr>
          <w:b/>
        </w:rPr>
      </w:pPr>
      <w:r>
        <w:rPr>
          <w:b/>
        </w:rPr>
        <w:t>Records Maintenance</w:t>
      </w:r>
    </w:p>
    <w:p w14:paraId="2C56C963" w14:textId="77777777" w:rsidR="006A4D1A" w:rsidRDefault="006A4D1A" w:rsidP="00DE3A1B">
      <w:pPr>
        <w:rPr>
          <w:b/>
        </w:rPr>
      </w:pPr>
    </w:p>
    <w:p w14:paraId="47EF4C28" w14:textId="17967DC3" w:rsidR="00BF736A" w:rsidRPr="003F27D8" w:rsidRDefault="006A4D1A" w:rsidP="00BF736A">
      <w:pPr>
        <w:pStyle w:val="Footer"/>
        <w:tabs>
          <w:tab w:val="left" w:pos="720"/>
        </w:tabs>
        <w:spacing w:after="180"/>
      </w:pPr>
      <w:r>
        <w:tab/>
      </w:r>
      <w:r w:rsidR="00BF736A" w:rsidRPr="003F27D8">
        <w:t>The permittee shall maintain monthly records of the following items:</w:t>
      </w:r>
    </w:p>
    <w:p w14:paraId="424971AC" w14:textId="77777777" w:rsidR="00BF736A" w:rsidRPr="003F27D8" w:rsidRDefault="00BF736A" w:rsidP="009743D3">
      <w:pPr>
        <w:pStyle w:val="Footer"/>
        <w:spacing w:after="180"/>
        <w:ind w:left="1080" w:hanging="360"/>
      </w:pPr>
      <w:r w:rsidRPr="003F27D8">
        <w:t>a.</w:t>
      </w:r>
      <w:r w:rsidRPr="003F27D8">
        <w:tab/>
        <w:t>The amount of natural gas burned in the t</w:t>
      </w:r>
      <w:r w:rsidR="00C95C1E" w:rsidRPr="003F27D8">
        <w:t>wo</w:t>
      </w:r>
      <w:r w:rsidRPr="003F27D8">
        <w:t xml:space="preserve"> boilers (</w:t>
      </w:r>
      <w:proofErr w:type="spellStart"/>
      <w:r w:rsidRPr="003F27D8">
        <w:t>mmscf</w:t>
      </w:r>
      <w:proofErr w:type="spellEnd"/>
      <w:r w:rsidRPr="003F27D8">
        <w:t>/</w:t>
      </w:r>
      <w:proofErr w:type="spellStart"/>
      <w:r w:rsidRPr="003F27D8">
        <w:t>mo</w:t>
      </w:r>
      <w:proofErr w:type="spellEnd"/>
      <w:r w:rsidRPr="003F27D8">
        <w:t xml:space="preserve"> and </w:t>
      </w:r>
      <w:proofErr w:type="spellStart"/>
      <w:r w:rsidRPr="003F27D8">
        <w:t>mmscf</w:t>
      </w:r>
      <w:proofErr w:type="spellEnd"/>
      <w:r w:rsidRPr="003F27D8">
        <w:t>/</w:t>
      </w:r>
      <w:proofErr w:type="spellStart"/>
      <w:r w:rsidRPr="003F27D8">
        <w:t>yr</w:t>
      </w:r>
      <w:proofErr w:type="spellEnd"/>
      <w:r w:rsidRPr="003F27D8">
        <w:t>);</w:t>
      </w:r>
    </w:p>
    <w:p w14:paraId="169AB6D8" w14:textId="77777777" w:rsidR="00BF736A" w:rsidRPr="003F27D8" w:rsidRDefault="00BF736A" w:rsidP="009743D3">
      <w:pPr>
        <w:pStyle w:val="Footer"/>
        <w:spacing w:after="180"/>
        <w:ind w:left="1080" w:hanging="360"/>
      </w:pPr>
      <w:r w:rsidRPr="003F27D8">
        <w:t>b.</w:t>
      </w:r>
      <w:r w:rsidRPr="003F27D8">
        <w:tab/>
        <w:t>Hours of operation of the debonding oven (</w:t>
      </w:r>
      <w:proofErr w:type="spellStart"/>
      <w:r w:rsidRPr="003F27D8">
        <w:t>hrs</w:t>
      </w:r>
      <w:proofErr w:type="spellEnd"/>
      <w:r w:rsidRPr="003F27D8">
        <w:t>/</w:t>
      </w:r>
      <w:proofErr w:type="spellStart"/>
      <w:r w:rsidRPr="003F27D8">
        <w:t>mo</w:t>
      </w:r>
      <w:proofErr w:type="spellEnd"/>
      <w:r w:rsidR="00C95C1E" w:rsidRPr="003F27D8">
        <w:t xml:space="preserve"> and </w:t>
      </w:r>
      <w:proofErr w:type="spellStart"/>
      <w:r w:rsidR="00C95C1E" w:rsidRPr="003F27D8">
        <w:t>hrs</w:t>
      </w:r>
      <w:proofErr w:type="spellEnd"/>
      <w:r w:rsidR="00C95C1E" w:rsidRPr="003F27D8">
        <w:t>/</w:t>
      </w:r>
      <w:proofErr w:type="spellStart"/>
      <w:r w:rsidR="00C95C1E" w:rsidRPr="003F27D8">
        <w:t>yr</w:t>
      </w:r>
      <w:proofErr w:type="spellEnd"/>
      <w:r w:rsidR="00C95C1E" w:rsidRPr="003F27D8">
        <w:t>);</w:t>
      </w:r>
    </w:p>
    <w:p w14:paraId="48652A66" w14:textId="069BA5B7" w:rsidR="00C95C1E" w:rsidRPr="003F27D8" w:rsidRDefault="009743D3" w:rsidP="009743D3">
      <w:pPr>
        <w:pStyle w:val="Footer"/>
        <w:spacing w:after="180"/>
        <w:ind w:left="1080" w:hanging="360"/>
      </w:pPr>
      <w:r>
        <w:t>c. The</w:t>
      </w:r>
      <w:r w:rsidR="00C95C1E" w:rsidRPr="003F27D8">
        <w:t xml:space="preserve"> </w:t>
      </w:r>
      <w:r w:rsidR="00072599">
        <w:t>hour</w:t>
      </w:r>
      <w:r w:rsidR="00C95C1E" w:rsidRPr="003F27D8">
        <w:t>s of operation of the EP process and the BCP process (</w:t>
      </w:r>
      <w:proofErr w:type="spellStart"/>
      <w:r w:rsidR="00072599">
        <w:t>hr</w:t>
      </w:r>
      <w:r w:rsidR="00C95C1E" w:rsidRPr="003F27D8">
        <w:t>s</w:t>
      </w:r>
      <w:proofErr w:type="spellEnd"/>
      <w:r w:rsidR="00C95C1E" w:rsidRPr="003F27D8">
        <w:t xml:space="preserve">/month and </w:t>
      </w:r>
      <w:proofErr w:type="spellStart"/>
      <w:r w:rsidR="00072599">
        <w:t>hr</w:t>
      </w:r>
      <w:r w:rsidR="00C95C1E" w:rsidRPr="003F27D8">
        <w:t>s</w:t>
      </w:r>
      <w:proofErr w:type="spellEnd"/>
      <w:r w:rsidR="00C95C1E" w:rsidRPr="003F27D8">
        <w:t xml:space="preserve">/year); </w:t>
      </w:r>
    </w:p>
    <w:p w14:paraId="00E03FFA" w14:textId="27CFDFE8" w:rsidR="00C95C1E" w:rsidRPr="003F27D8" w:rsidRDefault="00BF736A" w:rsidP="009743D3">
      <w:pPr>
        <w:pStyle w:val="Footer"/>
        <w:spacing w:after="180"/>
        <w:ind w:left="1080" w:hanging="360"/>
      </w:pPr>
      <w:r w:rsidRPr="003F27D8">
        <w:t>d.</w:t>
      </w:r>
      <w:r w:rsidRPr="003F27D8">
        <w:tab/>
      </w:r>
      <w:r w:rsidR="00C95C1E" w:rsidRPr="003F27D8">
        <w:t>Quantity and percent concentration of nitric acid used (gallons/month and gallons/year);</w:t>
      </w:r>
    </w:p>
    <w:p w14:paraId="36030C66" w14:textId="01F9BC80" w:rsidR="00C95C1E" w:rsidRPr="003F27D8" w:rsidRDefault="006A4D1A" w:rsidP="009743D3">
      <w:pPr>
        <w:pStyle w:val="Footer"/>
        <w:spacing w:after="180"/>
        <w:ind w:left="1080" w:hanging="360"/>
      </w:pPr>
      <w:r>
        <w:t>e</w:t>
      </w:r>
      <w:r w:rsidR="00C95C1E" w:rsidRPr="003F27D8">
        <w:t>.   The amount of gasoline dispensed (gallons/month and gallons/year); and</w:t>
      </w:r>
    </w:p>
    <w:p w14:paraId="2DFF6FD6" w14:textId="4D74EFBF" w:rsidR="00BF736A" w:rsidRPr="003F27D8" w:rsidRDefault="00C95C1E" w:rsidP="009743D3">
      <w:pPr>
        <w:pStyle w:val="Footer"/>
        <w:spacing w:after="180"/>
        <w:ind w:left="1080" w:hanging="360"/>
      </w:pPr>
      <w:r w:rsidRPr="003F27D8">
        <w:t>g</w:t>
      </w:r>
      <w:r w:rsidR="009743D3">
        <w:t xml:space="preserve">.  </w:t>
      </w:r>
      <w:r w:rsidR="006A4D1A">
        <w:t>PM, NOx, CO, SO</w:t>
      </w:r>
      <w:r w:rsidR="006A4D1A" w:rsidRPr="006A4D1A">
        <w:rPr>
          <w:vertAlign w:val="subscript"/>
        </w:rPr>
        <w:t>2</w:t>
      </w:r>
      <w:r w:rsidR="006A4D1A">
        <w:t>, VOM, and HAP emissions with supporting calculations (tons/month and tons/year).</w:t>
      </w:r>
    </w:p>
    <w:p w14:paraId="100526BF" w14:textId="4C82119F" w:rsidR="00BF736A" w:rsidRDefault="00BF736A" w:rsidP="00813A36">
      <w:pPr>
        <w:pStyle w:val="Footer"/>
        <w:ind w:left="720" w:hanging="720"/>
        <w:rPr>
          <w:rFonts w:ascii="Palatino" w:hAnsi="Palatino"/>
          <w:sz w:val="20"/>
        </w:rPr>
      </w:pPr>
    </w:p>
    <w:p w14:paraId="30AC1CF8" w14:textId="77777777" w:rsidR="00BF736A" w:rsidRDefault="00BF736A" w:rsidP="00BF736A">
      <w:pPr>
        <w:pStyle w:val="Footer"/>
        <w:rPr>
          <w:rFonts w:ascii="Palatino" w:hAnsi="Palatino"/>
          <w:sz w:val="20"/>
        </w:rPr>
      </w:pPr>
    </w:p>
    <w:p w14:paraId="40C9C1B6" w14:textId="77777777" w:rsidR="00196CE0" w:rsidRDefault="00196CE0" w:rsidP="00813A36">
      <w:pPr>
        <w:pStyle w:val="Footer"/>
        <w:tabs>
          <w:tab w:val="center" w:pos="5040"/>
          <w:tab w:val="center" w:pos="5400"/>
          <w:tab w:val="center" w:pos="5940"/>
          <w:tab w:val="center" w:pos="6480"/>
          <w:tab w:val="center" w:pos="6660"/>
          <w:tab w:val="center" w:pos="7200"/>
          <w:tab w:val="center" w:pos="7560"/>
          <w:tab w:val="center" w:pos="7920"/>
        </w:tabs>
        <w:jc w:val="center"/>
      </w:pPr>
    </w:p>
    <w:sectPr w:rsidR="00196CE0" w:rsidSect="009B6519">
      <w:headerReference w:type="even" r:id="rId13"/>
      <w:headerReference w:type="default" r:id="rId14"/>
      <w:footerReference w:type="default" r:id="rId15"/>
      <w:headerReference w:type="first" r:id="rId16"/>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C27A" w14:textId="77777777" w:rsidR="007F7DCC" w:rsidRDefault="007F7DCC" w:rsidP="00CB66DF">
      <w:r>
        <w:separator/>
      </w:r>
    </w:p>
  </w:endnote>
  <w:endnote w:type="continuationSeparator" w:id="0">
    <w:p w14:paraId="3ED86798" w14:textId="77777777" w:rsidR="007F7DCC" w:rsidRDefault="007F7DCC"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D09A" w14:textId="5EB85C11" w:rsidR="000858F5" w:rsidRDefault="000858F5"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Pr="002F3915">
      <w:rPr>
        <w:sz w:val="18"/>
      </w:rPr>
      <w:t>8080</w:t>
    </w:r>
    <w:r>
      <w:rPr>
        <w:rFonts w:ascii="Palatino" w:hAnsi="Palatino"/>
        <w:sz w:val="18"/>
      </w:rPr>
      <w:t>-</w:t>
    </w:r>
    <w:r w:rsidRPr="001907A0">
      <w:rPr>
        <w:rFonts w:ascii="Palatino" w:hAnsi="Palatino"/>
        <w:sz w:val="18"/>
      </w:rPr>
      <w:fldChar w:fldCharType="begin"/>
    </w:r>
    <w:r w:rsidRPr="001907A0">
      <w:rPr>
        <w:rFonts w:ascii="Palatino" w:hAnsi="Palatino"/>
        <w:sz w:val="18"/>
      </w:rPr>
      <w:instrText xml:space="preserve"> PAGE   \* MERGEFORMAT </w:instrText>
    </w:r>
    <w:r w:rsidRPr="001907A0">
      <w:rPr>
        <w:rFonts w:ascii="Palatino" w:hAnsi="Palatino"/>
        <w:sz w:val="18"/>
      </w:rPr>
      <w:fldChar w:fldCharType="separate"/>
    </w:r>
    <w:r>
      <w:rPr>
        <w:rFonts w:ascii="Palatino" w:hAnsi="Palatino"/>
        <w:noProof/>
        <w:sz w:val="18"/>
      </w:rPr>
      <w:t>1</w:t>
    </w:r>
    <w:r w:rsidRPr="001907A0">
      <w:rPr>
        <w:rFonts w:ascii="Palatino" w:hAnsi="Palatino"/>
        <w:sz w:val="18"/>
      </w:rPr>
      <w:fldChar w:fldCharType="end"/>
    </w:r>
  </w:p>
  <w:p w14:paraId="2E7287E7" w14:textId="7E5B7610" w:rsidR="000858F5" w:rsidRDefault="000858F5"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version is maintained on the </w:t>
    </w:r>
    <w:r w:rsidR="00EF2C6F">
      <w:rPr>
        <w:rFonts w:ascii="Palatino" w:hAnsi="Palatino"/>
        <w:i/>
        <w:sz w:val="18"/>
      </w:rPr>
      <w:t>ES&amp;H</w:t>
    </w:r>
    <w:r w:rsidRPr="00320751">
      <w:rPr>
        <w:rFonts w:ascii="Palatino" w:hAnsi="Palatino"/>
        <w:i/>
        <w:sz w:val="18"/>
      </w:rPr>
      <w:t xml:space="preserve"> Section website.</w:t>
    </w:r>
    <w:r>
      <w:rPr>
        <w:rFonts w:ascii="Palatino" w:hAnsi="Palatino"/>
        <w:sz w:val="18"/>
      </w:rPr>
      <w:tab/>
    </w:r>
    <w:r>
      <w:rPr>
        <w:sz w:val="18"/>
        <w:szCs w:val="18"/>
      </w:rPr>
      <w:t>Rev. 0</w:t>
    </w:r>
    <w:r w:rsidR="007D1F37">
      <w:rPr>
        <w:sz w:val="18"/>
        <w:szCs w:val="18"/>
      </w:rPr>
      <w:t>8</w:t>
    </w:r>
    <w:r>
      <w:rPr>
        <w:sz w:val="18"/>
        <w:szCs w:val="18"/>
      </w:rPr>
      <w:t>/20</w:t>
    </w:r>
    <w:r w:rsidR="007D1F37">
      <w:rPr>
        <w:sz w:val="18"/>
        <w:szCs w:val="18"/>
      </w:rPr>
      <w:t>2</w:t>
    </w:r>
    <w:r w:rsidR="00281853">
      <w:rPr>
        <w:sz w:val="18"/>
        <w:szCs w:val="18"/>
      </w:rPr>
      <w:t>2</w:t>
    </w:r>
    <w:r w:rsidRPr="00E131D2">
      <w:rPr>
        <w:rFonts w:ascii="Palatino" w:hAnsi="Palatino"/>
      </w:rPr>
      <w:t xml:space="preserve">  </w:t>
    </w:r>
  </w:p>
  <w:p w14:paraId="7AD4769E" w14:textId="77777777" w:rsidR="000858F5" w:rsidRDefault="000858F5"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43D77319" w14:textId="77777777" w:rsidR="000858F5" w:rsidRPr="00B072B8" w:rsidRDefault="000858F5"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23C3" w14:textId="5C947A27" w:rsidR="000858F5" w:rsidRDefault="000858F5"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Pr="002F3915">
      <w:rPr>
        <w:sz w:val="18"/>
      </w:rPr>
      <w:t>8080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2</w:t>
    </w:r>
    <w:r>
      <w:rPr>
        <w:rFonts w:ascii="Palatino" w:hAnsi="Palatino"/>
        <w:sz w:val="18"/>
      </w:rPr>
      <w:fldChar w:fldCharType="end"/>
    </w:r>
  </w:p>
  <w:p w14:paraId="7879D42A" w14:textId="7CB77637" w:rsidR="000858F5" w:rsidRPr="00B510D6" w:rsidRDefault="000858F5" w:rsidP="00B072B8">
    <w:pPr>
      <w:pStyle w:val="Footer"/>
      <w:pBdr>
        <w:top w:val="single" w:sz="6" w:space="0" w:color="auto"/>
      </w:pBdr>
      <w:rPr>
        <w:sz w:val="18"/>
        <w:szCs w:val="18"/>
      </w:rPr>
    </w:pPr>
    <w:r>
      <w:rPr>
        <w:rFonts w:ascii="Palatino" w:hAnsi="Palatino"/>
        <w:i/>
        <w:sz w:val="18"/>
      </w:rPr>
      <w:t xml:space="preserve">WARNING:  </w:t>
    </w:r>
    <w:r w:rsidRPr="00320751">
      <w:rPr>
        <w:rFonts w:ascii="Palatino" w:hAnsi="Palatino"/>
        <w:i/>
        <w:sz w:val="18"/>
      </w:rPr>
      <w:t xml:space="preserve">This manual is subject to change.  The current version is maintained on the </w:t>
    </w:r>
    <w:r w:rsidR="00EF2C6F">
      <w:rPr>
        <w:rFonts w:ascii="Palatino" w:hAnsi="Palatino"/>
        <w:i/>
        <w:sz w:val="18"/>
      </w:rPr>
      <w:t>ES&amp;H</w:t>
    </w:r>
    <w:r w:rsidRPr="00320751">
      <w:rPr>
        <w:rFonts w:ascii="Palatino" w:hAnsi="Palatino"/>
        <w:i/>
        <w:sz w:val="18"/>
      </w:rPr>
      <w:t xml:space="preserve"> Section website.</w:t>
    </w:r>
    <w:r>
      <w:rPr>
        <w:rFonts w:ascii="Palatino" w:hAnsi="Palatino"/>
        <w:sz w:val="18"/>
      </w:rPr>
      <w:tab/>
    </w:r>
    <w:r>
      <w:rPr>
        <w:sz w:val="18"/>
        <w:szCs w:val="18"/>
      </w:rPr>
      <w:t>Rev. 0</w:t>
    </w:r>
    <w:r w:rsidR="007D1F37">
      <w:rPr>
        <w:sz w:val="18"/>
        <w:szCs w:val="18"/>
      </w:rPr>
      <w:t>8</w:t>
    </w:r>
    <w:r>
      <w:rPr>
        <w:sz w:val="18"/>
        <w:szCs w:val="18"/>
      </w:rPr>
      <w:t>/20</w:t>
    </w:r>
    <w:r w:rsidR="007D1F37">
      <w:rPr>
        <w:sz w:val="18"/>
        <w:szCs w:val="18"/>
      </w:rPr>
      <w:t>2</w:t>
    </w:r>
    <w:r w:rsidR="00281853">
      <w:rPr>
        <w:sz w:val="18"/>
        <w:szCs w:val="18"/>
      </w:rPr>
      <w:t>2</w:t>
    </w:r>
    <w:r w:rsidRPr="00E131D2">
      <w:rPr>
        <w:rFonts w:ascii="Palatino" w:hAnsi="Palatino"/>
      </w:rPr>
      <w:t xml:space="preserve">   </w:t>
    </w:r>
  </w:p>
  <w:p w14:paraId="74CD57D9" w14:textId="77777777" w:rsidR="000858F5" w:rsidRDefault="000858F5"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04B02522" w14:textId="77777777" w:rsidR="000858F5" w:rsidRDefault="000858F5"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748D4238" w14:textId="77777777" w:rsidR="000858F5" w:rsidRPr="00DB5D5A" w:rsidRDefault="000858F5"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C73C" w14:textId="77777777" w:rsidR="007F7DCC" w:rsidRDefault="007F7DCC" w:rsidP="00CB66DF">
      <w:r>
        <w:separator/>
      </w:r>
    </w:p>
  </w:footnote>
  <w:footnote w:type="continuationSeparator" w:id="0">
    <w:p w14:paraId="14B6EEFD" w14:textId="77777777" w:rsidR="007F7DCC" w:rsidRDefault="007F7DCC"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2EC5" w14:textId="476A3A36" w:rsidR="00FF7033" w:rsidRDefault="002D46C8">
    <w:pPr>
      <w:pStyle w:val="Header"/>
    </w:pPr>
    <w:r>
      <w:rPr>
        <w:noProof/>
      </w:rPr>
      <w:pict w14:anchorId="6D894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89.45pt;height:195.75pt;rotation:315;z-index:-251651072;mso-position-horizontal:center;mso-position-horizontal-relative:margin;mso-position-vertical:center;mso-position-vertical-relative:margin" o:allowincell="f" fillcolor="#c00000"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0858F5" w:rsidRPr="00423E3B" w14:paraId="1E22ACEC" w14:textId="77777777" w:rsidTr="0058123B">
      <w:trPr>
        <w:trHeight w:val="611"/>
      </w:trPr>
      <w:tc>
        <w:tcPr>
          <w:tcW w:w="2676" w:type="dxa"/>
        </w:tcPr>
        <w:p w14:paraId="6A218FF5" w14:textId="77777777" w:rsidR="000858F5" w:rsidRDefault="000858F5" w:rsidP="0058123B">
          <w:r w:rsidRPr="00684839">
            <w:rPr>
              <w:noProof/>
            </w:rPr>
            <w:drawing>
              <wp:anchor distT="0" distB="0" distL="114300" distR="114300" simplePos="0" relativeHeight="251659264" behindDoc="0" locked="0" layoutInCell="1" allowOverlap="0" wp14:anchorId="3350AB68" wp14:editId="38CC8E2C">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249CAC88" w14:textId="77777777" w:rsidR="000858F5" w:rsidRDefault="000858F5" w:rsidP="0058123B">
          <w:pPr>
            <w:jc w:val="center"/>
          </w:pPr>
          <w:r>
            <w:t>ES&amp;H Manual</w:t>
          </w:r>
        </w:p>
      </w:tc>
      <w:tc>
        <w:tcPr>
          <w:tcW w:w="2736" w:type="dxa"/>
          <w:vAlign w:val="center"/>
        </w:tcPr>
        <w:p w14:paraId="2993A0EB" w14:textId="26DCE3E9" w:rsidR="000858F5" w:rsidRPr="00423E3B" w:rsidRDefault="000858F5" w:rsidP="0058123B">
          <w:pPr>
            <w:jc w:val="center"/>
          </w:pPr>
          <w:r>
            <w:t>FESHM 8080</w:t>
          </w:r>
        </w:p>
        <w:p w14:paraId="1F91241A" w14:textId="7C04C0C8" w:rsidR="000858F5" w:rsidRPr="00423E3B" w:rsidRDefault="00786E60" w:rsidP="0058123B">
          <w:pPr>
            <w:jc w:val="center"/>
          </w:pPr>
          <w:r>
            <w:t>August</w:t>
          </w:r>
          <w:r w:rsidR="000858F5">
            <w:t xml:space="preserve"> 202</w:t>
          </w:r>
          <w:r w:rsidR="00281853">
            <w:t>2</w:t>
          </w:r>
        </w:p>
      </w:tc>
    </w:tr>
  </w:tbl>
  <w:p w14:paraId="7DE2C9EA" w14:textId="58D7DFD8" w:rsidR="000858F5" w:rsidRDefault="000858F5"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82DE" w14:textId="2CF33A88" w:rsidR="00FF7033" w:rsidRDefault="002D46C8">
    <w:pPr>
      <w:pStyle w:val="Header"/>
    </w:pPr>
    <w:r>
      <w:rPr>
        <w:noProof/>
      </w:rPr>
      <w:pict w14:anchorId="264E8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489.45pt;height:195.75pt;rotation:315;z-index:-251644928;mso-position-horizontal:center;mso-position-horizontal-relative:margin;mso-position-vertical:center;mso-position-vertical-relative:margin" o:allowincell="f" fillcolor="#c00000"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0858F5" w:rsidRPr="00423E3B" w14:paraId="11A2011A" w14:textId="77777777" w:rsidTr="00C173D7">
      <w:trPr>
        <w:trHeight w:val="611"/>
      </w:trPr>
      <w:tc>
        <w:tcPr>
          <w:tcW w:w="2676" w:type="dxa"/>
        </w:tcPr>
        <w:p w14:paraId="3464C0E1" w14:textId="77777777" w:rsidR="000858F5" w:rsidRDefault="000858F5" w:rsidP="00481675">
          <w:r w:rsidRPr="00684839">
            <w:rPr>
              <w:noProof/>
            </w:rPr>
            <w:drawing>
              <wp:anchor distT="0" distB="0" distL="114300" distR="114300" simplePos="0" relativeHeight="251661312" behindDoc="0" locked="0" layoutInCell="1" allowOverlap="0" wp14:anchorId="0F110596" wp14:editId="1B0FF561">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1848515B" w14:textId="77777777" w:rsidR="000858F5" w:rsidRDefault="000858F5" w:rsidP="00481675">
          <w:pPr>
            <w:jc w:val="center"/>
          </w:pPr>
          <w:r>
            <w:t>ES&amp;H Manual</w:t>
          </w:r>
        </w:p>
      </w:tc>
      <w:tc>
        <w:tcPr>
          <w:tcW w:w="2736" w:type="dxa"/>
          <w:vAlign w:val="center"/>
        </w:tcPr>
        <w:p w14:paraId="2965D854" w14:textId="63F8A746" w:rsidR="000858F5" w:rsidRPr="00423E3B" w:rsidRDefault="000858F5" w:rsidP="00481675">
          <w:pPr>
            <w:jc w:val="center"/>
          </w:pPr>
          <w:r>
            <w:t>FESHM 8080</w:t>
          </w:r>
        </w:p>
        <w:p w14:paraId="4328DC8E" w14:textId="46C6A8A1" w:rsidR="000858F5" w:rsidRPr="00423E3B" w:rsidRDefault="002E2AE0" w:rsidP="00481675">
          <w:pPr>
            <w:jc w:val="center"/>
          </w:pPr>
          <w:r>
            <w:t>August</w:t>
          </w:r>
          <w:r w:rsidR="000858F5">
            <w:t xml:space="preserve"> 20</w:t>
          </w:r>
          <w:r>
            <w:t>2</w:t>
          </w:r>
          <w:r w:rsidR="00281853">
            <w:t>2</w:t>
          </w:r>
        </w:p>
      </w:tc>
    </w:tr>
  </w:tbl>
  <w:p w14:paraId="0A16988B" w14:textId="6CB33C94" w:rsidR="000858F5" w:rsidRDefault="000858F5" w:rsidP="00E00D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D850" w14:textId="3E24A0A8" w:rsidR="00FF7033" w:rsidRDefault="002D46C8">
    <w:pPr>
      <w:pStyle w:val="Header"/>
    </w:pPr>
    <w:r>
      <w:rPr>
        <w:noProof/>
      </w:rPr>
      <w:pict w14:anchorId="664D4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489.45pt;height:195.75pt;rotation:315;z-index:-251646976;mso-position-horizontal:center;mso-position-horizontal-relative:margin;mso-position-vertical:center;mso-position-vertical-relative:margin" o:allowincell="f" fillcolor="#c00000"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926D4"/>
    <w:multiLevelType w:val="hybridMultilevel"/>
    <w:tmpl w:val="8D72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135E68"/>
    <w:multiLevelType w:val="hybridMultilevel"/>
    <w:tmpl w:val="BF2EC304"/>
    <w:lvl w:ilvl="0" w:tplc="6A86FBCA">
      <w:start w:val="1"/>
      <w:numFmt w:val="decimal"/>
      <w:lvlText w:val="%1."/>
      <w:lvlJc w:val="left"/>
      <w:pPr>
        <w:tabs>
          <w:tab w:val="num" w:pos="720"/>
        </w:tabs>
        <w:ind w:left="720" w:hanging="360"/>
      </w:pPr>
      <w:rPr>
        <w:rFonts w:hint="default"/>
      </w:rPr>
    </w:lvl>
    <w:lvl w:ilvl="1" w:tplc="DAAEEDD2">
      <w:start w:val="1"/>
      <w:numFmt w:val="lowerLetter"/>
      <w:lvlText w:val="%2."/>
      <w:lvlJc w:val="left"/>
      <w:pPr>
        <w:tabs>
          <w:tab w:val="num" w:pos="1440"/>
        </w:tabs>
        <w:ind w:left="1440" w:hanging="360"/>
      </w:pPr>
      <w:rPr>
        <w:rFonts w:hint="default"/>
      </w:rPr>
    </w:lvl>
    <w:lvl w:ilvl="2" w:tplc="37D8C54E">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E74E0CC">
      <w:start w:val="1"/>
      <w:numFmt w:val="upperLetter"/>
      <w:lvlText w:val="%5."/>
      <w:lvlJc w:val="left"/>
      <w:pPr>
        <w:tabs>
          <w:tab w:val="num" w:pos="3900"/>
        </w:tabs>
        <w:ind w:left="3900" w:hanging="6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B06EC1"/>
    <w:multiLevelType w:val="hybridMultilevel"/>
    <w:tmpl w:val="4AC6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C39FC"/>
    <w:multiLevelType w:val="hybridMultilevel"/>
    <w:tmpl w:val="1E8080D6"/>
    <w:lvl w:ilvl="0" w:tplc="E1C27FC8">
      <w:start w:val="2"/>
      <w:numFmt w:val="lowerLetter"/>
      <w:lvlText w:val="%1."/>
      <w:lvlJc w:val="left"/>
      <w:pPr>
        <w:tabs>
          <w:tab w:val="num" w:pos="420"/>
        </w:tabs>
        <w:ind w:left="420" w:hanging="360"/>
      </w:pPr>
      <w:rPr>
        <w:rFonts w:hint="default"/>
      </w:rPr>
    </w:lvl>
    <w:lvl w:ilvl="1" w:tplc="2C4A820A">
      <w:start w:val="7"/>
      <w:numFmt w:val="decimal"/>
      <w:lvlText w:val="%2."/>
      <w:lvlJc w:val="left"/>
      <w:pPr>
        <w:tabs>
          <w:tab w:val="num" w:pos="1140"/>
        </w:tabs>
        <w:ind w:left="1140" w:hanging="360"/>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331153"/>
    <w:multiLevelType w:val="hybridMultilevel"/>
    <w:tmpl w:val="A016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37156"/>
    <w:multiLevelType w:val="hybridMultilevel"/>
    <w:tmpl w:val="57C45B94"/>
    <w:lvl w:ilvl="0" w:tplc="3FE6EC96">
      <w:start w:val="14"/>
      <w:numFmt w:val="decimal"/>
      <w:lvlText w:val="%1."/>
      <w:lvlJc w:val="left"/>
      <w:pPr>
        <w:tabs>
          <w:tab w:val="num" w:pos="900"/>
        </w:tabs>
        <w:ind w:left="900" w:hanging="720"/>
      </w:pPr>
      <w:rPr>
        <w:rFonts w:hint="default"/>
      </w:rPr>
    </w:lvl>
    <w:lvl w:ilvl="1" w:tplc="0409001B">
      <w:start w:val="1"/>
      <w:numFmt w:val="lowerRoman"/>
      <w:lvlText w:val="%2."/>
      <w:lvlJc w:val="right"/>
      <w:pPr>
        <w:tabs>
          <w:tab w:val="num" w:pos="1260"/>
        </w:tabs>
        <w:ind w:left="1260" w:hanging="180"/>
      </w:pPr>
    </w:lvl>
    <w:lvl w:ilvl="2" w:tplc="CDC0C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A469AD"/>
    <w:multiLevelType w:val="hybridMultilevel"/>
    <w:tmpl w:val="CEAA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41553"/>
    <w:multiLevelType w:val="hybridMultilevel"/>
    <w:tmpl w:val="9B1AD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706C1"/>
    <w:multiLevelType w:val="hybridMultilevel"/>
    <w:tmpl w:val="811CA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0741B"/>
    <w:multiLevelType w:val="hybridMultilevel"/>
    <w:tmpl w:val="E038846C"/>
    <w:lvl w:ilvl="0" w:tplc="EB6AD382">
      <w:start w:val="2"/>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24395820"/>
    <w:multiLevelType w:val="hybridMultilevel"/>
    <w:tmpl w:val="D720858A"/>
    <w:lvl w:ilvl="0" w:tplc="04090017">
      <w:start w:val="1"/>
      <w:numFmt w:val="lowerLetter"/>
      <w:lvlText w:val="%1)"/>
      <w:lvlJc w:val="left"/>
      <w:pPr>
        <w:tabs>
          <w:tab w:val="num" w:pos="720"/>
        </w:tabs>
        <w:ind w:left="720" w:hanging="360"/>
      </w:pPr>
      <w:rPr>
        <w:rFonts w:hint="default"/>
      </w:rPr>
    </w:lvl>
    <w:lvl w:ilvl="1" w:tplc="600ADE6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D547EE"/>
    <w:multiLevelType w:val="hybridMultilevel"/>
    <w:tmpl w:val="59D49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F5904"/>
    <w:multiLevelType w:val="hybridMultilevel"/>
    <w:tmpl w:val="542CACBA"/>
    <w:lvl w:ilvl="0" w:tplc="6A86FBCA">
      <w:start w:val="1"/>
      <w:numFmt w:val="decimal"/>
      <w:lvlText w:val="%1."/>
      <w:lvlJc w:val="left"/>
      <w:pPr>
        <w:tabs>
          <w:tab w:val="num" w:pos="720"/>
        </w:tabs>
        <w:ind w:left="720" w:hanging="360"/>
      </w:pPr>
      <w:rPr>
        <w:rFonts w:hint="default"/>
      </w:rPr>
    </w:lvl>
    <w:lvl w:ilvl="1" w:tplc="C5D65A9E">
      <w:start w:val="1"/>
      <w:numFmt w:val="lowerLetter"/>
      <w:lvlText w:val="%2."/>
      <w:lvlJc w:val="left"/>
      <w:pPr>
        <w:tabs>
          <w:tab w:val="num" w:pos="1440"/>
        </w:tabs>
        <w:ind w:left="1440" w:hanging="360"/>
      </w:pPr>
      <w:rPr>
        <w:rFonts w:hint="default"/>
      </w:rPr>
    </w:lvl>
    <w:lvl w:ilvl="2" w:tplc="6A86FBC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D53C0E"/>
    <w:multiLevelType w:val="hybridMultilevel"/>
    <w:tmpl w:val="61BE1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E12479"/>
    <w:multiLevelType w:val="hybridMultilevel"/>
    <w:tmpl w:val="55C28C6E"/>
    <w:lvl w:ilvl="0" w:tplc="0409001B">
      <w:start w:val="1"/>
      <w:numFmt w:val="lowerRoman"/>
      <w:lvlText w:val="%1."/>
      <w:lvlJc w:val="right"/>
      <w:pPr>
        <w:ind w:left="1207" w:hanging="487"/>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551176"/>
    <w:multiLevelType w:val="hybridMultilevel"/>
    <w:tmpl w:val="21C013DE"/>
    <w:lvl w:ilvl="0" w:tplc="6A86FBCA">
      <w:start w:val="1"/>
      <w:numFmt w:val="decimal"/>
      <w:lvlText w:val="%1."/>
      <w:lvlJc w:val="left"/>
      <w:pPr>
        <w:tabs>
          <w:tab w:val="num" w:pos="720"/>
        </w:tabs>
        <w:ind w:left="720" w:hanging="360"/>
      </w:pPr>
      <w:rPr>
        <w:rFonts w:hint="default"/>
      </w:rPr>
    </w:lvl>
    <w:lvl w:ilvl="1" w:tplc="DAAEEDD2">
      <w:start w:val="1"/>
      <w:numFmt w:val="lowerLetter"/>
      <w:lvlText w:val="%2."/>
      <w:lvlJc w:val="left"/>
      <w:pPr>
        <w:tabs>
          <w:tab w:val="num" w:pos="1440"/>
        </w:tabs>
        <w:ind w:left="1440" w:hanging="360"/>
      </w:pPr>
      <w:rPr>
        <w:rFonts w:hint="default"/>
      </w:rPr>
    </w:lvl>
    <w:lvl w:ilvl="2" w:tplc="04090013">
      <w:start w:val="1"/>
      <w:numFmt w:val="upperRoman"/>
      <w:lvlText w:val="%3."/>
      <w:lvlJc w:val="righ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E74E0CC">
      <w:start w:val="1"/>
      <w:numFmt w:val="upperLetter"/>
      <w:lvlText w:val="%5."/>
      <w:lvlJc w:val="left"/>
      <w:pPr>
        <w:tabs>
          <w:tab w:val="num" w:pos="3900"/>
        </w:tabs>
        <w:ind w:left="3900" w:hanging="6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9E7AF1"/>
    <w:multiLevelType w:val="hybridMultilevel"/>
    <w:tmpl w:val="6AB2CB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53E53AE"/>
    <w:multiLevelType w:val="hybridMultilevel"/>
    <w:tmpl w:val="6824B52C"/>
    <w:lvl w:ilvl="0" w:tplc="53CE56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5CB6B52"/>
    <w:multiLevelType w:val="hybridMultilevel"/>
    <w:tmpl w:val="502E6C82"/>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240F7D"/>
    <w:multiLevelType w:val="hybridMultilevel"/>
    <w:tmpl w:val="A38C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70AB8"/>
    <w:multiLevelType w:val="hybridMultilevel"/>
    <w:tmpl w:val="D4F4310E"/>
    <w:lvl w:ilvl="0" w:tplc="31DAFC60">
      <w:start w:val="5"/>
      <w:numFmt w:val="lowerLetter"/>
      <w:lvlText w:val="%1."/>
      <w:lvlJc w:val="left"/>
      <w:pPr>
        <w:tabs>
          <w:tab w:val="num" w:pos="720"/>
        </w:tabs>
        <w:ind w:left="7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A06B69"/>
    <w:multiLevelType w:val="hybridMultilevel"/>
    <w:tmpl w:val="C5A61B2E"/>
    <w:lvl w:ilvl="0" w:tplc="189A2B76">
      <w:start w:val="2"/>
      <w:numFmt w:val="lowerLetter"/>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15:restartNumberingAfterBreak="0">
    <w:nsid w:val="426012D9"/>
    <w:multiLevelType w:val="multilevel"/>
    <w:tmpl w:val="FDC63D38"/>
    <w:lvl w:ilvl="0">
      <w:start w:val="1"/>
      <w:numFmt w:val="decimal"/>
      <w:pStyle w:val="Heading1"/>
      <w:lvlText w:val="%1.0"/>
      <w:lvlJc w:val="left"/>
      <w:pPr>
        <w:ind w:left="72" w:hanging="72"/>
      </w:pPr>
      <w:rPr>
        <w:rFonts w:ascii="Times New Roman Bold" w:hAnsi="Times New Roman Bold" w:hint="default"/>
        <w:b/>
        <w:i w:val="0"/>
        <w:sz w:val="28"/>
      </w:rPr>
    </w:lvl>
    <w:lvl w:ilvl="1">
      <w:start w:val="1"/>
      <w:numFmt w:val="decimal"/>
      <w:pStyle w:val="Heading2"/>
      <w:lvlText w:val="%1.%2"/>
      <w:lvlJc w:val="left"/>
      <w:pPr>
        <w:tabs>
          <w:tab w:val="num" w:pos="1026"/>
        </w:tabs>
        <w:ind w:left="1026" w:hanging="504"/>
      </w:pPr>
      <w:rPr>
        <w:rFonts w:ascii="Times New Roman Bold" w:hAnsi="Times New Roman Bold" w:hint="default"/>
        <w:b/>
        <w:i w:val="0"/>
        <w:sz w:val="24"/>
      </w:rPr>
    </w:lvl>
    <w:lvl w:ilvl="2">
      <w:start w:val="1"/>
      <w:numFmt w:val="decimal"/>
      <w:pStyle w:val="Heading3"/>
      <w:lvlText w:val="%1.%2.%3."/>
      <w:lvlJc w:val="left"/>
      <w:pPr>
        <w:tabs>
          <w:tab w:val="num" w:pos="4662"/>
        </w:tabs>
        <w:ind w:left="1152" w:hanging="720"/>
      </w:pPr>
      <w:rPr>
        <w:rFonts w:ascii="Times New Roman Bold" w:hAnsi="Times New Roman Bold" w:hint="default"/>
        <w:b/>
        <w:i w:val="0"/>
        <w:sz w:val="24"/>
        <w:szCs w:val="24"/>
      </w:rPr>
    </w:lvl>
    <w:lvl w:ilvl="3">
      <w:start w:val="1"/>
      <w:numFmt w:val="decimal"/>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792" w:hanging="360"/>
      </w:pPr>
      <w:rPr>
        <w:rFonts w:hint="default"/>
      </w:rPr>
    </w:lvl>
    <w:lvl w:ilvl="8">
      <w:start w:val="1"/>
      <w:numFmt w:val="lowerRoman"/>
      <w:lvlText w:val="%9."/>
      <w:lvlJc w:val="left"/>
      <w:pPr>
        <w:ind w:left="2952" w:hanging="360"/>
      </w:pPr>
      <w:rPr>
        <w:rFonts w:hint="default"/>
      </w:rPr>
    </w:lvl>
  </w:abstractNum>
  <w:abstractNum w:abstractNumId="26"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8" w15:restartNumberingAfterBreak="0">
    <w:nsid w:val="44BA4712"/>
    <w:multiLevelType w:val="hybridMultilevel"/>
    <w:tmpl w:val="3126C6EE"/>
    <w:lvl w:ilvl="0" w:tplc="F058099C">
      <w:start w:val="2"/>
      <w:numFmt w:val="lowerLetter"/>
      <w:lvlText w:val="%1."/>
      <w:lvlJc w:val="left"/>
      <w:pPr>
        <w:tabs>
          <w:tab w:val="num" w:pos="720"/>
        </w:tabs>
        <w:ind w:left="720" w:hanging="660"/>
      </w:pPr>
      <w:rPr>
        <w:rFonts w:hint="default"/>
      </w:rPr>
    </w:lvl>
    <w:lvl w:ilvl="1" w:tplc="7756B70E">
      <w:start w:val="9"/>
      <w:numFmt w:val="decimal"/>
      <w:lvlText w:val="%2."/>
      <w:lvlJc w:val="left"/>
      <w:pPr>
        <w:tabs>
          <w:tab w:val="num" w:pos="1140"/>
        </w:tabs>
        <w:ind w:left="1140" w:hanging="360"/>
      </w:pPr>
      <w:rPr>
        <w:rFonts w:hint="default"/>
      </w:rPr>
    </w:lvl>
    <w:lvl w:ilvl="2" w:tplc="F058099C">
      <w:start w:val="2"/>
      <w:numFmt w:val="lowerLetter"/>
      <w:lvlText w:val="%3."/>
      <w:lvlJc w:val="left"/>
      <w:pPr>
        <w:tabs>
          <w:tab w:val="num" w:pos="660"/>
        </w:tabs>
        <w:ind w:left="660" w:hanging="660"/>
      </w:pPr>
      <w:rPr>
        <w:rFonts w:hint="default"/>
      </w:rPr>
    </w:lvl>
    <w:lvl w:ilvl="3" w:tplc="6E3A1062">
      <w:start w:val="1"/>
      <w:numFmt w:val="lowerRoman"/>
      <w:lvlText w:val="%4."/>
      <w:lvlJc w:val="left"/>
      <w:pPr>
        <w:tabs>
          <w:tab w:val="num" w:pos="2940"/>
        </w:tabs>
        <w:ind w:left="2940" w:hanging="720"/>
      </w:pPr>
      <w:rPr>
        <w:rFonts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15:restartNumberingAfterBreak="0">
    <w:nsid w:val="487D1A8F"/>
    <w:multiLevelType w:val="hybridMultilevel"/>
    <w:tmpl w:val="7D5EF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FF7731C"/>
    <w:multiLevelType w:val="hybridMultilevel"/>
    <w:tmpl w:val="B6545C14"/>
    <w:lvl w:ilvl="0" w:tplc="0DBE9A22">
      <w:start w:val="5"/>
      <w:numFmt w:val="lowerLetter"/>
      <w:lvlText w:val="%1."/>
      <w:lvlJc w:val="left"/>
      <w:pPr>
        <w:tabs>
          <w:tab w:val="num" w:pos="720"/>
        </w:tabs>
        <w:ind w:left="7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04711"/>
    <w:multiLevelType w:val="hybridMultilevel"/>
    <w:tmpl w:val="B554FCD4"/>
    <w:lvl w:ilvl="0" w:tplc="12C20D50">
      <w:start w:val="2"/>
      <w:numFmt w:val="lowerLetter"/>
      <w:lvlText w:val="%1."/>
      <w:lvlJc w:val="left"/>
      <w:pPr>
        <w:tabs>
          <w:tab w:val="num" w:pos="720"/>
        </w:tabs>
        <w:ind w:left="720" w:hanging="660"/>
      </w:pPr>
      <w:rPr>
        <w:rFonts w:hint="default"/>
      </w:rPr>
    </w:lvl>
    <w:lvl w:ilvl="1" w:tplc="EA94C420">
      <w:start w:val="8"/>
      <w:numFmt w:val="decimal"/>
      <w:lvlText w:val="%2."/>
      <w:lvlJc w:val="left"/>
      <w:pPr>
        <w:tabs>
          <w:tab w:val="num" w:pos="1140"/>
        </w:tabs>
        <w:ind w:left="1140" w:hanging="360"/>
      </w:pPr>
      <w:rPr>
        <w:rFonts w:hint="default"/>
      </w:rPr>
    </w:lvl>
    <w:lvl w:ilvl="2" w:tplc="65BE93F6">
      <w:start w:val="1"/>
      <w:numFmt w:val="lowerRoman"/>
      <w:lvlText w:val="%3."/>
      <w:lvlJc w:val="left"/>
      <w:pPr>
        <w:tabs>
          <w:tab w:val="num" w:pos="2400"/>
        </w:tabs>
        <w:ind w:left="2400" w:hanging="720"/>
      </w:pPr>
      <w:rPr>
        <w:rFonts w:hint="default"/>
      </w:rPr>
    </w:lvl>
    <w:lvl w:ilvl="3" w:tplc="FC307E76">
      <w:start w:val="1"/>
      <w:numFmt w:val="upperLetter"/>
      <w:lvlText w:val="%4."/>
      <w:lvlJc w:val="left"/>
      <w:pPr>
        <w:tabs>
          <w:tab w:val="num" w:pos="2940"/>
        </w:tabs>
        <w:ind w:left="2940" w:hanging="720"/>
      </w:pPr>
      <w:rPr>
        <w:rFonts w:hint="default"/>
      </w:rPr>
    </w:lvl>
    <w:lvl w:ilvl="4" w:tplc="F058099C">
      <w:start w:val="2"/>
      <w:numFmt w:val="lowerLetter"/>
      <w:lvlText w:val="%5."/>
      <w:lvlJc w:val="left"/>
      <w:pPr>
        <w:tabs>
          <w:tab w:val="num" w:pos="3600"/>
        </w:tabs>
        <w:ind w:left="3600" w:hanging="6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5EC20515"/>
    <w:multiLevelType w:val="hybridMultilevel"/>
    <w:tmpl w:val="4B628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C7493"/>
    <w:multiLevelType w:val="hybridMultilevel"/>
    <w:tmpl w:val="DEEA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93E40"/>
    <w:multiLevelType w:val="hybridMultilevel"/>
    <w:tmpl w:val="9AFA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FE660D"/>
    <w:multiLevelType w:val="hybridMultilevel"/>
    <w:tmpl w:val="D01A1A6E"/>
    <w:lvl w:ilvl="0" w:tplc="0162786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641B36DA"/>
    <w:multiLevelType w:val="hybridMultilevel"/>
    <w:tmpl w:val="1970239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8" w15:restartNumberingAfterBreak="0">
    <w:nsid w:val="65B3410A"/>
    <w:multiLevelType w:val="hybridMultilevel"/>
    <w:tmpl w:val="B96E2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9D5315"/>
    <w:multiLevelType w:val="hybridMultilevel"/>
    <w:tmpl w:val="DF460C48"/>
    <w:lvl w:ilvl="0" w:tplc="54B40FE6">
      <w:start w:val="1"/>
      <w:numFmt w:val="lowerRoman"/>
      <w:lvlText w:val="%1."/>
      <w:lvlJc w:val="left"/>
      <w:pPr>
        <w:tabs>
          <w:tab w:val="num" w:pos="1080"/>
        </w:tabs>
        <w:ind w:left="1080" w:hanging="720"/>
      </w:pPr>
      <w:rPr>
        <w:rFonts w:hint="default"/>
      </w:rPr>
    </w:lvl>
    <w:lvl w:ilvl="1" w:tplc="6D249A8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7125BF8"/>
    <w:multiLevelType w:val="hybridMultilevel"/>
    <w:tmpl w:val="09042F34"/>
    <w:lvl w:ilvl="0" w:tplc="6A86FBCA">
      <w:start w:val="1"/>
      <w:numFmt w:val="decimal"/>
      <w:lvlText w:val="%1."/>
      <w:lvlJc w:val="left"/>
      <w:pPr>
        <w:tabs>
          <w:tab w:val="num" w:pos="720"/>
        </w:tabs>
        <w:ind w:left="720" w:hanging="360"/>
      </w:pPr>
      <w:rPr>
        <w:rFonts w:hint="default"/>
      </w:rPr>
    </w:lvl>
    <w:lvl w:ilvl="1" w:tplc="DAAEED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E74E0CC">
      <w:start w:val="1"/>
      <w:numFmt w:val="upperLetter"/>
      <w:lvlText w:val="%5."/>
      <w:lvlJc w:val="left"/>
      <w:pPr>
        <w:tabs>
          <w:tab w:val="num" w:pos="3900"/>
        </w:tabs>
        <w:ind w:left="3900" w:hanging="6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2"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0B624D"/>
    <w:multiLevelType w:val="hybridMultilevel"/>
    <w:tmpl w:val="D2442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96C4F"/>
    <w:multiLevelType w:val="hybridMultilevel"/>
    <w:tmpl w:val="C2724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1D3299"/>
    <w:multiLevelType w:val="hybridMultilevel"/>
    <w:tmpl w:val="041E63E2"/>
    <w:lvl w:ilvl="0" w:tplc="CDDADAEC">
      <w:start w:val="1"/>
      <w:numFmt w:val="lowerLetter"/>
      <w:lvlText w:val="%1."/>
      <w:lvlJc w:val="left"/>
      <w:pPr>
        <w:tabs>
          <w:tab w:val="num" w:pos="1440"/>
        </w:tabs>
        <w:ind w:left="1440" w:hanging="720"/>
      </w:pPr>
      <w:rPr>
        <w:rFonts w:hint="default"/>
      </w:rPr>
    </w:lvl>
    <w:lvl w:ilvl="1" w:tplc="522846BE">
      <w:start w:val="7"/>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55D3B3C"/>
    <w:multiLevelType w:val="hybridMultilevel"/>
    <w:tmpl w:val="6666B8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55404"/>
    <w:multiLevelType w:val="hybridMultilevel"/>
    <w:tmpl w:val="389033DC"/>
    <w:lvl w:ilvl="0" w:tplc="F5045030">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27"/>
  </w:num>
  <w:num w:numId="3">
    <w:abstractNumId w:val="26"/>
  </w:num>
  <w:num w:numId="4">
    <w:abstractNumId w:val="6"/>
  </w:num>
  <w:num w:numId="5">
    <w:abstractNumId w:val="30"/>
  </w:num>
  <w:num w:numId="6">
    <w:abstractNumId w:val="1"/>
  </w:num>
  <w:num w:numId="7">
    <w:abstractNumId w:val="0"/>
  </w:num>
  <w:num w:numId="8">
    <w:abstractNumId w:val="25"/>
  </w:num>
  <w:num w:numId="9">
    <w:abstractNumId w:val="42"/>
  </w:num>
  <w:num w:numId="10">
    <w:abstractNumId w:val="32"/>
  </w:num>
  <w:num w:numId="11">
    <w:abstractNumId w:val="38"/>
  </w:num>
  <w:num w:numId="12">
    <w:abstractNumId w:val="16"/>
  </w:num>
  <w:num w:numId="13">
    <w:abstractNumId w:val="19"/>
  </w:num>
  <w:num w:numId="14">
    <w:abstractNumId w:val="46"/>
  </w:num>
  <w:num w:numId="15">
    <w:abstractNumId w:val="13"/>
  </w:num>
  <w:num w:numId="16">
    <w:abstractNumId w:val="28"/>
  </w:num>
  <w:num w:numId="17">
    <w:abstractNumId w:val="12"/>
  </w:num>
  <w:num w:numId="18">
    <w:abstractNumId w:val="24"/>
  </w:num>
  <w:num w:numId="19">
    <w:abstractNumId w:val="5"/>
  </w:num>
  <w:num w:numId="20">
    <w:abstractNumId w:val="3"/>
  </w:num>
  <w:num w:numId="21">
    <w:abstractNumId w:val="15"/>
  </w:num>
  <w:num w:numId="22">
    <w:abstractNumId w:val="39"/>
  </w:num>
  <w:num w:numId="23">
    <w:abstractNumId w:val="20"/>
  </w:num>
  <w:num w:numId="24">
    <w:abstractNumId w:val="45"/>
  </w:num>
  <w:num w:numId="25">
    <w:abstractNumId w:val="8"/>
  </w:num>
  <w:num w:numId="26">
    <w:abstractNumId w:val="36"/>
  </w:num>
  <w:num w:numId="27">
    <w:abstractNumId w:val="21"/>
  </w:num>
  <w:num w:numId="28">
    <w:abstractNumId w:val="34"/>
  </w:num>
  <w:num w:numId="29">
    <w:abstractNumId w:val="47"/>
  </w:num>
  <w:num w:numId="30">
    <w:abstractNumId w:val="17"/>
  </w:num>
  <w:num w:numId="31">
    <w:abstractNumId w:val="18"/>
  </w:num>
  <w:num w:numId="32">
    <w:abstractNumId w:val="40"/>
  </w:num>
  <w:num w:numId="33">
    <w:abstractNumId w:val="9"/>
  </w:num>
  <w:num w:numId="34">
    <w:abstractNumId w:val="2"/>
  </w:num>
  <w:num w:numId="35">
    <w:abstractNumId w:val="4"/>
  </w:num>
  <w:num w:numId="36">
    <w:abstractNumId w:val="22"/>
  </w:num>
  <w:num w:numId="37">
    <w:abstractNumId w:val="33"/>
  </w:num>
  <w:num w:numId="38">
    <w:abstractNumId w:val="7"/>
  </w:num>
  <w:num w:numId="39">
    <w:abstractNumId w:val="29"/>
  </w:num>
  <w:num w:numId="40">
    <w:abstractNumId w:val="44"/>
  </w:num>
  <w:num w:numId="41">
    <w:abstractNumId w:val="11"/>
  </w:num>
  <w:num w:numId="42">
    <w:abstractNumId w:val="10"/>
  </w:num>
  <w:num w:numId="43">
    <w:abstractNumId w:val="35"/>
  </w:num>
  <w:num w:numId="44">
    <w:abstractNumId w:val="37"/>
  </w:num>
  <w:num w:numId="45">
    <w:abstractNumId w:val="23"/>
  </w:num>
  <w:num w:numId="46">
    <w:abstractNumId w:val="31"/>
  </w:num>
  <w:num w:numId="47">
    <w:abstractNumId w:val="14"/>
  </w:num>
  <w:num w:numId="48">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style="mso-wrap-style:none;mso-position-vertical-relative:line" fillcolor="yellow">
      <v:fill color="yellow"/>
      <v:textbox style="mso-fit-shape-to-text:t"/>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22F3"/>
    <w:rsid w:val="000151E7"/>
    <w:rsid w:val="000156B3"/>
    <w:rsid w:val="0001715A"/>
    <w:rsid w:val="00021BF3"/>
    <w:rsid w:val="00022A8C"/>
    <w:rsid w:val="00023346"/>
    <w:rsid w:val="00023D05"/>
    <w:rsid w:val="000241ED"/>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445A"/>
    <w:rsid w:val="00065AC6"/>
    <w:rsid w:val="00071B76"/>
    <w:rsid w:val="00071D86"/>
    <w:rsid w:val="00072599"/>
    <w:rsid w:val="000753FB"/>
    <w:rsid w:val="00077A12"/>
    <w:rsid w:val="00077CC7"/>
    <w:rsid w:val="0008004A"/>
    <w:rsid w:val="0008360F"/>
    <w:rsid w:val="000836AA"/>
    <w:rsid w:val="000843FD"/>
    <w:rsid w:val="000849F0"/>
    <w:rsid w:val="00084E8E"/>
    <w:rsid w:val="000858F5"/>
    <w:rsid w:val="00087098"/>
    <w:rsid w:val="00087650"/>
    <w:rsid w:val="00087948"/>
    <w:rsid w:val="000903AC"/>
    <w:rsid w:val="0009048F"/>
    <w:rsid w:val="00092162"/>
    <w:rsid w:val="00092598"/>
    <w:rsid w:val="0009599A"/>
    <w:rsid w:val="00095A16"/>
    <w:rsid w:val="00096281"/>
    <w:rsid w:val="000967BA"/>
    <w:rsid w:val="000A3E0D"/>
    <w:rsid w:val="000A425D"/>
    <w:rsid w:val="000A5E66"/>
    <w:rsid w:val="000B05A8"/>
    <w:rsid w:val="000B0E2E"/>
    <w:rsid w:val="000B1B47"/>
    <w:rsid w:val="000B56C5"/>
    <w:rsid w:val="000B6364"/>
    <w:rsid w:val="000B6567"/>
    <w:rsid w:val="000B6B6E"/>
    <w:rsid w:val="000C0F6D"/>
    <w:rsid w:val="000C4FB0"/>
    <w:rsid w:val="000C5636"/>
    <w:rsid w:val="000C6331"/>
    <w:rsid w:val="000C71AD"/>
    <w:rsid w:val="000C7994"/>
    <w:rsid w:val="000D01EA"/>
    <w:rsid w:val="000D046F"/>
    <w:rsid w:val="000D19A3"/>
    <w:rsid w:val="000D30D7"/>
    <w:rsid w:val="000D4910"/>
    <w:rsid w:val="000D7FF2"/>
    <w:rsid w:val="000E2AF0"/>
    <w:rsid w:val="000F73F8"/>
    <w:rsid w:val="00100751"/>
    <w:rsid w:val="001018F5"/>
    <w:rsid w:val="00102003"/>
    <w:rsid w:val="0010257B"/>
    <w:rsid w:val="001033FA"/>
    <w:rsid w:val="001034A8"/>
    <w:rsid w:val="001049ED"/>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32F"/>
    <w:rsid w:val="001727E1"/>
    <w:rsid w:val="00173293"/>
    <w:rsid w:val="00175BCA"/>
    <w:rsid w:val="00177097"/>
    <w:rsid w:val="00177CD0"/>
    <w:rsid w:val="00180D9E"/>
    <w:rsid w:val="00181736"/>
    <w:rsid w:val="00181C2B"/>
    <w:rsid w:val="00182587"/>
    <w:rsid w:val="00184321"/>
    <w:rsid w:val="00187F2A"/>
    <w:rsid w:val="001907A0"/>
    <w:rsid w:val="0019249C"/>
    <w:rsid w:val="00192D5D"/>
    <w:rsid w:val="00194594"/>
    <w:rsid w:val="001951AE"/>
    <w:rsid w:val="00195AF3"/>
    <w:rsid w:val="00196CE0"/>
    <w:rsid w:val="001A2707"/>
    <w:rsid w:val="001A2CF3"/>
    <w:rsid w:val="001A2D45"/>
    <w:rsid w:val="001A3403"/>
    <w:rsid w:val="001A63A1"/>
    <w:rsid w:val="001A74A8"/>
    <w:rsid w:val="001B33CF"/>
    <w:rsid w:val="001B5668"/>
    <w:rsid w:val="001B623B"/>
    <w:rsid w:val="001B6A20"/>
    <w:rsid w:val="001C167C"/>
    <w:rsid w:val="001C31F8"/>
    <w:rsid w:val="001C3A87"/>
    <w:rsid w:val="001D4317"/>
    <w:rsid w:val="001D435E"/>
    <w:rsid w:val="001D7387"/>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A59"/>
    <w:rsid w:val="00266C7B"/>
    <w:rsid w:val="00267A46"/>
    <w:rsid w:val="0027397C"/>
    <w:rsid w:val="00275116"/>
    <w:rsid w:val="0027613C"/>
    <w:rsid w:val="00276AB1"/>
    <w:rsid w:val="00281853"/>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B5DB0"/>
    <w:rsid w:val="002C2CF5"/>
    <w:rsid w:val="002D175B"/>
    <w:rsid w:val="002D19E5"/>
    <w:rsid w:val="002D2A16"/>
    <w:rsid w:val="002D46C8"/>
    <w:rsid w:val="002D59DB"/>
    <w:rsid w:val="002D7124"/>
    <w:rsid w:val="002E2986"/>
    <w:rsid w:val="002E29FF"/>
    <w:rsid w:val="002E2AE0"/>
    <w:rsid w:val="002E3E18"/>
    <w:rsid w:val="002E47B2"/>
    <w:rsid w:val="002E5369"/>
    <w:rsid w:val="002E59FA"/>
    <w:rsid w:val="002E7240"/>
    <w:rsid w:val="002F0968"/>
    <w:rsid w:val="002F0C68"/>
    <w:rsid w:val="002F1773"/>
    <w:rsid w:val="002F2503"/>
    <w:rsid w:val="002F2AA2"/>
    <w:rsid w:val="002F3915"/>
    <w:rsid w:val="002F4BBE"/>
    <w:rsid w:val="002F56F7"/>
    <w:rsid w:val="002F6595"/>
    <w:rsid w:val="003048EB"/>
    <w:rsid w:val="003064C6"/>
    <w:rsid w:val="003108FF"/>
    <w:rsid w:val="0031189E"/>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4BC"/>
    <w:rsid w:val="00371A11"/>
    <w:rsid w:val="00371E3E"/>
    <w:rsid w:val="00373B2D"/>
    <w:rsid w:val="00375FF1"/>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3394"/>
    <w:rsid w:val="003C4CE1"/>
    <w:rsid w:val="003C4FA1"/>
    <w:rsid w:val="003C53DE"/>
    <w:rsid w:val="003C5ADD"/>
    <w:rsid w:val="003D0967"/>
    <w:rsid w:val="003D219A"/>
    <w:rsid w:val="003D363B"/>
    <w:rsid w:val="003E0245"/>
    <w:rsid w:val="003E2680"/>
    <w:rsid w:val="003E2A77"/>
    <w:rsid w:val="003E2CCD"/>
    <w:rsid w:val="003E62C5"/>
    <w:rsid w:val="003E64F0"/>
    <w:rsid w:val="003F09C1"/>
    <w:rsid w:val="003F2636"/>
    <w:rsid w:val="003F27D8"/>
    <w:rsid w:val="003F4F93"/>
    <w:rsid w:val="003F5679"/>
    <w:rsid w:val="003F71F9"/>
    <w:rsid w:val="003F760F"/>
    <w:rsid w:val="00401546"/>
    <w:rsid w:val="00402787"/>
    <w:rsid w:val="0040419E"/>
    <w:rsid w:val="00404230"/>
    <w:rsid w:val="004049E6"/>
    <w:rsid w:val="00406BE2"/>
    <w:rsid w:val="00407DDC"/>
    <w:rsid w:val="00411AB0"/>
    <w:rsid w:val="00412AEF"/>
    <w:rsid w:val="00414F93"/>
    <w:rsid w:val="00421E7E"/>
    <w:rsid w:val="004253EE"/>
    <w:rsid w:val="0042555C"/>
    <w:rsid w:val="0042586B"/>
    <w:rsid w:val="00425A37"/>
    <w:rsid w:val="00430A76"/>
    <w:rsid w:val="00430F28"/>
    <w:rsid w:val="0043512A"/>
    <w:rsid w:val="004362B0"/>
    <w:rsid w:val="00436D22"/>
    <w:rsid w:val="00437B3E"/>
    <w:rsid w:val="004405F1"/>
    <w:rsid w:val="00442DD2"/>
    <w:rsid w:val="00443162"/>
    <w:rsid w:val="004509BD"/>
    <w:rsid w:val="00450E63"/>
    <w:rsid w:val="00451757"/>
    <w:rsid w:val="00451BA9"/>
    <w:rsid w:val="004534A4"/>
    <w:rsid w:val="00454ED4"/>
    <w:rsid w:val="00456364"/>
    <w:rsid w:val="00456B16"/>
    <w:rsid w:val="00460BB2"/>
    <w:rsid w:val="00460C3B"/>
    <w:rsid w:val="00463335"/>
    <w:rsid w:val="00471E8E"/>
    <w:rsid w:val="00471FD4"/>
    <w:rsid w:val="004721F8"/>
    <w:rsid w:val="00477270"/>
    <w:rsid w:val="00477ADE"/>
    <w:rsid w:val="00481272"/>
    <w:rsid w:val="00481569"/>
    <w:rsid w:val="00481675"/>
    <w:rsid w:val="00481741"/>
    <w:rsid w:val="00482C2A"/>
    <w:rsid w:val="00483B5D"/>
    <w:rsid w:val="00483D63"/>
    <w:rsid w:val="004843C8"/>
    <w:rsid w:val="00485293"/>
    <w:rsid w:val="00487A7F"/>
    <w:rsid w:val="00490FD1"/>
    <w:rsid w:val="00491DE0"/>
    <w:rsid w:val="00492BF5"/>
    <w:rsid w:val="00494DE2"/>
    <w:rsid w:val="00494EF9"/>
    <w:rsid w:val="00496229"/>
    <w:rsid w:val="00496595"/>
    <w:rsid w:val="004979D8"/>
    <w:rsid w:val="004A31B8"/>
    <w:rsid w:val="004A5B53"/>
    <w:rsid w:val="004A6C6B"/>
    <w:rsid w:val="004A6E56"/>
    <w:rsid w:val="004B077E"/>
    <w:rsid w:val="004B078A"/>
    <w:rsid w:val="004B1826"/>
    <w:rsid w:val="004B4172"/>
    <w:rsid w:val="004C3431"/>
    <w:rsid w:val="004C3C32"/>
    <w:rsid w:val="004D0ADB"/>
    <w:rsid w:val="004D2A62"/>
    <w:rsid w:val="004D5C77"/>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2EE"/>
    <w:rsid w:val="005248D9"/>
    <w:rsid w:val="00525ABA"/>
    <w:rsid w:val="00531918"/>
    <w:rsid w:val="00531C1C"/>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2C01"/>
    <w:rsid w:val="00554664"/>
    <w:rsid w:val="005561CE"/>
    <w:rsid w:val="00556C8F"/>
    <w:rsid w:val="00556DD3"/>
    <w:rsid w:val="00557D8C"/>
    <w:rsid w:val="0056397B"/>
    <w:rsid w:val="00566357"/>
    <w:rsid w:val="0056700E"/>
    <w:rsid w:val="00567C3E"/>
    <w:rsid w:val="0057080E"/>
    <w:rsid w:val="00570923"/>
    <w:rsid w:val="005753AB"/>
    <w:rsid w:val="00576174"/>
    <w:rsid w:val="005766C2"/>
    <w:rsid w:val="005776DB"/>
    <w:rsid w:val="00580564"/>
    <w:rsid w:val="0058123B"/>
    <w:rsid w:val="0058188E"/>
    <w:rsid w:val="00583A8A"/>
    <w:rsid w:val="0058507D"/>
    <w:rsid w:val="00587C3E"/>
    <w:rsid w:val="00593E07"/>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B72DA"/>
    <w:rsid w:val="005C1138"/>
    <w:rsid w:val="005C1721"/>
    <w:rsid w:val="005C3DE2"/>
    <w:rsid w:val="005C422D"/>
    <w:rsid w:val="005C52BA"/>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0F7B"/>
    <w:rsid w:val="00612F85"/>
    <w:rsid w:val="00616192"/>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5A59"/>
    <w:rsid w:val="00656302"/>
    <w:rsid w:val="00657386"/>
    <w:rsid w:val="00660EE5"/>
    <w:rsid w:val="00661088"/>
    <w:rsid w:val="0066173C"/>
    <w:rsid w:val="00661C2A"/>
    <w:rsid w:val="006630E0"/>
    <w:rsid w:val="006643FE"/>
    <w:rsid w:val="00664E5B"/>
    <w:rsid w:val="00666919"/>
    <w:rsid w:val="00672E7C"/>
    <w:rsid w:val="00675A65"/>
    <w:rsid w:val="00675D60"/>
    <w:rsid w:val="00677CDB"/>
    <w:rsid w:val="006800B2"/>
    <w:rsid w:val="0068677B"/>
    <w:rsid w:val="00687887"/>
    <w:rsid w:val="00692AB4"/>
    <w:rsid w:val="0069414A"/>
    <w:rsid w:val="00696ECB"/>
    <w:rsid w:val="006A11BC"/>
    <w:rsid w:val="006A4814"/>
    <w:rsid w:val="006A4D1A"/>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D7FA7"/>
    <w:rsid w:val="006E1CA8"/>
    <w:rsid w:val="006E6054"/>
    <w:rsid w:val="006E6B33"/>
    <w:rsid w:val="006E7F4F"/>
    <w:rsid w:val="006F1673"/>
    <w:rsid w:val="006F634F"/>
    <w:rsid w:val="006F7496"/>
    <w:rsid w:val="00700ECB"/>
    <w:rsid w:val="007109F4"/>
    <w:rsid w:val="00713C77"/>
    <w:rsid w:val="00716B09"/>
    <w:rsid w:val="00721E35"/>
    <w:rsid w:val="00722A85"/>
    <w:rsid w:val="007254D8"/>
    <w:rsid w:val="007271A3"/>
    <w:rsid w:val="00735190"/>
    <w:rsid w:val="00735B88"/>
    <w:rsid w:val="007364F9"/>
    <w:rsid w:val="007379E1"/>
    <w:rsid w:val="00742C58"/>
    <w:rsid w:val="00743FAE"/>
    <w:rsid w:val="00746A06"/>
    <w:rsid w:val="00747685"/>
    <w:rsid w:val="00747CA7"/>
    <w:rsid w:val="007509AD"/>
    <w:rsid w:val="007517A1"/>
    <w:rsid w:val="00754D91"/>
    <w:rsid w:val="00761B2E"/>
    <w:rsid w:val="00761F83"/>
    <w:rsid w:val="007637C5"/>
    <w:rsid w:val="00764DC9"/>
    <w:rsid w:val="00765DBA"/>
    <w:rsid w:val="007660F7"/>
    <w:rsid w:val="00774629"/>
    <w:rsid w:val="00774BE7"/>
    <w:rsid w:val="007774FE"/>
    <w:rsid w:val="00781C9D"/>
    <w:rsid w:val="0078282A"/>
    <w:rsid w:val="007852F2"/>
    <w:rsid w:val="00786E60"/>
    <w:rsid w:val="00790515"/>
    <w:rsid w:val="00790CBC"/>
    <w:rsid w:val="00790EC3"/>
    <w:rsid w:val="00791740"/>
    <w:rsid w:val="0079178C"/>
    <w:rsid w:val="00792643"/>
    <w:rsid w:val="00794290"/>
    <w:rsid w:val="00794AED"/>
    <w:rsid w:val="00797DD5"/>
    <w:rsid w:val="007A03C8"/>
    <w:rsid w:val="007A33A6"/>
    <w:rsid w:val="007A6E0B"/>
    <w:rsid w:val="007A72E2"/>
    <w:rsid w:val="007B01C7"/>
    <w:rsid w:val="007B24E2"/>
    <w:rsid w:val="007B2A87"/>
    <w:rsid w:val="007B5C03"/>
    <w:rsid w:val="007C1F6E"/>
    <w:rsid w:val="007C6A2B"/>
    <w:rsid w:val="007D1F37"/>
    <w:rsid w:val="007D34F9"/>
    <w:rsid w:val="007D5A75"/>
    <w:rsid w:val="007E0D20"/>
    <w:rsid w:val="007E1C72"/>
    <w:rsid w:val="007E260E"/>
    <w:rsid w:val="007E26F1"/>
    <w:rsid w:val="007E5BBC"/>
    <w:rsid w:val="007E762A"/>
    <w:rsid w:val="007F17C4"/>
    <w:rsid w:val="007F4C3F"/>
    <w:rsid w:val="007F5BBF"/>
    <w:rsid w:val="007F7DCC"/>
    <w:rsid w:val="00803189"/>
    <w:rsid w:val="00806FA9"/>
    <w:rsid w:val="00813A36"/>
    <w:rsid w:val="00813A3D"/>
    <w:rsid w:val="00813D39"/>
    <w:rsid w:val="0081475A"/>
    <w:rsid w:val="00815C67"/>
    <w:rsid w:val="00816817"/>
    <w:rsid w:val="00821410"/>
    <w:rsid w:val="00821BF0"/>
    <w:rsid w:val="00822C50"/>
    <w:rsid w:val="00824455"/>
    <w:rsid w:val="0082513A"/>
    <w:rsid w:val="0082691A"/>
    <w:rsid w:val="00827867"/>
    <w:rsid w:val="00832CEC"/>
    <w:rsid w:val="0083350A"/>
    <w:rsid w:val="008349D8"/>
    <w:rsid w:val="008370AE"/>
    <w:rsid w:val="00841C86"/>
    <w:rsid w:val="008445CC"/>
    <w:rsid w:val="008456C3"/>
    <w:rsid w:val="008462A2"/>
    <w:rsid w:val="008469D0"/>
    <w:rsid w:val="00847E94"/>
    <w:rsid w:val="00851803"/>
    <w:rsid w:val="00852E46"/>
    <w:rsid w:val="008532CC"/>
    <w:rsid w:val="008564AB"/>
    <w:rsid w:val="008620B7"/>
    <w:rsid w:val="00862B4F"/>
    <w:rsid w:val="008636A4"/>
    <w:rsid w:val="00863AA2"/>
    <w:rsid w:val="008648A9"/>
    <w:rsid w:val="00866DC4"/>
    <w:rsid w:val="00871823"/>
    <w:rsid w:val="00871A3B"/>
    <w:rsid w:val="008728F9"/>
    <w:rsid w:val="008729A4"/>
    <w:rsid w:val="0087342B"/>
    <w:rsid w:val="00873FC9"/>
    <w:rsid w:val="008768A4"/>
    <w:rsid w:val="008844F1"/>
    <w:rsid w:val="00884552"/>
    <w:rsid w:val="008858C7"/>
    <w:rsid w:val="00891DB4"/>
    <w:rsid w:val="00892A5D"/>
    <w:rsid w:val="00893ACF"/>
    <w:rsid w:val="008959BB"/>
    <w:rsid w:val="008A1474"/>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D603F"/>
    <w:rsid w:val="008D6703"/>
    <w:rsid w:val="008E1302"/>
    <w:rsid w:val="008E1E86"/>
    <w:rsid w:val="008E3141"/>
    <w:rsid w:val="008E5FE5"/>
    <w:rsid w:val="008F0F78"/>
    <w:rsid w:val="008F1BF5"/>
    <w:rsid w:val="008F1CA1"/>
    <w:rsid w:val="008F46C9"/>
    <w:rsid w:val="008F70C0"/>
    <w:rsid w:val="00901185"/>
    <w:rsid w:val="009019DC"/>
    <w:rsid w:val="00905E67"/>
    <w:rsid w:val="009062A9"/>
    <w:rsid w:val="00906E7C"/>
    <w:rsid w:val="009079C3"/>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2F19"/>
    <w:rsid w:val="009533AB"/>
    <w:rsid w:val="009571BC"/>
    <w:rsid w:val="0096026A"/>
    <w:rsid w:val="00962080"/>
    <w:rsid w:val="00963616"/>
    <w:rsid w:val="00965807"/>
    <w:rsid w:val="009667C3"/>
    <w:rsid w:val="009676A5"/>
    <w:rsid w:val="009702F3"/>
    <w:rsid w:val="009743D3"/>
    <w:rsid w:val="00974519"/>
    <w:rsid w:val="00975A9E"/>
    <w:rsid w:val="009803D2"/>
    <w:rsid w:val="00981885"/>
    <w:rsid w:val="00983586"/>
    <w:rsid w:val="00985D47"/>
    <w:rsid w:val="009960EB"/>
    <w:rsid w:val="00996411"/>
    <w:rsid w:val="009A08B6"/>
    <w:rsid w:val="009A16C3"/>
    <w:rsid w:val="009A1798"/>
    <w:rsid w:val="009A19F9"/>
    <w:rsid w:val="009A2BC3"/>
    <w:rsid w:val="009A2DDA"/>
    <w:rsid w:val="009A50E6"/>
    <w:rsid w:val="009A533C"/>
    <w:rsid w:val="009A59F3"/>
    <w:rsid w:val="009A7DC7"/>
    <w:rsid w:val="009B6519"/>
    <w:rsid w:val="009B6E93"/>
    <w:rsid w:val="009C0657"/>
    <w:rsid w:val="009C1E06"/>
    <w:rsid w:val="009C5DD6"/>
    <w:rsid w:val="009D6173"/>
    <w:rsid w:val="009D7835"/>
    <w:rsid w:val="009E03F9"/>
    <w:rsid w:val="009E3E4D"/>
    <w:rsid w:val="009E4086"/>
    <w:rsid w:val="009E4352"/>
    <w:rsid w:val="009E4D6D"/>
    <w:rsid w:val="009E5CCE"/>
    <w:rsid w:val="009F01C3"/>
    <w:rsid w:val="009F0924"/>
    <w:rsid w:val="009F1C25"/>
    <w:rsid w:val="009F6609"/>
    <w:rsid w:val="009F6853"/>
    <w:rsid w:val="00A00040"/>
    <w:rsid w:val="00A031B0"/>
    <w:rsid w:val="00A03519"/>
    <w:rsid w:val="00A0608F"/>
    <w:rsid w:val="00A07DD6"/>
    <w:rsid w:val="00A10A70"/>
    <w:rsid w:val="00A110F1"/>
    <w:rsid w:val="00A14FE3"/>
    <w:rsid w:val="00A17AD0"/>
    <w:rsid w:val="00A20B08"/>
    <w:rsid w:val="00A216A7"/>
    <w:rsid w:val="00A22817"/>
    <w:rsid w:val="00A2408C"/>
    <w:rsid w:val="00A24907"/>
    <w:rsid w:val="00A25B7C"/>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07F2"/>
    <w:rsid w:val="00A96FFC"/>
    <w:rsid w:val="00A9781C"/>
    <w:rsid w:val="00A97D31"/>
    <w:rsid w:val="00AA2923"/>
    <w:rsid w:val="00AA4991"/>
    <w:rsid w:val="00AA5E69"/>
    <w:rsid w:val="00AA644A"/>
    <w:rsid w:val="00AA7135"/>
    <w:rsid w:val="00AB18EE"/>
    <w:rsid w:val="00AB23E5"/>
    <w:rsid w:val="00AB2B8C"/>
    <w:rsid w:val="00AB4281"/>
    <w:rsid w:val="00AB4D65"/>
    <w:rsid w:val="00AB64E0"/>
    <w:rsid w:val="00AB6725"/>
    <w:rsid w:val="00AB6BAA"/>
    <w:rsid w:val="00AB71C1"/>
    <w:rsid w:val="00AC187B"/>
    <w:rsid w:val="00AD0240"/>
    <w:rsid w:val="00AD1225"/>
    <w:rsid w:val="00AD2534"/>
    <w:rsid w:val="00AD4F91"/>
    <w:rsid w:val="00AD7159"/>
    <w:rsid w:val="00AD748A"/>
    <w:rsid w:val="00AE3874"/>
    <w:rsid w:val="00AE48D8"/>
    <w:rsid w:val="00AE6248"/>
    <w:rsid w:val="00AE7C8F"/>
    <w:rsid w:val="00AF19D1"/>
    <w:rsid w:val="00AF1BC4"/>
    <w:rsid w:val="00AF206E"/>
    <w:rsid w:val="00AF2AF2"/>
    <w:rsid w:val="00AF43AB"/>
    <w:rsid w:val="00AF4907"/>
    <w:rsid w:val="00AF63AA"/>
    <w:rsid w:val="00AF7012"/>
    <w:rsid w:val="00AF7564"/>
    <w:rsid w:val="00B00D10"/>
    <w:rsid w:val="00B01722"/>
    <w:rsid w:val="00B01ECF"/>
    <w:rsid w:val="00B05624"/>
    <w:rsid w:val="00B05E7F"/>
    <w:rsid w:val="00B061FD"/>
    <w:rsid w:val="00B072B8"/>
    <w:rsid w:val="00B076B1"/>
    <w:rsid w:val="00B14F1F"/>
    <w:rsid w:val="00B17AC0"/>
    <w:rsid w:val="00B25DFE"/>
    <w:rsid w:val="00B26D1E"/>
    <w:rsid w:val="00B30A1B"/>
    <w:rsid w:val="00B32ABB"/>
    <w:rsid w:val="00B32E1C"/>
    <w:rsid w:val="00B40A00"/>
    <w:rsid w:val="00B40DC1"/>
    <w:rsid w:val="00B41E17"/>
    <w:rsid w:val="00B43813"/>
    <w:rsid w:val="00B44E0F"/>
    <w:rsid w:val="00B44E2B"/>
    <w:rsid w:val="00B510D6"/>
    <w:rsid w:val="00B527FA"/>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01CB"/>
    <w:rsid w:val="00BB4B88"/>
    <w:rsid w:val="00BB50D0"/>
    <w:rsid w:val="00BB6D37"/>
    <w:rsid w:val="00BC28A6"/>
    <w:rsid w:val="00BC3922"/>
    <w:rsid w:val="00BC3D90"/>
    <w:rsid w:val="00BC79C2"/>
    <w:rsid w:val="00BD056C"/>
    <w:rsid w:val="00BD0818"/>
    <w:rsid w:val="00BD17E2"/>
    <w:rsid w:val="00BD270B"/>
    <w:rsid w:val="00BD577E"/>
    <w:rsid w:val="00BE0B51"/>
    <w:rsid w:val="00BE0C08"/>
    <w:rsid w:val="00BE698E"/>
    <w:rsid w:val="00BE79D7"/>
    <w:rsid w:val="00BF19A0"/>
    <w:rsid w:val="00BF3072"/>
    <w:rsid w:val="00BF4030"/>
    <w:rsid w:val="00BF41F5"/>
    <w:rsid w:val="00BF54F4"/>
    <w:rsid w:val="00BF736A"/>
    <w:rsid w:val="00C02A84"/>
    <w:rsid w:val="00C02DBE"/>
    <w:rsid w:val="00C02EAF"/>
    <w:rsid w:val="00C035A5"/>
    <w:rsid w:val="00C05982"/>
    <w:rsid w:val="00C13EEC"/>
    <w:rsid w:val="00C148CE"/>
    <w:rsid w:val="00C16468"/>
    <w:rsid w:val="00C173D7"/>
    <w:rsid w:val="00C17904"/>
    <w:rsid w:val="00C21783"/>
    <w:rsid w:val="00C22EDE"/>
    <w:rsid w:val="00C23BCB"/>
    <w:rsid w:val="00C23CE8"/>
    <w:rsid w:val="00C263FE"/>
    <w:rsid w:val="00C278EC"/>
    <w:rsid w:val="00C3295E"/>
    <w:rsid w:val="00C33CAA"/>
    <w:rsid w:val="00C342B4"/>
    <w:rsid w:val="00C34507"/>
    <w:rsid w:val="00C34C1B"/>
    <w:rsid w:val="00C362BD"/>
    <w:rsid w:val="00C36F9E"/>
    <w:rsid w:val="00C42208"/>
    <w:rsid w:val="00C43173"/>
    <w:rsid w:val="00C44831"/>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0138"/>
    <w:rsid w:val="00C925E3"/>
    <w:rsid w:val="00C93B80"/>
    <w:rsid w:val="00C95C1E"/>
    <w:rsid w:val="00C96B5F"/>
    <w:rsid w:val="00CA2691"/>
    <w:rsid w:val="00CA546A"/>
    <w:rsid w:val="00CA54F4"/>
    <w:rsid w:val="00CB28DE"/>
    <w:rsid w:val="00CB60BF"/>
    <w:rsid w:val="00CB66DF"/>
    <w:rsid w:val="00CB70E2"/>
    <w:rsid w:val="00CB7B9E"/>
    <w:rsid w:val="00CB7C7B"/>
    <w:rsid w:val="00CC03C2"/>
    <w:rsid w:val="00CC0494"/>
    <w:rsid w:val="00CC292C"/>
    <w:rsid w:val="00CC5D2D"/>
    <w:rsid w:val="00CC5D76"/>
    <w:rsid w:val="00CD1215"/>
    <w:rsid w:val="00CD16F8"/>
    <w:rsid w:val="00CD285B"/>
    <w:rsid w:val="00CD290B"/>
    <w:rsid w:val="00CD2CA7"/>
    <w:rsid w:val="00CD4C54"/>
    <w:rsid w:val="00CD644B"/>
    <w:rsid w:val="00CE2059"/>
    <w:rsid w:val="00CE5B8A"/>
    <w:rsid w:val="00CE662B"/>
    <w:rsid w:val="00CE7B12"/>
    <w:rsid w:val="00CF001F"/>
    <w:rsid w:val="00CF013E"/>
    <w:rsid w:val="00D01B68"/>
    <w:rsid w:val="00D01EFC"/>
    <w:rsid w:val="00D02C3C"/>
    <w:rsid w:val="00D03B9F"/>
    <w:rsid w:val="00D04B77"/>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000"/>
    <w:rsid w:val="00D35457"/>
    <w:rsid w:val="00D36AF6"/>
    <w:rsid w:val="00D42337"/>
    <w:rsid w:val="00D4277E"/>
    <w:rsid w:val="00D435EC"/>
    <w:rsid w:val="00D43617"/>
    <w:rsid w:val="00D43D47"/>
    <w:rsid w:val="00D44197"/>
    <w:rsid w:val="00D45211"/>
    <w:rsid w:val="00D504B1"/>
    <w:rsid w:val="00D5107F"/>
    <w:rsid w:val="00D51EEA"/>
    <w:rsid w:val="00D52AE5"/>
    <w:rsid w:val="00D55528"/>
    <w:rsid w:val="00D55F6E"/>
    <w:rsid w:val="00D56935"/>
    <w:rsid w:val="00D57A2C"/>
    <w:rsid w:val="00D60892"/>
    <w:rsid w:val="00D6371B"/>
    <w:rsid w:val="00D64B0D"/>
    <w:rsid w:val="00D65289"/>
    <w:rsid w:val="00D717CD"/>
    <w:rsid w:val="00D71D5C"/>
    <w:rsid w:val="00D805D3"/>
    <w:rsid w:val="00D85385"/>
    <w:rsid w:val="00D92045"/>
    <w:rsid w:val="00D929BC"/>
    <w:rsid w:val="00D93737"/>
    <w:rsid w:val="00D9770E"/>
    <w:rsid w:val="00DA1C1E"/>
    <w:rsid w:val="00DA1E29"/>
    <w:rsid w:val="00DA2737"/>
    <w:rsid w:val="00DA580F"/>
    <w:rsid w:val="00DA592B"/>
    <w:rsid w:val="00DA5E98"/>
    <w:rsid w:val="00DA6860"/>
    <w:rsid w:val="00DA6B87"/>
    <w:rsid w:val="00DB1F4E"/>
    <w:rsid w:val="00DB2DCF"/>
    <w:rsid w:val="00DB5D5A"/>
    <w:rsid w:val="00DB5EBB"/>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3A1B"/>
    <w:rsid w:val="00DE409C"/>
    <w:rsid w:val="00DE4955"/>
    <w:rsid w:val="00DE5369"/>
    <w:rsid w:val="00DF1234"/>
    <w:rsid w:val="00DF1A2C"/>
    <w:rsid w:val="00DF4E88"/>
    <w:rsid w:val="00DF631A"/>
    <w:rsid w:val="00DF66D9"/>
    <w:rsid w:val="00DF6F1D"/>
    <w:rsid w:val="00DF782C"/>
    <w:rsid w:val="00E00D72"/>
    <w:rsid w:val="00E01C24"/>
    <w:rsid w:val="00E0475D"/>
    <w:rsid w:val="00E05D95"/>
    <w:rsid w:val="00E07DBF"/>
    <w:rsid w:val="00E100AB"/>
    <w:rsid w:val="00E11876"/>
    <w:rsid w:val="00E126F0"/>
    <w:rsid w:val="00E153DE"/>
    <w:rsid w:val="00E162AC"/>
    <w:rsid w:val="00E1725A"/>
    <w:rsid w:val="00E178C7"/>
    <w:rsid w:val="00E208DA"/>
    <w:rsid w:val="00E21A25"/>
    <w:rsid w:val="00E21F92"/>
    <w:rsid w:val="00E22642"/>
    <w:rsid w:val="00E229B2"/>
    <w:rsid w:val="00E238D8"/>
    <w:rsid w:val="00E3113A"/>
    <w:rsid w:val="00E34ECF"/>
    <w:rsid w:val="00E351AC"/>
    <w:rsid w:val="00E35D43"/>
    <w:rsid w:val="00E35D71"/>
    <w:rsid w:val="00E46554"/>
    <w:rsid w:val="00E46BFE"/>
    <w:rsid w:val="00E46C36"/>
    <w:rsid w:val="00E47427"/>
    <w:rsid w:val="00E47E94"/>
    <w:rsid w:val="00E5651F"/>
    <w:rsid w:val="00E57A65"/>
    <w:rsid w:val="00E57C3E"/>
    <w:rsid w:val="00E66004"/>
    <w:rsid w:val="00E668BC"/>
    <w:rsid w:val="00E7004C"/>
    <w:rsid w:val="00E70F81"/>
    <w:rsid w:val="00E720D5"/>
    <w:rsid w:val="00E72DD6"/>
    <w:rsid w:val="00E7401A"/>
    <w:rsid w:val="00E76B87"/>
    <w:rsid w:val="00E7783D"/>
    <w:rsid w:val="00E814FF"/>
    <w:rsid w:val="00E86128"/>
    <w:rsid w:val="00E90D2A"/>
    <w:rsid w:val="00E91BA9"/>
    <w:rsid w:val="00EA0492"/>
    <w:rsid w:val="00EA09FC"/>
    <w:rsid w:val="00EA6DEF"/>
    <w:rsid w:val="00EA7011"/>
    <w:rsid w:val="00EB39F6"/>
    <w:rsid w:val="00EB3C8E"/>
    <w:rsid w:val="00EB4DC0"/>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24C9"/>
    <w:rsid w:val="00EF2898"/>
    <w:rsid w:val="00EF2C6F"/>
    <w:rsid w:val="00EF3D96"/>
    <w:rsid w:val="00EF5DF3"/>
    <w:rsid w:val="00F01357"/>
    <w:rsid w:val="00F03199"/>
    <w:rsid w:val="00F04891"/>
    <w:rsid w:val="00F06C2A"/>
    <w:rsid w:val="00F0718C"/>
    <w:rsid w:val="00F12448"/>
    <w:rsid w:val="00F12EB7"/>
    <w:rsid w:val="00F14B58"/>
    <w:rsid w:val="00F15359"/>
    <w:rsid w:val="00F16D53"/>
    <w:rsid w:val="00F16EE8"/>
    <w:rsid w:val="00F210A7"/>
    <w:rsid w:val="00F21C2E"/>
    <w:rsid w:val="00F21D42"/>
    <w:rsid w:val="00F242D4"/>
    <w:rsid w:val="00F24FF4"/>
    <w:rsid w:val="00F30C86"/>
    <w:rsid w:val="00F329E0"/>
    <w:rsid w:val="00F3511D"/>
    <w:rsid w:val="00F35988"/>
    <w:rsid w:val="00F41D8B"/>
    <w:rsid w:val="00F43368"/>
    <w:rsid w:val="00F43EC4"/>
    <w:rsid w:val="00F46BB4"/>
    <w:rsid w:val="00F4760A"/>
    <w:rsid w:val="00F47943"/>
    <w:rsid w:val="00F57B80"/>
    <w:rsid w:val="00F60496"/>
    <w:rsid w:val="00F604F7"/>
    <w:rsid w:val="00F619D6"/>
    <w:rsid w:val="00F622FC"/>
    <w:rsid w:val="00F6531C"/>
    <w:rsid w:val="00F655E2"/>
    <w:rsid w:val="00F657EF"/>
    <w:rsid w:val="00F66BC7"/>
    <w:rsid w:val="00F674B6"/>
    <w:rsid w:val="00F7058B"/>
    <w:rsid w:val="00F7117D"/>
    <w:rsid w:val="00F723A7"/>
    <w:rsid w:val="00F73FE6"/>
    <w:rsid w:val="00F777A7"/>
    <w:rsid w:val="00F81024"/>
    <w:rsid w:val="00F8284F"/>
    <w:rsid w:val="00F82A11"/>
    <w:rsid w:val="00F8337F"/>
    <w:rsid w:val="00F849E6"/>
    <w:rsid w:val="00F86384"/>
    <w:rsid w:val="00F96059"/>
    <w:rsid w:val="00F97800"/>
    <w:rsid w:val="00FA1EB1"/>
    <w:rsid w:val="00FA2CC9"/>
    <w:rsid w:val="00FA370A"/>
    <w:rsid w:val="00FB0ABC"/>
    <w:rsid w:val="00FB4FB5"/>
    <w:rsid w:val="00FB6BF7"/>
    <w:rsid w:val="00FB725D"/>
    <w:rsid w:val="00FC540F"/>
    <w:rsid w:val="00FC5736"/>
    <w:rsid w:val="00FC63AB"/>
    <w:rsid w:val="00FC7A57"/>
    <w:rsid w:val="00FD2D88"/>
    <w:rsid w:val="00FD5BF2"/>
    <w:rsid w:val="00FD7CE0"/>
    <w:rsid w:val="00FD7F21"/>
    <w:rsid w:val="00FE1C3E"/>
    <w:rsid w:val="00FE5FAB"/>
    <w:rsid w:val="00FE6869"/>
    <w:rsid w:val="00FF0834"/>
    <w:rsid w:val="00FF181A"/>
    <w:rsid w:val="00FF4B06"/>
    <w:rsid w:val="00FF6129"/>
    <w:rsid w:val="00FF6140"/>
    <w:rsid w:val="00FF69FC"/>
    <w:rsid w:val="00FF7033"/>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
  <w:shapeDefaults>
    <o:shapedefaults v:ext="edit" spidmax="2050" style="mso-wrap-style:none;mso-position-vertical-relative:line" fillcolor="yellow">
      <v:fill color="yellow"/>
      <v:textbox style="mso-fit-shape-to-text:t"/>
    </o:shapedefaults>
    <o:shapelayout v:ext="edit">
      <o:idmap v:ext="edit" data="2"/>
    </o:shapelayout>
  </w:shapeDefaults>
  <w:decimalSymbol w:val="."/>
  <w:listSeparator w:val=","/>
  <w14:docId w14:val="15E09BCA"/>
  <w15:docId w15:val="{DA9D2E69-F1AF-4CB1-BE11-38E94F90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75"/>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BF736A"/>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F736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customStyle="1" w:styleId="Heading7Char">
    <w:name w:val="Heading 7 Char"/>
    <w:basedOn w:val="DefaultParagraphFont"/>
    <w:link w:val="Heading7"/>
    <w:uiPriority w:val="9"/>
    <w:semiHidden/>
    <w:rsid w:val="00BF736A"/>
    <w:rPr>
      <w:rFonts w:asciiTheme="majorHAnsi" w:eastAsiaTheme="majorEastAsia" w:hAnsiTheme="majorHAnsi" w:cstheme="majorBidi"/>
      <w:i/>
      <w:iCs/>
      <w:color w:val="404040" w:themeColor="text1" w:themeTint="BF"/>
      <w:sz w:val="24"/>
      <w:szCs w:val="24"/>
    </w:rPr>
  </w:style>
  <w:style w:type="paragraph" w:styleId="BodyTextIndent">
    <w:name w:val="Body Text Indent"/>
    <w:basedOn w:val="Normal"/>
    <w:link w:val="BodyTextIndentChar"/>
    <w:rsid w:val="00BF736A"/>
    <w:pPr>
      <w:ind w:left="1440"/>
      <w:jc w:val="left"/>
    </w:pPr>
  </w:style>
  <w:style w:type="character" w:customStyle="1" w:styleId="BodyTextIndentChar">
    <w:name w:val="Body Text Indent Char"/>
    <w:basedOn w:val="DefaultParagraphFont"/>
    <w:link w:val="BodyTextIndent"/>
    <w:rsid w:val="00BF736A"/>
    <w:rPr>
      <w:sz w:val="24"/>
      <w:szCs w:val="24"/>
    </w:rPr>
  </w:style>
  <w:style w:type="paragraph" w:styleId="BodyTextIndent2">
    <w:name w:val="Body Text Indent 2"/>
    <w:basedOn w:val="Normal"/>
    <w:link w:val="BodyTextIndent2Char"/>
    <w:rsid w:val="00BF736A"/>
    <w:pPr>
      <w:ind w:left="720" w:hanging="720"/>
      <w:jc w:val="left"/>
    </w:pPr>
  </w:style>
  <w:style w:type="character" w:customStyle="1" w:styleId="BodyTextIndent2Char">
    <w:name w:val="Body Text Indent 2 Char"/>
    <w:basedOn w:val="DefaultParagraphFont"/>
    <w:link w:val="BodyTextIndent2"/>
    <w:rsid w:val="00BF736A"/>
    <w:rPr>
      <w:sz w:val="24"/>
      <w:szCs w:val="24"/>
    </w:rPr>
  </w:style>
  <w:style w:type="paragraph" w:styleId="BodyTextIndent3">
    <w:name w:val="Body Text Indent 3"/>
    <w:basedOn w:val="Normal"/>
    <w:link w:val="BodyTextIndent3Char"/>
    <w:rsid w:val="00BF736A"/>
    <w:pPr>
      <w:ind w:left="720" w:hanging="660"/>
      <w:jc w:val="left"/>
    </w:pPr>
  </w:style>
  <w:style w:type="character" w:customStyle="1" w:styleId="BodyTextIndent3Char">
    <w:name w:val="Body Text Indent 3 Char"/>
    <w:basedOn w:val="DefaultParagraphFont"/>
    <w:link w:val="BodyTextIndent3"/>
    <w:rsid w:val="00BF736A"/>
    <w:rPr>
      <w:sz w:val="24"/>
      <w:szCs w:val="24"/>
    </w:rPr>
  </w:style>
  <w:style w:type="character" w:customStyle="1" w:styleId="Heading5Char">
    <w:name w:val="Heading 5 Char"/>
    <w:basedOn w:val="DefaultParagraphFont"/>
    <w:link w:val="Heading5"/>
    <w:uiPriority w:val="9"/>
    <w:semiHidden/>
    <w:rsid w:val="00BF736A"/>
    <w:rPr>
      <w:rFonts w:asciiTheme="majorHAnsi" w:eastAsiaTheme="majorEastAsia" w:hAnsiTheme="majorHAnsi" w:cstheme="majorBidi"/>
      <w:color w:val="243F60" w:themeColor="accent1" w:themeShade="7F"/>
      <w:sz w:val="24"/>
      <w:szCs w:val="24"/>
    </w:rPr>
  </w:style>
  <w:style w:type="character" w:styleId="LineNumber">
    <w:name w:val="line number"/>
    <w:basedOn w:val="DefaultParagraphFont"/>
    <w:uiPriority w:val="99"/>
    <w:semiHidden/>
    <w:unhideWhenUsed/>
    <w:rsid w:val="003D363B"/>
  </w:style>
  <w:style w:type="paragraph" w:styleId="Revision">
    <w:name w:val="Revision"/>
    <w:hidden/>
    <w:uiPriority w:val="99"/>
    <w:semiHidden/>
    <w:rsid w:val="00C22EDE"/>
    <w:rPr>
      <w:sz w:val="24"/>
      <w:szCs w:val="24"/>
    </w:rPr>
  </w:style>
  <w:style w:type="character" w:styleId="CommentReference">
    <w:name w:val="annotation reference"/>
    <w:basedOn w:val="DefaultParagraphFont"/>
    <w:uiPriority w:val="99"/>
    <w:semiHidden/>
    <w:unhideWhenUsed/>
    <w:rsid w:val="008D6703"/>
    <w:rPr>
      <w:sz w:val="16"/>
      <w:szCs w:val="16"/>
    </w:rPr>
  </w:style>
  <w:style w:type="paragraph" w:styleId="CommentText">
    <w:name w:val="annotation text"/>
    <w:basedOn w:val="Normal"/>
    <w:link w:val="CommentTextChar"/>
    <w:uiPriority w:val="99"/>
    <w:semiHidden/>
    <w:unhideWhenUsed/>
    <w:rsid w:val="008D6703"/>
    <w:rPr>
      <w:sz w:val="20"/>
      <w:szCs w:val="20"/>
    </w:rPr>
  </w:style>
  <w:style w:type="character" w:customStyle="1" w:styleId="CommentTextChar">
    <w:name w:val="Comment Text Char"/>
    <w:basedOn w:val="DefaultParagraphFont"/>
    <w:link w:val="CommentText"/>
    <w:uiPriority w:val="99"/>
    <w:semiHidden/>
    <w:rsid w:val="008D6703"/>
  </w:style>
  <w:style w:type="paragraph" w:styleId="CommentSubject">
    <w:name w:val="annotation subject"/>
    <w:basedOn w:val="CommentText"/>
    <w:next w:val="CommentText"/>
    <w:link w:val="CommentSubjectChar"/>
    <w:uiPriority w:val="99"/>
    <w:semiHidden/>
    <w:unhideWhenUsed/>
    <w:rsid w:val="008D6703"/>
    <w:rPr>
      <w:b/>
      <w:bCs/>
    </w:rPr>
  </w:style>
  <w:style w:type="character" w:customStyle="1" w:styleId="CommentSubjectChar">
    <w:name w:val="Comment Subject Char"/>
    <w:basedOn w:val="CommentTextChar"/>
    <w:link w:val="CommentSubject"/>
    <w:uiPriority w:val="99"/>
    <w:semiHidden/>
    <w:rsid w:val="008D67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3561">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29929930">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364328143">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1880078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2843100">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www.ilga.gov/JCAR/AdminCode/035/035002010C01460R.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stainability.fnal.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A551072-D7E8-4C96-B874-A6F8D5EC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20</Pages>
  <Words>6125</Words>
  <Characters>34913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40957</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L Dykhuis</dc:creator>
  <cp:lastModifiedBy>TJ Sarlina</cp:lastModifiedBy>
  <cp:revision>25</cp:revision>
  <cp:lastPrinted>2020-09-04T17:09:00Z</cp:lastPrinted>
  <dcterms:created xsi:type="dcterms:W3CDTF">2020-07-14T16:55:00Z</dcterms:created>
  <dcterms:modified xsi:type="dcterms:W3CDTF">2022-08-26T17:17:00Z</dcterms:modified>
</cp:coreProperties>
</file>