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4F20FB">
      <w:pPr>
        <w:rPr>
          <w:b/>
          <w:sz w:val="28"/>
          <w:szCs w:val="28"/>
        </w:rPr>
      </w:pPr>
    </w:p>
    <w:p w:rsidR="00091A64" w:rsidRDefault="00091A64" w:rsidP="00091A64">
      <w:pPr>
        <w:jc w:val="center"/>
        <w:rPr>
          <w:b/>
          <w:sz w:val="28"/>
          <w:szCs w:val="28"/>
        </w:rPr>
      </w:pPr>
    </w:p>
    <w:p w:rsidR="00091A64" w:rsidRPr="00AB4D65" w:rsidRDefault="00091A64" w:rsidP="00091A64">
      <w:pPr>
        <w:ind w:right="36"/>
        <w:jc w:val="center"/>
        <w:rPr>
          <w:color w:val="000000"/>
          <w:sz w:val="36"/>
          <w:szCs w:val="36"/>
        </w:rPr>
      </w:pPr>
      <w:r w:rsidRPr="00AB4D65">
        <w:rPr>
          <w:color w:val="000000"/>
          <w:sz w:val="36"/>
          <w:szCs w:val="36"/>
        </w:rPr>
        <w:t xml:space="preserve">FESHM </w:t>
      </w:r>
      <w:r w:rsidR="00997A6F">
        <w:rPr>
          <w:color w:val="000000"/>
          <w:sz w:val="36"/>
          <w:szCs w:val="36"/>
        </w:rPr>
        <w:t>804</w:t>
      </w:r>
      <w:r>
        <w:rPr>
          <w:color w:val="000000"/>
          <w:sz w:val="36"/>
          <w:szCs w:val="36"/>
        </w:rPr>
        <w:t>3</w:t>
      </w:r>
      <w:r w:rsidRPr="00AB4D65">
        <w:rPr>
          <w:color w:val="000000"/>
          <w:sz w:val="36"/>
          <w:szCs w:val="36"/>
        </w:rPr>
        <w:t xml:space="preserve">: </w:t>
      </w:r>
      <w:r w:rsidR="00606BFD">
        <w:rPr>
          <w:color w:val="000000"/>
          <w:sz w:val="36"/>
          <w:szCs w:val="36"/>
        </w:rPr>
        <w:t>TOXIC</w:t>
      </w:r>
      <w:r>
        <w:rPr>
          <w:color w:val="000000"/>
          <w:sz w:val="36"/>
          <w:szCs w:val="36"/>
        </w:rPr>
        <w:t xml:space="preserve"> RELEASE INVENTORY (TRI) REPORTING PROGRAM</w:t>
      </w:r>
    </w:p>
    <w:p w:rsidR="00091A64" w:rsidRDefault="00091A64" w:rsidP="004F20FB">
      <w:pPr>
        <w:rPr>
          <w:b/>
          <w:sz w:val="28"/>
          <w:szCs w:val="28"/>
        </w:rPr>
      </w:pPr>
    </w:p>
    <w:p w:rsidR="00091A64" w:rsidRDefault="00091A64" w:rsidP="00091A64">
      <w:pPr>
        <w:jc w:val="center"/>
        <w:rPr>
          <w:b/>
          <w:sz w:val="28"/>
          <w:szCs w:val="28"/>
        </w:rPr>
      </w:pPr>
    </w:p>
    <w:p w:rsidR="00091A64" w:rsidRPr="008B60C4" w:rsidRDefault="00091A64" w:rsidP="00091A64">
      <w:pPr>
        <w:ind w:right="-140"/>
        <w:jc w:val="center"/>
        <w:rPr>
          <w:b/>
          <w:color w:val="000000"/>
        </w:rPr>
      </w:pPr>
      <w:r>
        <w:rPr>
          <w:b/>
          <w:color w:val="000000"/>
        </w:rPr>
        <w:t>Revision History</w:t>
      </w:r>
    </w:p>
    <w:p w:rsidR="00091A64" w:rsidRPr="008B60C4" w:rsidRDefault="00091A64" w:rsidP="00091A64">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77"/>
        <w:gridCol w:w="5670"/>
        <w:gridCol w:w="1939"/>
      </w:tblGrid>
      <w:tr w:rsidR="00091A64" w:rsidRPr="00E331D3" w:rsidTr="004F20FB">
        <w:tc>
          <w:tcPr>
            <w:tcW w:w="1777" w:type="dxa"/>
          </w:tcPr>
          <w:p w:rsidR="00091A64" w:rsidRPr="00D115E0" w:rsidRDefault="00091A64" w:rsidP="00321383">
            <w:pPr>
              <w:tabs>
                <w:tab w:val="left" w:pos="720"/>
              </w:tabs>
              <w:jc w:val="center"/>
              <w:rPr>
                <w:b/>
              </w:rPr>
            </w:pPr>
            <w:r w:rsidRPr="00D115E0">
              <w:rPr>
                <w:b/>
              </w:rPr>
              <w:t>Author</w:t>
            </w:r>
          </w:p>
        </w:tc>
        <w:tc>
          <w:tcPr>
            <w:tcW w:w="5670" w:type="dxa"/>
          </w:tcPr>
          <w:p w:rsidR="00091A64" w:rsidRPr="00D115E0" w:rsidRDefault="00091A64" w:rsidP="00321383">
            <w:pPr>
              <w:tabs>
                <w:tab w:val="left" w:pos="720"/>
              </w:tabs>
              <w:jc w:val="center"/>
              <w:rPr>
                <w:b/>
              </w:rPr>
            </w:pPr>
            <w:r w:rsidRPr="00D115E0">
              <w:rPr>
                <w:b/>
              </w:rPr>
              <w:t>Description of Change</w:t>
            </w:r>
          </w:p>
        </w:tc>
        <w:tc>
          <w:tcPr>
            <w:tcW w:w="1939" w:type="dxa"/>
          </w:tcPr>
          <w:p w:rsidR="00091A64" w:rsidRPr="00D115E0" w:rsidRDefault="00091A64" w:rsidP="00321383">
            <w:pPr>
              <w:tabs>
                <w:tab w:val="left" w:pos="720"/>
              </w:tabs>
              <w:jc w:val="center"/>
              <w:rPr>
                <w:b/>
              </w:rPr>
            </w:pPr>
            <w:r w:rsidRPr="00D115E0">
              <w:rPr>
                <w:b/>
              </w:rPr>
              <w:t>Revision Date</w:t>
            </w:r>
          </w:p>
        </w:tc>
      </w:tr>
      <w:tr w:rsidR="006A468B" w:rsidRPr="00E331D3" w:rsidTr="004F20FB">
        <w:tc>
          <w:tcPr>
            <w:tcW w:w="1777" w:type="dxa"/>
          </w:tcPr>
          <w:p w:rsidR="006A468B" w:rsidRPr="006A468B" w:rsidRDefault="006A468B" w:rsidP="006A468B">
            <w:pPr>
              <w:tabs>
                <w:tab w:val="left" w:pos="720"/>
              </w:tabs>
              <w:jc w:val="left"/>
            </w:pPr>
            <w:r w:rsidRPr="006A468B">
              <w:t>Amy Pavnica</w:t>
            </w:r>
          </w:p>
        </w:tc>
        <w:tc>
          <w:tcPr>
            <w:tcW w:w="5670" w:type="dxa"/>
          </w:tcPr>
          <w:p w:rsidR="006A468B" w:rsidRDefault="006A468B" w:rsidP="006A468B">
            <w:pPr>
              <w:pStyle w:val="ListParagraph"/>
              <w:numPr>
                <w:ilvl w:val="0"/>
                <w:numId w:val="30"/>
              </w:numPr>
              <w:tabs>
                <w:tab w:val="left" w:pos="720"/>
              </w:tabs>
              <w:ind w:left="346" w:hanging="346"/>
            </w:pPr>
            <w:r>
              <w:t>Changed title of link</w:t>
            </w:r>
            <w:r w:rsidR="00966E52">
              <w:t xml:space="preserve"> within document</w:t>
            </w:r>
          </w:p>
          <w:p w:rsidR="00793367" w:rsidRDefault="00793367" w:rsidP="006A468B">
            <w:pPr>
              <w:pStyle w:val="ListParagraph"/>
              <w:numPr>
                <w:ilvl w:val="0"/>
                <w:numId w:val="30"/>
              </w:numPr>
              <w:tabs>
                <w:tab w:val="left" w:pos="720"/>
              </w:tabs>
              <w:ind w:left="346" w:hanging="346"/>
            </w:pPr>
            <w:r>
              <w:t>Modified responsibilities of the D/S/P Managers</w:t>
            </w:r>
          </w:p>
          <w:p w:rsidR="006A468B" w:rsidRDefault="006A468B" w:rsidP="006A468B">
            <w:pPr>
              <w:pStyle w:val="ListParagraph"/>
              <w:numPr>
                <w:ilvl w:val="0"/>
                <w:numId w:val="30"/>
              </w:numPr>
              <w:tabs>
                <w:tab w:val="left" w:pos="720"/>
              </w:tabs>
              <w:ind w:left="346" w:hanging="346"/>
            </w:pPr>
            <w:r>
              <w:t>Modified responsibilities of Chief Safety Officer</w:t>
            </w:r>
          </w:p>
          <w:p w:rsidR="006A468B" w:rsidRPr="006A468B" w:rsidRDefault="00793367" w:rsidP="006A468B">
            <w:pPr>
              <w:pStyle w:val="ListParagraph"/>
              <w:numPr>
                <w:ilvl w:val="0"/>
                <w:numId w:val="30"/>
              </w:numPr>
              <w:tabs>
                <w:tab w:val="left" w:pos="720"/>
              </w:tabs>
              <w:ind w:left="346" w:hanging="346"/>
            </w:pPr>
            <w:r>
              <w:t>Modified responsibilities of the ESH&amp;Q Section</w:t>
            </w:r>
            <w:r w:rsidR="006A468B">
              <w:t xml:space="preserve"> </w:t>
            </w:r>
          </w:p>
        </w:tc>
        <w:tc>
          <w:tcPr>
            <w:tcW w:w="1939" w:type="dxa"/>
          </w:tcPr>
          <w:p w:rsidR="006A468B" w:rsidRPr="00747F68" w:rsidRDefault="002644AC" w:rsidP="00321383">
            <w:pPr>
              <w:tabs>
                <w:tab w:val="left" w:pos="720"/>
              </w:tabs>
              <w:jc w:val="center"/>
            </w:pPr>
            <w:r>
              <w:t>Dec</w:t>
            </w:r>
            <w:r w:rsidR="00853209">
              <w:t xml:space="preserve">ember </w:t>
            </w:r>
            <w:r w:rsidR="00747F68" w:rsidRPr="00747F68">
              <w:t>2018</w:t>
            </w:r>
          </w:p>
        </w:tc>
      </w:tr>
      <w:tr w:rsidR="00AA3C65" w:rsidRPr="00E331D3" w:rsidTr="004F20FB">
        <w:tc>
          <w:tcPr>
            <w:tcW w:w="1777" w:type="dxa"/>
          </w:tcPr>
          <w:p w:rsidR="00AA3C65" w:rsidRDefault="004F20FB" w:rsidP="00321383">
            <w:pPr>
              <w:tabs>
                <w:tab w:val="left" w:pos="720"/>
              </w:tabs>
              <w:jc w:val="left"/>
              <w:rPr>
                <w:szCs w:val="22"/>
              </w:rPr>
            </w:pPr>
            <w:r>
              <w:rPr>
                <w:szCs w:val="22"/>
              </w:rPr>
              <w:t>Dave</w:t>
            </w:r>
            <w:r w:rsidR="00AA3C65">
              <w:rPr>
                <w:szCs w:val="22"/>
              </w:rPr>
              <w:t xml:space="preserve"> Hockin</w:t>
            </w:r>
          </w:p>
        </w:tc>
        <w:tc>
          <w:tcPr>
            <w:tcW w:w="5670" w:type="dxa"/>
            <w:vAlign w:val="bottom"/>
          </w:tcPr>
          <w:p w:rsidR="00AA3C65" w:rsidRPr="00AA3C65" w:rsidRDefault="00AA3C65" w:rsidP="00CC7499">
            <w:pPr>
              <w:pStyle w:val="ListParagraph"/>
              <w:numPr>
                <w:ilvl w:val="0"/>
                <w:numId w:val="9"/>
              </w:numPr>
              <w:ind w:left="324" w:hanging="324"/>
              <w:rPr>
                <w:szCs w:val="22"/>
              </w:rPr>
            </w:pPr>
            <w:r>
              <w:t>Added statement of applicability to Fermilab Leased Spaces.</w:t>
            </w:r>
          </w:p>
          <w:p w:rsidR="00AA3C65" w:rsidRDefault="00AA3C65" w:rsidP="00CC7499">
            <w:pPr>
              <w:pStyle w:val="ListParagraph"/>
              <w:numPr>
                <w:ilvl w:val="0"/>
                <w:numId w:val="9"/>
              </w:numPr>
              <w:ind w:left="324" w:hanging="324"/>
              <w:rPr>
                <w:szCs w:val="22"/>
              </w:rPr>
            </w:pPr>
            <w:r>
              <w:rPr>
                <w:szCs w:val="22"/>
              </w:rPr>
              <w:t>Minor editorial changes.</w:t>
            </w:r>
          </w:p>
        </w:tc>
        <w:tc>
          <w:tcPr>
            <w:tcW w:w="1939" w:type="dxa"/>
          </w:tcPr>
          <w:p w:rsidR="00AA3C65" w:rsidRDefault="00AA3C65" w:rsidP="00321383">
            <w:pPr>
              <w:tabs>
                <w:tab w:val="left" w:pos="720"/>
              </w:tabs>
              <w:jc w:val="left"/>
              <w:rPr>
                <w:szCs w:val="22"/>
              </w:rPr>
            </w:pPr>
            <w:r>
              <w:rPr>
                <w:szCs w:val="22"/>
              </w:rPr>
              <w:t>February 2018</w:t>
            </w:r>
          </w:p>
        </w:tc>
      </w:tr>
      <w:tr w:rsidR="00091A64" w:rsidRPr="00E331D3" w:rsidTr="004F20FB">
        <w:tc>
          <w:tcPr>
            <w:tcW w:w="1777" w:type="dxa"/>
          </w:tcPr>
          <w:p w:rsidR="00091A64" w:rsidRDefault="00091A64" w:rsidP="00321383">
            <w:pPr>
              <w:tabs>
                <w:tab w:val="left" w:pos="720"/>
              </w:tabs>
              <w:jc w:val="left"/>
              <w:rPr>
                <w:szCs w:val="22"/>
              </w:rPr>
            </w:pPr>
            <w:r>
              <w:rPr>
                <w:szCs w:val="22"/>
              </w:rPr>
              <w:t>Sylvia Wilson</w:t>
            </w:r>
          </w:p>
        </w:tc>
        <w:tc>
          <w:tcPr>
            <w:tcW w:w="5670" w:type="dxa"/>
            <w:vAlign w:val="bottom"/>
          </w:tcPr>
          <w:p w:rsidR="00091A64" w:rsidRDefault="00091A64" w:rsidP="00CC7499">
            <w:pPr>
              <w:pStyle w:val="ListParagraph"/>
              <w:numPr>
                <w:ilvl w:val="0"/>
                <w:numId w:val="9"/>
              </w:numPr>
              <w:ind w:left="324" w:hanging="324"/>
              <w:rPr>
                <w:szCs w:val="22"/>
              </w:rPr>
            </w:pPr>
            <w:r>
              <w:rPr>
                <w:szCs w:val="22"/>
              </w:rPr>
              <w:t xml:space="preserve">Applied the new FESHM template. </w:t>
            </w:r>
          </w:p>
          <w:p w:rsidR="00091A64" w:rsidRDefault="00997A6F" w:rsidP="00CC7499">
            <w:pPr>
              <w:pStyle w:val="ListParagraph"/>
              <w:numPr>
                <w:ilvl w:val="0"/>
                <w:numId w:val="9"/>
              </w:numPr>
              <w:ind w:left="324" w:hanging="324"/>
              <w:rPr>
                <w:szCs w:val="22"/>
              </w:rPr>
            </w:pPr>
            <w:r>
              <w:rPr>
                <w:szCs w:val="22"/>
              </w:rPr>
              <w:t>Revised Division/Section</w:t>
            </w:r>
            <w:r w:rsidR="00091A64">
              <w:rPr>
                <w:szCs w:val="22"/>
              </w:rPr>
              <w:t xml:space="preserve"> Heads</w:t>
            </w:r>
            <w:r>
              <w:rPr>
                <w:szCs w:val="22"/>
              </w:rPr>
              <w:t>/Project Managers</w:t>
            </w:r>
            <w:r w:rsidR="00091A64">
              <w:rPr>
                <w:szCs w:val="22"/>
              </w:rPr>
              <w:t xml:space="preserve"> (D/S/C) to Division/Section Heads or Project Managers (D/S/P). </w:t>
            </w:r>
          </w:p>
          <w:p w:rsidR="00091A64" w:rsidRDefault="00091A64" w:rsidP="00CC7499">
            <w:pPr>
              <w:pStyle w:val="ListParagraph"/>
              <w:numPr>
                <w:ilvl w:val="0"/>
                <w:numId w:val="9"/>
              </w:numPr>
              <w:ind w:left="324" w:hanging="324"/>
              <w:rPr>
                <w:szCs w:val="22"/>
              </w:rPr>
            </w:pPr>
            <w:r>
              <w:rPr>
                <w:szCs w:val="22"/>
              </w:rPr>
              <w:t xml:space="preserve">Replaced Environmental Protection Officer in the Responsibilities section to Division Safety Officer. </w:t>
            </w:r>
          </w:p>
          <w:p w:rsidR="00091A64" w:rsidRPr="00880F07" w:rsidRDefault="00091A64" w:rsidP="00CC7499">
            <w:pPr>
              <w:pStyle w:val="ListParagraph"/>
              <w:numPr>
                <w:ilvl w:val="0"/>
                <w:numId w:val="9"/>
              </w:numPr>
              <w:ind w:left="324" w:hanging="324"/>
              <w:rPr>
                <w:szCs w:val="22"/>
              </w:rPr>
            </w:pPr>
            <w:r>
              <w:rPr>
                <w:szCs w:val="22"/>
              </w:rPr>
              <w:t>Minor editorial changes.</w:t>
            </w:r>
          </w:p>
        </w:tc>
        <w:tc>
          <w:tcPr>
            <w:tcW w:w="1939" w:type="dxa"/>
          </w:tcPr>
          <w:p w:rsidR="00091A64" w:rsidRDefault="00F415A5" w:rsidP="00321383">
            <w:pPr>
              <w:tabs>
                <w:tab w:val="left" w:pos="720"/>
              </w:tabs>
              <w:jc w:val="left"/>
              <w:rPr>
                <w:szCs w:val="22"/>
              </w:rPr>
            </w:pPr>
            <w:r>
              <w:rPr>
                <w:szCs w:val="22"/>
              </w:rPr>
              <w:t>Dec</w:t>
            </w:r>
            <w:r w:rsidR="00091A64">
              <w:rPr>
                <w:szCs w:val="22"/>
              </w:rPr>
              <w:t>ember 2015</w:t>
            </w:r>
          </w:p>
        </w:tc>
      </w:tr>
    </w:tbl>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142C80">
      <w:pPr>
        <w:jc w:val="left"/>
        <w:rPr>
          <w:b/>
          <w:sz w:val="28"/>
          <w:szCs w:val="28"/>
        </w:rPr>
      </w:pPr>
    </w:p>
    <w:p w:rsidR="008648A9" w:rsidRDefault="008648A9" w:rsidP="008648A9">
      <w:pPr>
        <w:jc w:val="left"/>
        <w:rPr>
          <w:b/>
          <w:sz w:val="28"/>
          <w:szCs w:val="28"/>
        </w:rPr>
        <w:sectPr w:rsidR="008648A9" w:rsidSect="002644AC">
          <w:headerReference w:type="default" r:id="rId8"/>
          <w:footerReference w:type="default" r:id="rId9"/>
          <w:pgSz w:w="12240" w:h="15840" w:code="1"/>
          <w:pgMar w:top="720" w:right="1080" w:bottom="720" w:left="1440" w:header="720" w:footer="389" w:gutter="0"/>
          <w:cols w:space="720"/>
          <w:docGrid w:linePitch="360"/>
        </w:sectPr>
      </w:pPr>
    </w:p>
    <w:p w:rsidR="00091A64" w:rsidRPr="00C1061F" w:rsidRDefault="00091A64" w:rsidP="00091A64">
      <w:pPr>
        <w:jc w:val="center"/>
        <w:rPr>
          <w:b/>
          <w:sz w:val="28"/>
          <w:szCs w:val="28"/>
        </w:rPr>
      </w:pPr>
      <w:r w:rsidRPr="00C1061F">
        <w:rPr>
          <w:b/>
          <w:sz w:val="28"/>
          <w:szCs w:val="28"/>
        </w:rPr>
        <w:lastRenderedPageBreak/>
        <w:t>TABLE OF CONTENTS</w:t>
      </w:r>
    </w:p>
    <w:p w:rsidR="00A96FFC" w:rsidRPr="00A96FFC" w:rsidRDefault="00A96FFC">
      <w:pPr>
        <w:rPr>
          <w:bCs/>
        </w:rPr>
      </w:pPr>
    </w:p>
    <w:p w:rsidR="00164020" w:rsidRPr="00164020" w:rsidRDefault="00164020" w:rsidP="00164020">
      <w:pPr>
        <w:rPr>
          <w:bCs/>
        </w:rPr>
      </w:pPr>
    </w:p>
    <w:p w:rsidR="002644AC" w:rsidRDefault="00164020">
      <w:pPr>
        <w:pStyle w:val="TOC1"/>
        <w:rPr>
          <w:rFonts w:asciiTheme="minorHAnsi" w:eastAsiaTheme="minorEastAsia" w:hAnsiTheme="minorHAnsi" w:cstheme="minorBidi"/>
          <w:noProof/>
          <w:sz w:val="22"/>
          <w:szCs w:val="22"/>
        </w:rPr>
      </w:pPr>
      <w:r w:rsidRPr="00164020">
        <w:rPr>
          <w:bCs/>
        </w:rPr>
        <w:fldChar w:fldCharType="begin"/>
      </w:r>
      <w:r w:rsidRPr="00164020">
        <w:rPr>
          <w:bCs/>
        </w:rPr>
        <w:instrText xml:space="preserve"> TOC \o "1-3" \h \z \u </w:instrText>
      </w:r>
      <w:r w:rsidRPr="00164020">
        <w:rPr>
          <w:bCs/>
        </w:rPr>
        <w:fldChar w:fldCharType="separate"/>
      </w:r>
      <w:hyperlink w:anchor="_Toc531360378" w:history="1">
        <w:r w:rsidR="002644AC" w:rsidRPr="00AC1271">
          <w:rPr>
            <w:rStyle w:val="Hyperlink"/>
            <w:rFonts w:ascii="Times New Roman Bold" w:hAnsi="Times New Roman Bold"/>
            <w:noProof/>
          </w:rPr>
          <w:t>1.0</w:t>
        </w:r>
        <w:r w:rsidR="002644AC">
          <w:rPr>
            <w:rFonts w:asciiTheme="minorHAnsi" w:eastAsiaTheme="minorEastAsia" w:hAnsiTheme="minorHAnsi" w:cstheme="minorBidi"/>
            <w:noProof/>
            <w:sz w:val="22"/>
            <w:szCs w:val="22"/>
          </w:rPr>
          <w:tab/>
        </w:r>
        <w:r w:rsidR="002644AC" w:rsidRPr="00AC1271">
          <w:rPr>
            <w:rStyle w:val="Hyperlink"/>
            <w:noProof/>
          </w:rPr>
          <w:t>INTRODUCTION</w:t>
        </w:r>
        <w:r w:rsidR="002644AC">
          <w:rPr>
            <w:noProof/>
            <w:webHidden/>
          </w:rPr>
          <w:tab/>
        </w:r>
        <w:r w:rsidR="002644AC">
          <w:rPr>
            <w:noProof/>
            <w:webHidden/>
          </w:rPr>
          <w:fldChar w:fldCharType="begin"/>
        </w:r>
        <w:r w:rsidR="002644AC">
          <w:rPr>
            <w:noProof/>
            <w:webHidden/>
          </w:rPr>
          <w:instrText xml:space="preserve"> PAGEREF _Toc531360378 \h </w:instrText>
        </w:r>
        <w:r w:rsidR="002644AC">
          <w:rPr>
            <w:noProof/>
            <w:webHidden/>
          </w:rPr>
        </w:r>
        <w:r w:rsidR="002644AC">
          <w:rPr>
            <w:noProof/>
            <w:webHidden/>
          </w:rPr>
          <w:fldChar w:fldCharType="separate"/>
        </w:r>
        <w:r w:rsidR="002644AC">
          <w:rPr>
            <w:noProof/>
            <w:webHidden/>
          </w:rPr>
          <w:t>3</w:t>
        </w:r>
        <w:r w:rsidR="002644AC">
          <w:rPr>
            <w:noProof/>
            <w:webHidden/>
          </w:rPr>
          <w:fldChar w:fldCharType="end"/>
        </w:r>
      </w:hyperlink>
    </w:p>
    <w:p w:rsidR="002644AC" w:rsidRDefault="002644AC">
      <w:pPr>
        <w:pStyle w:val="TOC1"/>
        <w:rPr>
          <w:rFonts w:asciiTheme="minorHAnsi" w:eastAsiaTheme="minorEastAsia" w:hAnsiTheme="minorHAnsi" w:cstheme="minorBidi"/>
          <w:noProof/>
          <w:sz w:val="22"/>
          <w:szCs w:val="22"/>
        </w:rPr>
      </w:pPr>
      <w:hyperlink w:anchor="_Toc531360379" w:history="1">
        <w:r w:rsidRPr="00AC1271">
          <w:rPr>
            <w:rStyle w:val="Hyperlink"/>
            <w:rFonts w:ascii="Times New Roman Bold" w:hAnsi="Times New Roman Bold"/>
            <w:noProof/>
          </w:rPr>
          <w:t>2.0</w:t>
        </w:r>
        <w:r>
          <w:rPr>
            <w:rFonts w:asciiTheme="minorHAnsi" w:eastAsiaTheme="minorEastAsia" w:hAnsiTheme="minorHAnsi" w:cstheme="minorBidi"/>
            <w:noProof/>
            <w:sz w:val="22"/>
            <w:szCs w:val="22"/>
          </w:rPr>
          <w:tab/>
        </w:r>
        <w:r w:rsidRPr="00AC1271">
          <w:rPr>
            <w:rStyle w:val="Hyperlink"/>
            <w:noProof/>
          </w:rPr>
          <w:t>DEFINITIONS</w:t>
        </w:r>
        <w:r>
          <w:rPr>
            <w:noProof/>
            <w:webHidden/>
          </w:rPr>
          <w:tab/>
        </w:r>
        <w:r>
          <w:rPr>
            <w:noProof/>
            <w:webHidden/>
          </w:rPr>
          <w:fldChar w:fldCharType="begin"/>
        </w:r>
        <w:r>
          <w:rPr>
            <w:noProof/>
            <w:webHidden/>
          </w:rPr>
          <w:instrText xml:space="preserve"> PAGEREF _Toc531360379 \h </w:instrText>
        </w:r>
        <w:r>
          <w:rPr>
            <w:noProof/>
            <w:webHidden/>
          </w:rPr>
        </w:r>
        <w:r>
          <w:rPr>
            <w:noProof/>
            <w:webHidden/>
          </w:rPr>
          <w:fldChar w:fldCharType="separate"/>
        </w:r>
        <w:r>
          <w:rPr>
            <w:noProof/>
            <w:webHidden/>
          </w:rPr>
          <w:t>3</w:t>
        </w:r>
        <w:r>
          <w:rPr>
            <w:noProof/>
            <w:webHidden/>
          </w:rPr>
          <w:fldChar w:fldCharType="end"/>
        </w:r>
      </w:hyperlink>
    </w:p>
    <w:p w:rsidR="002644AC" w:rsidRDefault="002644AC">
      <w:pPr>
        <w:pStyle w:val="TOC1"/>
        <w:rPr>
          <w:rFonts w:asciiTheme="minorHAnsi" w:eastAsiaTheme="minorEastAsia" w:hAnsiTheme="minorHAnsi" w:cstheme="minorBidi"/>
          <w:noProof/>
          <w:sz w:val="22"/>
          <w:szCs w:val="22"/>
        </w:rPr>
      </w:pPr>
      <w:hyperlink w:anchor="_Toc531360380" w:history="1">
        <w:r w:rsidRPr="00AC1271">
          <w:rPr>
            <w:rStyle w:val="Hyperlink"/>
            <w:rFonts w:ascii="Times New Roman Bold" w:hAnsi="Times New Roman Bold"/>
            <w:noProof/>
          </w:rPr>
          <w:t>3.0</w:t>
        </w:r>
        <w:r>
          <w:rPr>
            <w:rFonts w:asciiTheme="minorHAnsi" w:eastAsiaTheme="minorEastAsia" w:hAnsiTheme="minorHAnsi" w:cstheme="minorBidi"/>
            <w:noProof/>
            <w:sz w:val="22"/>
            <w:szCs w:val="22"/>
          </w:rPr>
          <w:tab/>
        </w:r>
        <w:r w:rsidRPr="00AC1271">
          <w:rPr>
            <w:rStyle w:val="Hyperlink"/>
            <w:noProof/>
          </w:rPr>
          <w:t>RESPONSIBILITIES</w:t>
        </w:r>
        <w:r>
          <w:rPr>
            <w:noProof/>
            <w:webHidden/>
          </w:rPr>
          <w:tab/>
        </w:r>
        <w:r>
          <w:rPr>
            <w:noProof/>
            <w:webHidden/>
          </w:rPr>
          <w:fldChar w:fldCharType="begin"/>
        </w:r>
        <w:r>
          <w:rPr>
            <w:noProof/>
            <w:webHidden/>
          </w:rPr>
          <w:instrText xml:space="preserve"> PAGEREF _Toc531360380 \h </w:instrText>
        </w:r>
        <w:r>
          <w:rPr>
            <w:noProof/>
            <w:webHidden/>
          </w:rPr>
        </w:r>
        <w:r>
          <w:rPr>
            <w:noProof/>
            <w:webHidden/>
          </w:rPr>
          <w:fldChar w:fldCharType="separate"/>
        </w:r>
        <w:r>
          <w:rPr>
            <w:noProof/>
            <w:webHidden/>
          </w:rPr>
          <w:t>5</w:t>
        </w:r>
        <w:r>
          <w:rPr>
            <w:noProof/>
            <w:webHidden/>
          </w:rPr>
          <w:fldChar w:fldCharType="end"/>
        </w:r>
      </w:hyperlink>
    </w:p>
    <w:p w:rsidR="002644AC" w:rsidRDefault="002644AC">
      <w:pPr>
        <w:pStyle w:val="TOC2"/>
        <w:rPr>
          <w:rFonts w:asciiTheme="minorHAnsi" w:eastAsiaTheme="minorEastAsia" w:hAnsiTheme="minorHAnsi" w:cstheme="minorBidi"/>
          <w:noProof/>
          <w:sz w:val="22"/>
          <w:szCs w:val="22"/>
        </w:rPr>
      </w:pPr>
      <w:hyperlink w:anchor="_Toc531360381" w:history="1">
        <w:r w:rsidRPr="00AC1271">
          <w:rPr>
            <w:rStyle w:val="Hyperlink"/>
            <w:rFonts w:ascii="Times New Roman Bold" w:hAnsi="Times New Roman Bold"/>
            <w:noProof/>
          </w:rPr>
          <w:t>3.1</w:t>
        </w:r>
        <w:r>
          <w:rPr>
            <w:rFonts w:asciiTheme="minorHAnsi" w:eastAsiaTheme="minorEastAsia" w:hAnsiTheme="minorHAnsi" w:cstheme="minorBidi"/>
            <w:noProof/>
            <w:sz w:val="22"/>
            <w:szCs w:val="22"/>
          </w:rPr>
          <w:tab/>
        </w:r>
        <w:r w:rsidRPr="00AC1271">
          <w:rPr>
            <w:rStyle w:val="Hyperlink"/>
            <w:noProof/>
          </w:rPr>
          <w:t>Division/Section Heads or Project Managers (D/S/P) shall:</w:t>
        </w:r>
        <w:r>
          <w:rPr>
            <w:noProof/>
            <w:webHidden/>
          </w:rPr>
          <w:tab/>
        </w:r>
        <w:r>
          <w:rPr>
            <w:noProof/>
            <w:webHidden/>
          </w:rPr>
          <w:fldChar w:fldCharType="begin"/>
        </w:r>
        <w:r>
          <w:rPr>
            <w:noProof/>
            <w:webHidden/>
          </w:rPr>
          <w:instrText xml:space="preserve"> PAGEREF _Toc531360381 \h </w:instrText>
        </w:r>
        <w:r>
          <w:rPr>
            <w:noProof/>
            <w:webHidden/>
          </w:rPr>
        </w:r>
        <w:r>
          <w:rPr>
            <w:noProof/>
            <w:webHidden/>
          </w:rPr>
          <w:fldChar w:fldCharType="separate"/>
        </w:r>
        <w:r>
          <w:rPr>
            <w:noProof/>
            <w:webHidden/>
          </w:rPr>
          <w:t>5</w:t>
        </w:r>
        <w:r>
          <w:rPr>
            <w:noProof/>
            <w:webHidden/>
          </w:rPr>
          <w:fldChar w:fldCharType="end"/>
        </w:r>
      </w:hyperlink>
    </w:p>
    <w:p w:rsidR="002644AC" w:rsidRDefault="002644AC">
      <w:pPr>
        <w:pStyle w:val="TOC2"/>
        <w:rPr>
          <w:rFonts w:asciiTheme="minorHAnsi" w:eastAsiaTheme="minorEastAsia" w:hAnsiTheme="minorHAnsi" w:cstheme="minorBidi"/>
          <w:noProof/>
          <w:sz w:val="22"/>
          <w:szCs w:val="22"/>
        </w:rPr>
      </w:pPr>
      <w:hyperlink w:anchor="_Toc531360382" w:history="1">
        <w:r w:rsidRPr="00AC1271">
          <w:rPr>
            <w:rStyle w:val="Hyperlink"/>
            <w:rFonts w:ascii="Times New Roman Bold" w:hAnsi="Times New Roman Bold"/>
            <w:noProof/>
          </w:rPr>
          <w:t>3.2</w:t>
        </w:r>
        <w:r>
          <w:rPr>
            <w:rFonts w:asciiTheme="minorHAnsi" w:eastAsiaTheme="minorEastAsia" w:hAnsiTheme="minorHAnsi" w:cstheme="minorBidi"/>
            <w:noProof/>
            <w:sz w:val="22"/>
            <w:szCs w:val="22"/>
          </w:rPr>
          <w:tab/>
        </w:r>
        <w:r w:rsidRPr="00AC1271">
          <w:rPr>
            <w:rStyle w:val="Hyperlink"/>
            <w:noProof/>
          </w:rPr>
          <w:t>Chief Safety Officer shall:</w:t>
        </w:r>
        <w:r>
          <w:rPr>
            <w:noProof/>
            <w:webHidden/>
          </w:rPr>
          <w:tab/>
        </w:r>
        <w:r>
          <w:rPr>
            <w:noProof/>
            <w:webHidden/>
          </w:rPr>
          <w:fldChar w:fldCharType="begin"/>
        </w:r>
        <w:r>
          <w:rPr>
            <w:noProof/>
            <w:webHidden/>
          </w:rPr>
          <w:instrText xml:space="preserve"> PAGEREF _Toc531360382 \h </w:instrText>
        </w:r>
        <w:r>
          <w:rPr>
            <w:noProof/>
            <w:webHidden/>
          </w:rPr>
        </w:r>
        <w:r>
          <w:rPr>
            <w:noProof/>
            <w:webHidden/>
          </w:rPr>
          <w:fldChar w:fldCharType="separate"/>
        </w:r>
        <w:r>
          <w:rPr>
            <w:noProof/>
            <w:webHidden/>
          </w:rPr>
          <w:t>5</w:t>
        </w:r>
        <w:r>
          <w:rPr>
            <w:noProof/>
            <w:webHidden/>
          </w:rPr>
          <w:fldChar w:fldCharType="end"/>
        </w:r>
      </w:hyperlink>
    </w:p>
    <w:p w:rsidR="002644AC" w:rsidRDefault="002644AC">
      <w:pPr>
        <w:pStyle w:val="TOC2"/>
        <w:rPr>
          <w:rFonts w:asciiTheme="minorHAnsi" w:eastAsiaTheme="minorEastAsia" w:hAnsiTheme="minorHAnsi" w:cstheme="minorBidi"/>
          <w:noProof/>
          <w:sz w:val="22"/>
          <w:szCs w:val="22"/>
        </w:rPr>
      </w:pPr>
      <w:hyperlink w:anchor="_Toc531360383" w:history="1">
        <w:r w:rsidRPr="00AC1271">
          <w:rPr>
            <w:rStyle w:val="Hyperlink"/>
            <w:rFonts w:ascii="Times New Roman Bold" w:hAnsi="Times New Roman Bold"/>
            <w:noProof/>
          </w:rPr>
          <w:t>3.3</w:t>
        </w:r>
        <w:r>
          <w:rPr>
            <w:rFonts w:asciiTheme="minorHAnsi" w:eastAsiaTheme="minorEastAsia" w:hAnsiTheme="minorHAnsi" w:cstheme="minorBidi"/>
            <w:noProof/>
            <w:sz w:val="22"/>
            <w:szCs w:val="22"/>
          </w:rPr>
          <w:tab/>
        </w:r>
        <w:r w:rsidRPr="00AC1271">
          <w:rPr>
            <w:rStyle w:val="Hyperlink"/>
            <w:noProof/>
          </w:rPr>
          <w:t>ESH&amp;Q Section</w:t>
        </w:r>
        <w:r>
          <w:rPr>
            <w:noProof/>
            <w:webHidden/>
          </w:rPr>
          <w:tab/>
        </w:r>
        <w:r>
          <w:rPr>
            <w:noProof/>
            <w:webHidden/>
          </w:rPr>
          <w:fldChar w:fldCharType="begin"/>
        </w:r>
        <w:r>
          <w:rPr>
            <w:noProof/>
            <w:webHidden/>
          </w:rPr>
          <w:instrText xml:space="preserve"> PAGEREF _Toc531360383 \h </w:instrText>
        </w:r>
        <w:r>
          <w:rPr>
            <w:noProof/>
            <w:webHidden/>
          </w:rPr>
        </w:r>
        <w:r>
          <w:rPr>
            <w:noProof/>
            <w:webHidden/>
          </w:rPr>
          <w:fldChar w:fldCharType="separate"/>
        </w:r>
        <w:r>
          <w:rPr>
            <w:noProof/>
            <w:webHidden/>
          </w:rPr>
          <w:t>5</w:t>
        </w:r>
        <w:r>
          <w:rPr>
            <w:noProof/>
            <w:webHidden/>
          </w:rPr>
          <w:fldChar w:fldCharType="end"/>
        </w:r>
      </w:hyperlink>
    </w:p>
    <w:p w:rsidR="002644AC" w:rsidRDefault="002644AC">
      <w:pPr>
        <w:pStyle w:val="TOC1"/>
        <w:rPr>
          <w:rFonts w:asciiTheme="minorHAnsi" w:eastAsiaTheme="minorEastAsia" w:hAnsiTheme="minorHAnsi" w:cstheme="minorBidi"/>
          <w:noProof/>
          <w:sz w:val="22"/>
          <w:szCs w:val="22"/>
        </w:rPr>
      </w:pPr>
      <w:hyperlink w:anchor="_Toc531360384" w:history="1">
        <w:r w:rsidRPr="00AC1271">
          <w:rPr>
            <w:rStyle w:val="Hyperlink"/>
            <w:rFonts w:ascii="Times New Roman Bold" w:hAnsi="Times New Roman Bold"/>
            <w:noProof/>
          </w:rPr>
          <w:t>4.0</w:t>
        </w:r>
        <w:r>
          <w:rPr>
            <w:rFonts w:asciiTheme="minorHAnsi" w:eastAsiaTheme="minorEastAsia" w:hAnsiTheme="minorHAnsi" w:cstheme="minorBidi"/>
            <w:noProof/>
            <w:sz w:val="22"/>
            <w:szCs w:val="22"/>
          </w:rPr>
          <w:tab/>
        </w:r>
        <w:r w:rsidRPr="00AC1271">
          <w:rPr>
            <w:rStyle w:val="Hyperlink"/>
            <w:noProof/>
          </w:rPr>
          <w:t>REFERENCES</w:t>
        </w:r>
        <w:r>
          <w:rPr>
            <w:noProof/>
            <w:webHidden/>
          </w:rPr>
          <w:tab/>
        </w:r>
        <w:r>
          <w:rPr>
            <w:noProof/>
            <w:webHidden/>
          </w:rPr>
          <w:fldChar w:fldCharType="begin"/>
        </w:r>
        <w:r>
          <w:rPr>
            <w:noProof/>
            <w:webHidden/>
          </w:rPr>
          <w:instrText xml:space="preserve"> PAGEREF _Toc531360384 \h </w:instrText>
        </w:r>
        <w:r>
          <w:rPr>
            <w:noProof/>
            <w:webHidden/>
          </w:rPr>
        </w:r>
        <w:r>
          <w:rPr>
            <w:noProof/>
            <w:webHidden/>
          </w:rPr>
          <w:fldChar w:fldCharType="separate"/>
        </w:r>
        <w:r>
          <w:rPr>
            <w:noProof/>
            <w:webHidden/>
          </w:rPr>
          <w:t>6</w:t>
        </w:r>
        <w:r>
          <w:rPr>
            <w:noProof/>
            <w:webHidden/>
          </w:rPr>
          <w:fldChar w:fldCharType="end"/>
        </w:r>
      </w:hyperlink>
    </w:p>
    <w:p w:rsidR="002644AC" w:rsidRDefault="002644AC">
      <w:pPr>
        <w:pStyle w:val="TOC1"/>
        <w:rPr>
          <w:rFonts w:asciiTheme="minorHAnsi" w:eastAsiaTheme="minorEastAsia" w:hAnsiTheme="minorHAnsi" w:cstheme="minorBidi"/>
          <w:noProof/>
          <w:sz w:val="22"/>
          <w:szCs w:val="22"/>
        </w:rPr>
      </w:pPr>
      <w:hyperlink w:anchor="_Toc531360385" w:history="1">
        <w:r w:rsidRPr="00AC1271">
          <w:rPr>
            <w:rStyle w:val="Hyperlink"/>
            <w:rFonts w:ascii="Times New Roman Bold" w:hAnsi="Times New Roman Bold"/>
            <w:noProof/>
          </w:rPr>
          <w:t>5.0</w:t>
        </w:r>
        <w:r>
          <w:rPr>
            <w:rFonts w:asciiTheme="minorHAnsi" w:eastAsiaTheme="minorEastAsia" w:hAnsiTheme="minorHAnsi" w:cstheme="minorBidi"/>
            <w:noProof/>
            <w:sz w:val="22"/>
            <w:szCs w:val="22"/>
          </w:rPr>
          <w:tab/>
        </w:r>
        <w:r w:rsidRPr="00AC1271">
          <w:rPr>
            <w:rStyle w:val="Hyperlink"/>
            <w:noProof/>
          </w:rPr>
          <w:t>TECHNICAL APPENDIX A – TRI Reporting Thresholds</w:t>
        </w:r>
        <w:r>
          <w:rPr>
            <w:noProof/>
            <w:webHidden/>
          </w:rPr>
          <w:tab/>
        </w:r>
        <w:r>
          <w:rPr>
            <w:noProof/>
            <w:webHidden/>
          </w:rPr>
          <w:fldChar w:fldCharType="begin"/>
        </w:r>
        <w:r>
          <w:rPr>
            <w:noProof/>
            <w:webHidden/>
          </w:rPr>
          <w:instrText xml:space="preserve"> PAGEREF _Toc531360385 \h </w:instrText>
        </w:r>
        <w:r>
          <w:rPr>
            <w:noProof/>
            <w:webHidden/>
          </w:rPr>
        </w:r>
        <w:r>
          <w:rPr>
            <w:noProof/>
            <w:webHidden/>
          </w:rPr>
          <w:fldChar w:fldCharType="separate"/>
        </w:r>
        <w:r>
          <w:rPr>
            <w:noProof/>
            <w:webHidden/>
          </w:rPr>
          <w:t>7</w:t>
        </w:r>
        <w:r>
          <w:rPr>
            <w:noProof/>
            <w:webHidden/>
          </w:rPr>
          <w:fldChar w:fldCharType="end"/>
        </w:r>
      </w:hyperlink>
    </w:p>
    <w:p w:rsidR="00A96FFC" w:rsidRPr="00A96FFC" w:rsidRDefault="00164020" w:rsidP="00164020">
      <w:pPr>
        <w:rPr>
          <w:bCs/>
        </w:rPr>
        <w:sectPr w:rsidR="00A96FFC" w:rsidRPr="00A96FFC" w:rsidSect="002644AC">
          <w:headerReference w:type="even" r:id="rId10"/>
          <w:headerReference w:type="default" r:id="rId11"/>
          <w:footerReference w:type="default" r:id="rId12"/>
          <w:headerReference w:type="first" r:id="rId13"/>
          <w:pgSz w:w="12240" w:h="15840" w:code="1"/>
          <w:pgMar w:top="720" w:right="1080" w:bottom="720" w:left="1440" w:header="720" w:footer="389" w:gutter="0"/>
          <w:pgNumType w:start="2"/>
          <w:cols w:space="720"/>
          <w:docGrid w:linePitch="360"/>
        </w:sectPr>
      </w:pPr>
      <w:r w:rsidRPr="00164020">
        <w:rPr>
          <w:bCs/>
        </w:rPr>
        <w:fldChar w:fldCharType="end"/>
      </w:r>
      <w:bookmarkStart w:id="1" w:name="_GoBack"/>
      <w:bookmarkEnd w:id="1"/>
    </w:p>
    <w:p w:rsidR="00091A64" w:rsidRPr="00C1061F" w:rsidRDefault="00091A64" w:rsidP="00091A64">
      <w:pPr>
        <w:pStyle w:val="Heading1"/>
      </w:pPr>
      <w:bookmarkStart w:id="2" w:name="_Toc529258407"/>
      <w:bookmarkStart w:id="3" w:name="_Toc531360378"/>
      <w:r w:rsidRPr="00C1061F">
        <w:lastRenderedPageBreak/>
        <w:t>INTRODUCTION</w:t>
      </w:r>
      <w:bookmarkEnd w:id="2"/>
      <w:bookmarkEnd w:id="3"/>
    </w:p>
    <w:p w:rsidR="00091A64" w:rsidRPr="00C1061F" w:rsidRDefault="00091A64" w:rsidP="00091A64"/>
    <w:p w:rsidR="00091A64" w:rsidRPr="00C1061F" w:rsidRDefault="00091A64" w:rsidP="00091A64">
      <w:r w:rsidRPr="00C1061F">
        <w:t>Owners/operators of facilities that release toxic chemicals into the environment must submit a Toxic Release Inventory (TRI) “Form R” to the U.S. Environmental Protection Agency (EPA) and the Illinois Environmental Protection Agency (IEPA) according to Section 313 of the Emergency Planning and Commu</w:t>
      </w:r>
      <w:r w:rsidR="004F20FB">
        <w:t>nity Right to Know Act (EPCRA).</w:t>
      </w:r>
      <w:r w:rsidRPr="00C1061F">
        <w:t xml:space="preserve"> As a federal facility, Fermilab is obligated to prepare and submit a TRI “Form R” when, in a calendar year, any listed toxic chemical is “manufactured, processed or otherwise used” above it</w:t>
      </w:r>
      <w:r w:rsidR="004F20FB">
        <w:t>s regulatory defined threshold.</w:t>
      </w:r>
      <w:r w:rsidRPr="00C1061F">
        <w:t xml:space="preserve"> A TRI “Form R” is submitted for each chemi</w:t>
      </w:r>
      <w:r w:rsidR="004F20FB">
        <w:t>cal that exceeds the threshold.</w:t>
      </w:r>
      <w:r w:rsidRPr="00C1061F">
        <w:t xml:space="preserve"> The Form R documents the release of a chemical into the environment.  Releases include:</w:t>
      </w:r>
    </w:p>
    <w:p w:rsidR="00091A64" w:rsidRPr="00C1061F" w:rsidRDefault="00091A64" w:rsidP="00CC7499">
      <w:pPr>
        <w:numPr>
          <w:ilvl w:val="0"/>
          <w:numId w:val="10"/>
        </w:numPr>
        <w:jc w:val="left"/>
      </w:pPr>
      <w:r w:rsidRPr="00C1061F">
        <w:t>transfers to offsite landfills or other treatment facilities</w:t>
      </w:r>
    </w:p>
    <w:p w:rsidR="00091A64" w:rsidRPr="00C1061F" w:rsidRDefault="00091A64" w:rsidP="00CC7499">
      <w:pPr>
        <w:numPr>
          <w:ilvl w:val="0"/>
          <w:numId w:val="10"/>
        </w:numPr>
        <w:jc w:val="left"/>
      </w:pPr>
      <w:r w:rsidRPr="00C1061F">
        <w:t>discharges to municipal sewer systems</w:t>
      </w:r>
    </w:p>
    <w:p w:rsidR="00091A64" w:rsidRPr="00C1061F" w:rsidRDefault="00091A64" w:rsidP="00CC7499">
      <w:pPr>
        <w:numPr>
          <w:ilvl w:val="0"/>
          <w:numId w:val="10"/>
        </w:numPr>
        <w:jc w:val="left"/>
      </w:pPr>
      <w:r w:rsidRPr="00C1061F">
        <w:t>emissions to the air (including fugitive emissions)</w:t>
      </w:r>
    </w:p>
    <w:p w:rsidR="00091A64" w:rsidRPr="00C1061F" w:rsidRDefault="00091A64" w:rsidP="00CC7499">
      <w:pPr>
        <w:numPr>
          <w:ilvl w:val="0"/>
          <w:numId w:val="10"/>
        </w:numPr>
        <w:jc w:val="left"/>
      </w:pPr>
      <w:r w:rsidRPr="00C1061F">
        <w:t xml:space="preserve">direct discharges to surface water </w:t>
      </w:r>
    </w:p>
    <w:p w:rsidR="00091A64" w:rsidRPr="00C1061F" w:rsidRDefault="00091A64" w:rsidP="00CC7499">
      <w:pPr>
        <w:numPr>
          <w:ilvl w:val="0"/>
          <w:numId w:val="10"/>
        </w:numPr>
        <w:jc w:val="left"/>
      </w:pPr>
      <w:r w:rsidRPr="00C1061F">
        <w:t>placement into on-site landfills or other forms of impoundments.</w:t>
      </w:r>
    </w:p>
    <w:p w:rsidR="00091A64" w:rsidRPr="00C1061F" w:rsidRDefault="00091A64" w:rsidP="00091A64"/>
    <w:p w:rsidR="00091A64" w:rsidRPr="00C1061F" w:rsidRDefault="00091A64" w:rsidP="00091A64">
      <w:r w:rsidRPr="00C1061F">
        <w:t xml:space="preserve">Section 313 allows owners or operators to rely on readily available data and reasonable estimates to determine the amount of chemical released.  </w:t>
      </w:r>
    </w:p>
    <w:p w:rsidR="00091A64" w:rsidRPr="00C1061F" w:rsidRDefault="00091A64" w:rsidP="00091A64"/>
    <w:p w:rsidR="00091A64" w:rsidRPr="00C1061F" w:rsidRDefault="00091A64" w:rsidP="00091A64">
      <w:r w:rsidRPr="00C1061F">
        <w:t>Some uses of chemicals do not need to be factored into the threshold calculations due to regulatory defined exemptions.  The categories of exemptions are:</w:t>
      </w:r>
    </w:p>
    <w:p w:rsidR="00091A64" w:rsidRPr="000C646D" w:rsidRDefault="00091A64" w:rsidP="00CC7499">
      <w:pPr>
        <w:numPr>
          <w:ilvl w:val="0"/>
          <w:numId w:val="11"/>
        </w:numPr>
        <w:jc w:val="left"/>
        <w:rPr>
          <w:i/>
        </w:rPr>
      </w:pPr>
      <w:r w:rsidRPr="000C646D">
        <w:rPr>
          <w:i/>
        </w:rPr>
        <w:t>De minimis</w:t>
      </w:r>
      <w:r w:rsidR="001E1D0C" w:rsidRPr="000C646D">
        <w:rPr>
          <w:i/>
        </w:rPr>
        <w:t xml:space="preserve"> </w:t>
      </w:r>
    </w:p>
    <w:p w:rsidR="00091A64" w:rsidRPr="00C1061F" w:rsidRDefault="00091A64" w:rsidP="00CC7499">
      <w:pPr>
        <w:numPr>
          <w:ilvl w:val="0"/>
          <w:numId w:val="11"/>
        </w:numPr>
        <w:jc w:val="left"/>
      </w:pPr>
      <w:r w:rsidRPr="00C1061F">
        <w:t>Article</w:t>
      </w:r>
    </w:p>
    <w:p w:rsidR="00091A64" w:rsidRPr="00C1061F" w:rsidRDefault="00091A64" w:rsidP="00CC7499">
      <w:pPr>
        <w:numPr>
          <w:ilvl w:val="0"/>
          <w:numId w:val="11"/>
        </w:numPr>
        <w:jc w:val="left"/>
      </w:pPr>
      <w:r w:rsidRPr="00C1061F">
        <w:t>Laboratory activities</w:t>
      </w:r>
    </w:p>
    <w:p w:rsidR="00091A64" w:rsidRPr="00C1061F" w:rsidRDefault="00091A64" w:rsidP="00CC7499">
      <w:pPr>
        <w:numPr>
          <w:ilvl w:val="0"/>
          <w:numId w:val="11"/>
        </w:numPr>
        <w:jc w:val="left"/>
      </w:pPr>
      <w:r w:rsidRPr="00C1061F">
        <w:t>“Otherwise Use” Exemptions</w:t>
      </w:r>
    </w:p>
    <w:p w:rsidR="00091A64" w:rsidRPr="00C1061F" w:rsidRDefault="00091A64" w:rsidP="00CC7499">
      <w:pPr>
        <w:numPr>
          <w:ilvl w:val="1"/>
          <w:numId w:val="11"/>
        </w:numPr>
        <w:jc w:val="left"/>
      </w:pPr>
      <w:r w:rsidRPr="00C1061F">
        <w:t>Motor vehicle maintenance</w:t>
      </w:r>
    </w:p>
    <w:p w:rsidR="00091A64" w:rsidRPr="00C1061F" w:rsidRDefault="00091A64" w:rsidP="00CC7499">
      <w:pPr>
        <w:numPr>
          <w:ilvl w:val="1"/>
          <w:numId w:val="11"/>
        </w:numPr>
        <w:jc w:val="left"/>
      </w:pPr>
      <w:r w:rsidRPr="00C1061F">
        <w:t>Routine janitorial or facility grounds maintenance</w:t>
      </w:r>
    </w:p>
    <w:p w:rsidR="00091A64" w:rsidRPr="00C1061F" w:rsidRDefault="00091A64" w:rsidP="00CC7499">
      <w:pPr>
        <w:numPr>
          <w:ilvl w:val="1"/>
          <w:numId w:val="11"/>
        </w:numPr>
        <w:jc w:val="left"/>
      </w:pPr>
      <w:r w:rsidRPr="00C1061F">
        <w:t>Structural components</w:t>
      </w:r>
    </w:p>
    <w:p w:rsidR="00091A64" w:rsidRPr="00C1061F" w:rsidRDefault="00091A64" w:rsidP="00CC7499">
      <w:pPr>
        <w:numPr>
          <w:ilvl w:val="1"/>
          <w:numId w:val="11"/>
        </w:numPr>
        <w:jc w:val="left"/>
      </w:pPr>
      <w:r w:rsidRPr="00C1061F">
        <w:t>Personal use</w:t>
      </w:r>
    </w:p>
    <w:p w:rsidR="00091A64" w:rsidRPr="00C1061F" w:rsidRDefault="00091A64" w:rsidP="00CC7499">
      <w:pPr>
        <w:numPr>
          <w:ilvl w:val="1"/>
          <w:numId w:val="11"/>
        </w:numPr>
        <w:jc w:val="left"/>
      </w:pPr>
      <w:r w:rsidRPr="00C1061F">
        <w:t>Air or water intake</w:t>
      </w:r>
    </w:p>
    <w:p w:rsidR="00091A64" w:rsidRPr="00C1061F" w:rsidRDefault="00091A64" w:rsidP="00091A64"/>
    <w:p w:rsidR="004F20FB" w:rsidRDefault="00091A64" w:rsidP="000C2252">
      <w:r w:rsidRPr="00DD16AE">
        <w:t xml:space="preserve">EPA published </w:t>
      </w:r>
      <w:hyperlink r:id="rId14" w:anchor="General" w:history="1">
        <w:r w:rsidRPr="00DD16AE">
          <w:rPr>
            <w:rStyle w:val="Hyperlink"/>
          </w:rPr>
          <w:t>guidance documents</w:t>
        </w:r>
      </w:hyperlink>
      <w:r w:rsidRPr="00DD16AE">
        <w:t xml:space="preserve"> to help determine the app</w:t>
      </w:r>
      <w:r w:rsidR="004F20FB" w:rsidRPr="00DD16AE">
        <w:t>licability of these exemptions.</w:t>
      </w:r>
      <w:r w:rsidRPr="00C1061F">
        <w:t xml:space="preserve"> </w:t>
      </w:r>
    </w:p>
    <w:p w:rsidR="004F20FB" w:rsidRDefault="004F20FB" w:rsidP="00091A64"/>
    <w:p w:rsidR="00091A64" w:rsidRDefault="00091A64" w:rsidP="00091A64">
      <w:r w:rsidRPr="00C1061F">
        <w:t>Divisions/Sections</w:t>
      </w:r>
      <w:r w:rsidR="00E334E8">
        <w:t xml:space="preserve"> or Project Managers</w:t>
      </w:r>
      <w:r w:rsidRPr="00C1061F">
        <w:t xml:space="preserve"> should consult with the ESH&amp;Q Section concerning</w:t>
      </w:r>
      <w:r w:rsidR="001C1503">
        <w:t xml:space="preserve"> the application of exemptions</w:t>
      </w:r>
      <w:r w:rsidRPr="00C1061F">
        <w:t xml:space="preserve"> to avoid civil penalties for violations of the Section 313 reporting requirements.</w:t>
      </w:r>
    </w:p>
    <w:p w:rsidR="00AA3C65" w:rsidRDefault="00AA3C65" w:rsidP="00091A64"/>
    <w:p w:rsidR="00AA3C65" w:rsidRDefault="00AA3C65" w:rsidP="004F20FB">
      <w:pPr>
        <w:pStyle w:val="BodyText"/>
        <w:ind w:left="0"/>
      </w:pPr>
      <w:r w:rsidRPr="004F20FB">
        <w:t>This chapter only applies to the Fermilab site. Leased spaces will follow the rules and regulations set forth by the partnering institute and/or state, local or federal codes and standards.</w:t>
      </w:r>
    </w:p>
    <w:p w:rsidR="003B38F3" w:rsidRDefault="003B38F3">
      <w:pPr>
        <w:pStyle w:val="Heading1"/>
        <w:numPr>
          <w:ilvl w:val="0"/>
          <w:numId w:val="0"/>
        </w:numPr>
        <w:rPr>
          <w:kern w:val="0"/>
        </w:rPr>
      </w:pPr>
    </w:p>
    <w:p w:rsidR="00A42E24" w:rsidRDefault="00091A64" w:rsidP="00BC0A31">
      <w:pPr>
        <w:pStyle w:val="Heading1"/>
        <w:spacing w:after="100" w:afterAutospacing="1"/>
      </w:pPr>
      <w:bookmarkStart w:id="4" w:name="_Toc529258408"/>
      <w:bookmarkStart w:id="5" w:name="_Toc531360379"/>
      <w:r w:rsidRPr="00C1061F">
        <w:rPr>
          <w:kern w:val="0"/>
        </w:rPr>
        <w:t>DEFINITIONS</w:t>
      </w:r>
      <w:bookmarkEnd w:id="4"/>
      <w:bookmarkEnd w:id="5"/>
    </w:p>
    <w:p w:rsidR="00091A64" w:rsidRDefault="00091A64" w:rsidP="004F20FB">
      <w:pPr>
        <w:pStyle w:val="NormalWeb"/>
        <w:spacing w:before="0" w:beforeAutospacing="0" w:after="0" w:afterAutospacing="0"/>
      </w:pPr>
      <w:r w:rsidRPr="00C1061F">
        <w:rPr>
          <w:i/>
          <w:iCs/>
        </w:rPr>
        <w:t>Article</w:t>
      </w:r>
      <w:r w:rsidRPr="00C1061F">
        <w:t xml:space="preserve"> means a manufactured item: (1) which is formed to a specific shape or design during manufacture; (2) which has end use functions dependent in whole or in part upon its shape or design during end use; and (3) which does not release a toxic chemical under normal conditions of processing or use of that item at the facility or establishments.</w:t>
      </w:r>
    </w:p>
    <w:p w:rsidR="00EC543C" w:rsidRPr="00C1061F" w:rsidRDefault="00EC543C" w:rsidP="004F20FB">
      <w:pPr>
        <w:pStyle w:val="NormalWeb"/>
        <w:spacing w:before="0" w:beforeAutospacing="0" w:after="0" w:afterAutospacing="0"/>
      </w:pPr>
    </w:p>
    <w:p w:rsidR="00091A64" w:rsidRPr="00C1061F" w:rsidRDefault="00091A64" w:rsidP="00091A64">
      <w:pPr>
        <w:autoSpaceDE w:val="0"/>
        <w:autoSpaceDN w:val="0"/>
        <w:adjustRightInd w:val="0"/>
      </w:pPr>
      <w:r w:rsidRPr="00C1061F">
        <w:rPr>
          <w:i/>
          <w:iCs/>
        </w:rPr>
        <w:t xml:space="preserve">De minimis </w:t>
      </w:r>
      <w:r w:rsidRPr="00C1061F">
        <w:t>is the concentration of a toxic chemical in a mixture of chemicals which is below 1% of the mixture, or 0.1% of the mixture in the case of a toxic chemical which is a carcinogen as defined in 29 CFR 1910.1200(d)(4).</w:t>
      </w:r>
    </w:p>
    <w:p w:rsidR="00091A64" w:rsidRPr="00C1061F" w:rsidRDefault="00091A64" w:rsidP="00091A64">
      <w:pPr>
        <w:autoSpaceDE w:val="0"/>
        <w:autoSpaceDN w:val="0"/>
        <w:adjustRightInd w:val="0"/>
      </w:pPr>
    </w:p>
    <w:p w:rsidR="00091A64" w:rsidRPr="00C1061F" w:rsidRDefault="00091A64" w:rsidP="00091A64">
      <w:pPr>
        <w:autoSpaceDE w:val="0"/>
        <w:autoSpaceDN w:val="0"/>
        <w:adjustRightInd w:val="0"/>
      </w:pPr>
      <w:r w:rsidRPr="00C1061F">
        <w:rPr>
          <w:i/>
          <w:iCs/>
        </w:rPr>
        <w:t>Disposal</w:t>
      </w:r>
      <w:r w:rsidRPr="00C1061F">
        <w:t xml:space="preserve"> means any underground injection, placement in landfills/surface impoundments, land treatment, or other intentional land disposal.</w:t>
      </w:r>
    </w:p>
    <w:p w:rsidR="00091A64" w:rsidRPr="00C1061F" w:rsidRDefault="00091A64" w:rsidP="00091A64">
      <w:pPr>
        <w:pStyle w:val="NormalWeb"/>
      </w:pPr>
      <w:r w:rsidRPr="00C1061F">
        <w:rPr>
          <w:i/>
          <w:iCs/>
        </w:rPr>
        <w:t>Establishment</w:t>
      </w:r>
      <w:r w:rsidRPr="00C1061F">
        <w:t xml:space="preserve"> means an economic unit, generally at a single physical location, where business is conducted or where services or industrial operations are performed.</w:t>
      </w:r>
    </w:p>
    <w:p w:rsidR="00091A64" w:rsidRPr="00C1061F" w:rsidRDefault="00091A64" w:rsidP="00091A64">
      <w:pPr>
        <w:pStyle w:val="NormalWeb"/>
      </w:pPr>
      <w:r w:rsidRPr="00C1061F">
        <w:rPr>
          <w:i/>
          <w:iCs/>
        </w:rPr>
        <w:t>Facility</w:t>
      </w:r>
      <w:r w:rsidRPr="00C1061F">
        <w:t xml:space="preserve"> means all buildings, equipment, structures, and other stationary items which are located on a single site or on contiguous or adjacent sites and which are owned or operated by the same person (or by any person which controls, is controlled by, or under common control with such person). A facility may contain more than one establishment.</w:t>
      </w:r>
    </w:p>
    <w:p w:rsidR="00091A64" w:rsidRPr="00C1061F" w:rsidRDefault="00091A64" w:rsidP="00091A64">
      <w:pPr>
        <w:pStyle w:val="NormalWeb"/>
      </w:pPr>
      <w:r w:rsidRPr="00C1061F">
        <w:rPr>
          <w:i/>
          <w:iCs/>
        </w:rPr>
        <w:t>Import</w:t>
      </w:r>
      <w:r w:rsidRPr="00C1061F">
        <w:t xml:space="preserve"> means to cause a chemical to be imported into the customs territory of the </w:t>
      </w:r>
      <w:smartTag w:uri="urn:schemas-microsoft-com:office:smarttags" w:element="country-region">
        <w:smartTag w:uri="urn:schemas-microsoft-com:office:smarttags" w:element="place">
          <w:r w:rsidRPr="00C1061F">
            <w:t>United States</w:t>
          </w:r>
        </w:smartTag>
      </w:smartTag>
      <w:r w:rsidRPr="00C1061F">
        <w:t xml:space="preserve">. For purposes of this definition, </w:t>
      </w:r>
      <w:r w:rsidRPr="00C1061F">
        <w:rPr>
          <w:i/>
        </w:rPr>
        <w:t>to cause</w:t>
      </w:r>
      <w:r w:rsidRPr="00C1061F">
        <w:t xml:space="preserve"> means to intend that the chemical be imported and to control the identity of the imported chemical and the amount to be imported.</w:t>
      </w:r>
    </w:p>
    <w:p w:rsidR="00091A64" w:rsidRPr="00C1061F" w:rsidRDefault="00091A64" w:rsidP="00091A64">
      <w:pPr>
        <w:pStyle w:val="NormalWeb"/>
      </w:pPr>
      <w:r w:rsidRPr="00C1061F">
        <w:rPr>
          <w:i/>
        </w:rPr>
        <w:t>Laboratory (</w:t>
      </w:r>
      <w:r w:rsidRPr="00C1061F">
        <w:t>for purposes of the regulatory defined ‘Laboratory Activity Exemption’) means those activities under the supervision of a ‘technically qualified person’ as defined in 40 CFR Section 720.3 Subpart ee.  This may apply to a laboratory on site such as the radiation counting laboratory but does not apply to the overall Fermilab complex.</w:t>
      </w:r>
    </w:p>
    <w:p w:rsidR="00091A64" w:rsidRPr="00C1061F" w:rsidRDefault="00091A64" w:rsidP="00091A64">
      <w:pPr>
        <w:pStyle w:val="NormalWeb"/>
      </w:pPr>
      <w:r w:rsidRPr="00C1061F">
        <w:rPr>
          <w:i/>
          <w:iCs/>
        </w:rPr>
        <w:t>Manufacture</w:t>
      </w:r>
      <w:r w:rsidRPr="00C1061F">
        <w:t xml:space="preserve"> means to produce, prepare, import, or compound a toxic chemical. Manufacture also applies to a toxic chemical that is produced coincidentally during the manufacture, processing, use, or disposal of another chemical or mixture of chemicals, including a toxic chemical that is separated from that other chemical or mixture of chemicals as a byproduct, and a toxic chemical that remains in that other chemical or mixture of chemicals as an impurity.</w:t>
      </w:r>
    </w:p>
    <w:p w:rsidR="00091A64" w:rsidRPr="00C1061F" w:rsidRDefault="00091A64" w:rsidP="00091A64">
      <w:pPr>
        <w:pStyle w:val="NormalWeb"/>
      </w:pPr>
      <w:r w:rsidRPr="00C1061F">
        <w:rPr>
          <w:i/>
          <w:iCs/>
        </w:rPr>
        <w:t>Mixture</w:t>
      </w:r>
      <w:r w:rsidRPr="00C1061F">
        <w:t xml:space="preserve"> means any combination of two or more chemicals, if the combination is not, in whole or in part, the result of a chemical reaction. However, if the combination was produced by a chemical reaction but could have been produced without a chemical reaction, it is also treated as a mixture. A mixture also includes any combination which consists of a chemical and associated impurities.</w:t>
      </w:r>
      <w:r w:rsidR="006A7859">
        <w:t xml:space="preserve"> </w:t>
      </w:r>
      <w:r w:rsidRPr="00C1061F">
        <w:rPr>
          <w:i/>
          <w:iCs/>
        </w:rPr>
        <w:t>Otherwise use</w:t>
      </w:r>
      <w:r w:rsidRPr="00C1061F">
        <w:t xml:space="preserve"> means any use of a toxic chemical, including a toxic chemical contained in a mixture or other trade name product or waste, that is not covered by the terms “manufacture” or “process.” Otherwise use of a toxic chemical does not include disposal, stabilization (without subsequent distribution in commerce), or treatment for destruction unless:</w:t>
      </w:r>
    </w:p>
    <w:p w:rsidR="00091A64" w:rsidRPr="00C1061F" w:rsidRDefault="00091A64" w:rsidP="00091A64">
      <w:pPr>
        <w:pStyle w:val="NormalWeb"/>
        <w:ind w:left="720"/>
      </w:pPr>
      <w:r w:rsidRPr="00C1061F">
        <w:t>(1) The toxic chemical that was disposed, stabilized, or treated for destruction was received from off-site for the purposes of further waste management; or</w:t>
      </w:r>
    </w:p>
    <w:p w:rsidR="00A42E24" w:rsidRDefault="00091A64" w:rsidP="00091A64">
      <w:pPr>
        <w:pStyle w:val="NormalWeb"/>
        <w:ind w:left="720"/>
      </w:pPr>
      <w:r w:rsidRPr="00C1061F">
        <w:t xml:space="preserve">(2) The toxic chemical that was disposed, stabilized, or treated for destruction was </w:t>
      </w:r>
    </w:p>
    <w:p w:rsidR="00091A64" w:rsidRPr="00C1061F" w:rsidRDefault="00091A64" w:rsidP="00091A64">
      <w:pPr>
        <w:pStyle w:val="NormalWeb"/>
        <w:ind w:left="720"/>
      </w:pPr>
      <w:r w:rsidRPr="00C1061F">
        <w:lastRenderedPageBreak/>
        <w:t xml:space="preserve">manufactured </w:t>
      </w:r>
      <w:proofErr w:type="gramStart"/>
      <w:r w:rsidRPr="00C1061F">
        <w:t>as a result of</w:t>
      </w:r>
      <w:proofErr w:type="gramEnd"/>
      <w:r w:rsidRPr="00C1061F">
        <w:t xml:space="preserve"> waste management activities on materials received from off-site for the purposes of further waste management activities. Relabeling or redistributing of the toxic chemical where no repackaging of the toxic chemical occurs does not constitute otherwise use or processing of the toxic chemical.</w:t>
      </w:r>
    </w:p>
    <w:p w:rsidR="00091A64" w:rsidRPr="00C1061F" w:rsidRDefault="00091A64" w:rsidP="00091A64">
      <w:pPr>
        <w:pStyle w:val="NormalWeb"/>
      </w:pPr>
      <w:r w:rsidRPr="00C1061F">
        <w:rPr>
          <w:i/>
          <w:iCs/>
        </w:rPr>
        <w:t>Process</w:t>
      </w:r>
      <w:r w:rsidRPr="00C1061F">
        <w:t xml:space="preserve"> means the preparation of a toxic chemical, after its manufacture, for distribution in commerce:</w:t>
      </w:r>
    </w:p>
    <w:p w:rsidR="00091A64" w:rsidRPr="00C1061F" w:rsidRDefault="00091A64" w:rsidP="00091A64">
      <w:pPr>
        <w:pStyle w:val="NormalWeb"/>
        <w:ind w:left="720"/>
      </w:pPr>
      <w:r w:rsidRPr="00C1061F">
        <w:t>(1) In the same form or physical state as, or in a different form or physical state from, that in which it was received by the person so preparing such substance, or</w:t>
      </w:r>
    </w:p>
    <w:p w:rsidR="00091A64" w:rsidRPr="00C1061F" w:rsidRDefault="00091A64" w:rsidP="00091A64">
      <w:pPr>
        <w:pStyle w:val="NormalWeb"/>
        <w:ind w:left="720"/>
      </w:pPr>
      <w:r w:rsidRPr="00C1061F">
        <w:t>(2) As part of an article containing the toxic chemical. Process also applies to the processing of a toxic chemical contained in a mixture or trade name product.</w:t>
      </w:r>
    </w:p>
    <w:p w:rsidR="00091A64" w:rsidRPr="00C1061F" w:rsidRDefault="00091A64" w:rsidP="00091A64">
      <w:pPr>
        <w:pStyle w:val="NormalWeb"/>
      </w:pPr>
      <w:r w:rsidRPr="00C1061F">
        <w:rPr>
          <w:i/>
          <w:iCs/>
        </w:rPr>
        <w:t>Release</w:t>
      </w:r>
      <w:r w:rsidRPr="00C1061F">
        <w:t xml:space="preserve"> means any spilling, leaking, pumping, pouring, emitting, emptying, discharging, injecting, escaping, leaching, dumping, or disposing into the environment (including the abandonment or discarding of barrels, containers, and other closed receptacles) of any toxic chemical.</w:t>
      </w:r>
    </w:p>
    <w:p w:rsidR="00091A64" w:rsidRPr="00C1061F" w:rsidRDefault="00091A64" w:rsidP="00091A64">
      <w:pPr>
        <w:pStyle w:val="NormalWeb"/>
      </w:pPr>
      <w:r w:rsidRPr="00C1061F">
        <w:rPr>
          <w:i/>
          <w:iCs/>
        </w:rPr>
        <w:t>Senior management official</w:t>
      </w:r>
      <w:r w:rsidRPr="00C1061F">
        <w:t xml:space="preserve"> means an official with management responsibility for the person or persons completing the report, or the manager of environmental programs for the facility or establishments, or for the corporation owning or operating the facility or establishments responsible for certifying similar reports under other environmental regulatory requirements.</w:t>
      </w:r>
    </w:p>
    <w:p w:rsidR="00091A64" w:rsidRDefault="00091A64" w:rsidP="004F20FB">
      <w:pPr>
        <w:pStyle w:val="NormalWeb"/>
        <w:spacing w:before="0" w:beforeAutospacing="0" w:after="0" w:afterAutospacing="0"/>
      </w:pPr>
      <w:r w:rsidRPr="00C1061F">
        <w:rPr>
          <w:i/>
          <w:iCs/>
        </w:rPr>
        <w:t>Toxic chemical</w:t>
      </w:r>
      <w:r w:rsidRPr="00C1061F">
        <w:t xml:space="preserve"> means a chemical or chemical category listed in §372.65 of 40 CFR.</w:t>
      </w:r>
    </w:p>
    <w:p w:rsidR="004F20FB" w:rsidRPr="004F20FB" w:rsidRDefault="004F20FB" w:rsidP="004F20FB">
      <w:pPr>
        <w:pStyle w:val="NormalWeb"/>
        <w:spacing w:before="0" w:beforeAutospacing="0" w:after="0" w:afterAutospacing="0"/>
      </w:pPr>
    </w:p>
    <w:p w:rsidR="00554664" w:rsidRDefault="00554664" w:rsidP="006A7918">
      <w:pPr>
        <w:pStyle w:val="Heading1"/>
        <w:keepNext w:val="0"/>
      </w:pPr>
      <w:bookmarkStart w:id="6" w:name="_Toc529258409"/>
      <w:bookmarkStart w:id="7" w:name="_Toc531360380"/>
      <w:r>
        <w:t>RESPONSIB</w:t>
      </w:r>
      <w:r w:rsidR="00730FCE">
        <w:t>I</w:t>
      </w:r>
      <w:r>
        <w:t>L</w:t>
      </w:r>
      <w:r w:rsidR="007D5A75">
        <w:t>ITIES</w:t>
      </w:r>
      <w:bookmarkEnd w:id="6"/>
      <w:bookmarkEnd w:id="7"/>
    </w:p>
    <w:p w:rsidR="00C552C0" w:rsidRPr="008532CC" w:rsidRDefault="00C552C0" w:rsidP="00E00D72">
      <w:pPr>
        <w:rPr>
          <w:bCs/>
          <w:color w:val="000000"/>
          <w:kern w:val="32"/>
        </w:rPr>
      </w:pPr>
    </w:p>
    <w:p w:rsidR="00091A64" w:rsidRPr="00C72E17" w:rsidRDefault="00091A64" w:rsidP="00C72E17">
      <w:pPr>
        <w:pStyle w:val="Heading2"/>
      </w:pPr>
      <w:bookmarkStart w:id="8" w:name="_Toc506904170"/>
      <w:bookmarkStart w:id="9" w:name="_Toc529258410"/>
      <w:bookmarkStart w:id="10" w:name="_Toc531360381"/>
      <w:r w:rsidRPr="00C72E17">
        <w:t>Division/Section Heads or Project Managers (D/S/P) shall:</w:t>
      </w:r>
      <w:bookmarkEnd w:id="8"/>
      <w:bookmarkEnd w:id="9"/>
      <w:bookmarkEnd w:id="10"/>
    </w:p>
    <w:p w:rsidR="00C653CB" w:rsidRDefault="00896699" w:rsidP="00CC7499">
      <w:pPr>
        <w:numPr>
          <w:ilvl w:val="0"/>
          <w:numId w:val="12"/>
        </w:numPr>
        <w:jc w:val="left"/>
      </w:pPr>
      <w:r>
        <w:t>Support ESH&amp;Q with resources necessary to compile the annual TRI “Form R”</w:t>
      </w:r>
      <w:r w:rsidR="00F2368D">
        <w:t xml:space="preserve"> R</w:t>
      </w:r>
      <w:r>
        <w:t>eport.</w:t>
      </w:r>
    </w:p>
    <w:p w:rsidR="00C72E17" w:rsidRPr="00C1061F" w:rsidRDefault="00C72E17" w:rsidP="00C72E17">
      <w:pPr>
        <w:ind w:left="720"/>
        <w:jc w:val="left"/>
      </w:pPr>
    </w:p>
    <w:p w:rsidR="00FB7733" w:rsidRPr="00C72E17" w:rsidRDefault="00880F07" w:rsidP="00C72E17">
      <w:pPr>
        <w:pStyle w:val="Heading2"/>
      </w:pPr>
      <w:bookmarkStart w:id="11" w:name="_Toc506904171"/>
      <w:bookmarkStart w:id="12" w:name="_Toc529258411"/>
      <w:bookmarkStart w:id="13" w:name="_Toc531360382"/>
      <w:r w:rsidRPr="00C72E17">
        <w:t>Chief Safety Officer</w:t>
      </w:r>
      <w:r w:rsidR="00091A64" w:rsidRPr="00C72E17">
        <w:t xml:space="preserve"> shall:</w:t>
      </w:r>
      <w:bookmarkEnd w:id="11"/>
      <w:bookmarkEnd w:id="12"/>
      <w:bookmarkEnd w:id="13"/>
    </w:p>
    <w:p w:rsidR="00A35CF0" w:rsidRPr="002644AC" w:rsidRDefault="00E2556C" w:rsidP="002644AC">
      <w:pPr>
        <w:pStyle w:val="ListParagraph"/>
        <w:numPr>
          <w:ilvl w:val="0"/>
          <w:numId w:val="12"/>
        </w:numPr>
        <w:rPr>
          <w:b/>
        </w:rPr>
      </w:pPr>
      <w:bookmarkStart w:id="14" w:name="_Toc529258412"/>
      <w:bookmarkStart w:id="15" w:name="_Toc530058168"/>
      <w:r w:rsidRPr="0059247D">
        <w:t xml:space="preserve">Ensures the effective management of </w:t>
      </w:r>
      <w:r w:rsidR="00126FDF" w:rsidRPr="0059247D">
        <w:t>this chapter.</w:t>
      </w:r>
      <w:bookmarkEnd w:id="14"/>
      <w:bookmarkEnd w:id="15"/>
    </w:p>
    <w:p w:rsidR="00CD7D44" w:rsidRPr="002644AC" w:rsidRDefault="00CD7D44" w:rsidP="002644AC">
      <w:pPr>
        <w:pStyle w:val="ListParagraph"/>
        <w:numPr>
          <w:ilvl w:val="0"/>
          <w:numId w:val="12"/>
        </w:numPr>
        <w:rPr>
          <w:b/>
        </w:rPr>
      </w:pPr>
      <w:bookmarkStart w:id="16" w:name="_Toc529258413"/>
      <w:bookmarkStart w:id="17" w:name="_Toc530058169"/>
      <w:r w:rsidRPr="00A35CF0">
        <w:t>Coordinate</w:t>
      </w:r>
      <w:r w:rsidR="0059247D">
        <w:t>s</w:t>
      </w:r>
      <w:r w:rsidRPr="00A35CF0">
        <w:t xml:space="preserve"> communication with DOE and regulatory agencies regarding TRI issues, including submitting the annual TRI “Form R” </w:t>
      </w:r>
      <w:r w:rsidR="00F2368D">
        <w:t>R</w:t>
      </w:r>
      <w:r w:rsidR="00F2368D" w:rsidRPr="00A35CF0">
        <w:t>eport</w:t>
      </w:r>
      <w:r w:rsidRPr="00A35CF0">
        <w:t>.</w:t>
      </w:r>
      <w:bookmarkEnd w:id="16"/>
      <w:bookmarkEnd w:id="17"/>
    </w:p>
    <w:p w:rsidR="00F57BE4" w:rsidRDefault="00F57BE4" w:rsidP="002644AC">
      <w:pPr>
        <w:pStyle w:val="ListParagraph"/>
        <w:numPr>
          <w:ilvl w:val="0"/>
          <w:numId w:val="12"/>
        </w:numPr>
      </w:pPr>
      <w:r>
        <w:t>Ensure that each contributor to the TRI Report remains current in TRI requirements</w:t>
      </w:r>
    </w:p>
    <w:p w:rsidR="00F57BE4" w:rsidRDefault="00F57BE4" w:rsidP="002644AC">
      <w:pPr>
        <w:pStyle w:val="ListParagraph"/>
        <w:numPr>
          <w:ilvl w:val="0"/>
          <w:numId w:val="12"/>
        </w:numPr>
      </w:pPr>
      <w:r>
        <w:t>and attends TRI training as necessary.</w:t>
      </w:r>
    </w:p>
    <w:p w:rsidR="00C72E17" w:rsidRDefault="00C72E17" w:rsidP="003077C6">
      <w:pPr>
        <w:ind w:left="720"/>
      </w:pPr>
    </w:p>
    <w:p w:rsidR="00681A24" w:rsidRPr="007B5DFA" w:rsidRDefault="005E3FC2" w:rsidP="00C72E17">
      <w:pPr>
        <w:pStyle w:val="Heading2"/>
      </w:pPr>
      <w:bookmarkStart w:id="18" w:name="_Toc531360383"/>
      <w:r>
        <w:t>ESH&amp;Q Section</w:t>
      </w:r>
      <w:bookmarkEnd w:id="18"/>
      <w:r w:rsidR="007A41DD">
        <w:t xml:space="preserve"> </w:t>
      </w:r>
    </w:p>
    <w:p w:rsidR="007B5DFA" w:rsidRPr="007D71EA" w:rsidRDefault="007D71EA" w:rsidP="007A41DD">
      <w:pPr>
        <w:pStyle w:val="ListParagraph"/>
        <w:numPr>
          <w:ilvl w:val="0"/>
          <w:numId w:val="14"/>
        </w:numPr>
        <w:tabs>
          <w:tab w:val="left" w:pos="720"/>
        </w:tabs>
        <w:jc w:val="left"/>
        <w:rPr>
          <w:b/>
        </w:rPr>
      </w:pPr>
      <w:r>
        <w:t>C</w:t>
      </w:r>
      <w:r w:rsidR="003C1EB7">
        <w:t xml:space="preserve">onduct a review of operations against the EPA </w:t>
      </w:r>
      <w:r w:rsidR="00577299">
        <w:t>“</w:t>
      </w:r>
      <w:hyperlink r:id="rId15" w:history="1">
        <w:r w:rsidR="00577299" w:rsidRPr="00577299">
          <w:rPr>
            <w:rStyle w:val="Hyperlink"/>
          </w:rPr>
          <w:t>List of Lists</w:t>
        </w:r>
      </w:hyperlink>
      <w:r w:rsidR="00577299">
        <w:t>”</w:t>
      </w:r>
      <w:r>
        <w:t xml:space="preserve"> </w:t>
      </w:r>
      <w:r w:rsidR="003C1EB7">
        <w:t xml:space="preserve">for the </w:t>
      </w:r>
      <w:r w:rsidR="00E15724">
        <w:t xml:space="preserve">previous </w:t>
      </w:r>
      <w:r w:rsidR="003C1EB7">
        <w:t>calendar year.</w:t>
      </w:r>
      <w:r w:rsidR="00C30F19" w:rsidRPr="007D71EA">
        <w:rPr>
          <w:b/>
        </w:rPr>
        <w:t xml:space="preserve"> </w:t>
      </w:r>
    </w:p>
    <w:p w:rsidR="00F60A31" w:rsidRDefault="00F60A31" w:rsidP="00F60A31">
      <w:pPr>
        <w:numPr>
          <w:ilvl w:val="0"/>
          <w:numId w:val="14"/>
        </w:numPr>
        <w:jc w:val="left"/>
      </w:pPr>
      <w:r>
        <w:t>Collect a list of all toxic chemicals that are found on the “</w:t>
      </w:r>
      <w:hyperlink r:id="rId16" w:history="1">
        <w:r>
          <w:rPr>
            <w:rStyle w:val="Hyperlink"/>
          </w:rPr>
          <w:t>List of Lists</w:t>
        </w:r>
      </w:hyperlink>
      <w:r>
        <w:t xml:space="preserve">” within the previous calendar year, of 1,000 lbs. or greater.  However, there are sixteen TRI chemicals and four TRI chemical categories, known as PBT, Persistent, Bio cumulative, Toxic, that have much lower thresholds.  These chemicals and their reporting thresholds can be found </w:t>
      </w:r>
      <w:hyperlink r:id="rId17" w:history="1">
        <w:r>
          <w:rPr>
            <w:rStyle w:val="Hyperlink"/>
          </w:rPr>
          <w:t>here</w:t>
        </w:r>
      </w:hyperlink>
      <w:r>
        <w:t xml:space="preserve">.  Include any of these chemicals on the list regardless of quantity. </w:t>
      </w:r>
    </w:p>
    <w:p w:rsidR="00091A64" w:rsidRDefault="00091A64" w:rsidP="00CC7499">
      <w:pPr>
        <w:numPr>
          <w:ilvl w:val="0"/>
          <w:numId w:val="14"/>
        </w:numPr>
        <w:jc w:val="left"/>
      </w:pPr>
      <w:r w:rsidRPr="00C1061F">
        <w:t>Consult with Division</w:t>
      </w:r>
      <w:r w:rsidR="00E334E8">
        <w:t>s</w:t>
      </w:r>
      <w:r w:rsidRPr="00C1061F">
        <w:t>/Sections</w:t>
      </w:r>
      <w:r w:rsidR="005D0D76">
        <w:t xml:space="preserve"> </w:t>
      </w:r>
      <w:r w:rsidRPr="00C1061F">
        <w:t>to assist in exemption determinations.</w:t>
      </w:r>
    </w:p>
    <w:p w:rsidR="007A5EAC" w:rsidRPr="005E3FC2" w:rsidRDefault="00BC52AE" w:rsidP="007A5EAC">
      <w:pPr>
        <w:numPr>
          <w:ilvl w:val="0"/>
          <w:numId w:val="14"/>
        </w:numPr>
        <w:jc w:val="left"/>
      </w:pPr>
      <w:r w:rsidRPr="005E3FC2">
        <w:lastRenderedPageBreak/>
        <w:t>M</w:t>
      </w:r>
      <w:r w:rsidR="007A5EAC" w:rsidRPr="005E3FC2">
        <w:t>aintain Fermilab site-wide TRI chemical inventory information collected from all Divisions/Sections.</w:t>
      </w:r>
    </w:p>
    <w:p w:rsidR="00A35CF0" w:rsidRPr="005E3FC2" w:rsidRDefault="00B62E8D" w:rsidP="007A5EAC">
      <w:pPr>
        <w:numPr>
          <w:ilvl w:val="0"/>
          <w:numId w:val="14"/>
        </w:numPr>
        <w:jc w:val="left"/>
      </w:pPr>
      <w:r>
        <w:t>The EP Group will s</w:t>
      </w:r>
      <w:r w:rsidR="00A35CF0" w:rsidRPr="005E3FC2">
        <w:t>ubmit a “Form R” to the EPA/IEPA</w:t>
      </w:r>
      <w:r w:rsidR="00D75903" w:rsidRPr="005E3FC2">
        <w:t xml:space="preserve"> for any TRI chemical </w:t>
      </w:r>
      <w:r w:rsidR="00FC5263" w:rsidRPr="005E3FC2">
        <w:t xml:space="preserve">cumulatively </w:t>
      </w:r>
      <w:r w:rsidR="00D75903" w:rsidRPr="005E3FC2">
        <w:t xml:space="preserve">exceeding the reporting threshold </w:t>
      </w:r>
      <w:r w:rsidR="00FC5263" w:rsidRPr="005E3FC2">
        <w:t>for the site during the previous calendar year</w:t>
      </w:r>
      <w:r w:rsidR="00A35CF0" w:rsidRPr="005E3FC2">
        <w:t xml:space="preserve"> by July 1</w:t>
      </w:r>
      <w:r w:rsidR="00A35CF0" w:rsidRPr="005E3FC2">
        <w:rPr>
          <w:vertAlign w:val="superscript"/>
        </w:rPr>
        <w:t>st</w:t>
      </w:r>
      <w:r w:rsidR="00A35CF0" w:rsidRPr="005E3FC2">
        <w:t>.</w:t>
      </w:r>
    </w:p>
    <w:p w:rsidR="007A5EAC" w:rsidRPr="005E3FC2" w:rsidRDefault="007A5EAC" w:rsidP="007A5EAC">
      <w:pPr>
        <w:numPr>
          <w:ilvl w:val="1"/>
          <w:numId w:val="14"/>
        </w:numPr>
        <w:jc w:val="left"/>
      </w:pPr>
      <w:r w:rsidRPr="005E3FC2">
        <w:t xml:space="preserve">When a “Form R” is submitted to </w:t>
      </w:r>
      <w:r w:rsidR="00A35CF0" w:rsidRPr="005E3FC2">
        <w:t xml:space="preserve">the </w:t>
      </w:r>
      <w:r w:rsidRPr="005E3FC2">
        <w:t xml:space="preserve">EPA/IEPA, the following must be retained for three years from the submission date:  a copy of the report, all documents and materials used in determining that the report was required, and all supporting documents. </w:t>
      </w:r>
    </w:p>
    <w:p w:rsidR="00091A64" w:rsidRDefault="00091A64" w:rsidP="00091A64">
      <w:pPr>
        <w:jc w:val="left"/>
      </w:pPr>
    </w:p>
    <w:p w:rsidR="00C704B6" w:rsidRPr="00880F07" w:rsidRDefault="00C704B6" w:rsidP="00C704B6">
      <w:pPr>
        <w:pStyle w:val="Heading1"/>
        <w:keepNext w:val="0"/>
      </w:pPr>
      <w:bookmarkStart w:id="19" w:name="_Toc278986142"/>
      <w:bookmarkStart w:id="20" w:name="_Toc529258414"/>
      <w:bookmarkStart w:id="21" w:name="_Toc531360384"/>
      <w:r w:rsidRPr="00880F07">
        <w:t>REFERENCES</w:t>
      </w:r>
      <w:bookmarkEnd w:id="19"/>
      <w:bookmarkEnd w:id="20"/>
      <w:bookmarkEnd w:id="21"/>
    </w:p>
    <w:p w:rsidR="00C704B6" w:rsidRPr="00C704B6" w:rsidRDefault="00C704B6" w:rsidP="00C704B6">
      <w:pPr>
        <w:rPr>
          <w:highlight w:val="yellow"/>
        </w:rPr>
      </w:pPr>
    </w:p>
    <w:p w:rsidR="00091A64" w:rsidRPr="00C1061F" w:rsidRDefault="00091A64" w:rsidP="00091A64">
      <w:r w:rsidRPr="00C1061F">
        <w:t>The Emergency Planning &amp; Community Right-To-Know Act (EPCRA); 42 U.S.C. 11001 et seq. (1986)</w:t>
      </w:r>
    </w:p>
    <w:p w:rsidR="00091A64" w:rsidRPr="00C1061F" w:rsidRDefault="00091A64" w:rsidP="00091A64"/>
    <w:p w:rsidR="00091A64" w:rsidRPr="00C1061F" w:rsidRDefault="00091A64" w:rsidP="00091A64">
      <w:r w:rsidRPr="00C1061F">
        <w:t>The Pollution Prevention Act (PPA); 42 U.S.C. 13101 et seq. (1990)</w:t>
      </w:r>
    </w:p>
    <w:p w:rsidR="00091A64" w:rsidRPr="00C1061F" w:rsidRDefault="00091A64" w:rsidP="00091A64"/>
    <w:p w:rsidR="00091A64" w:rsidRPr="00C1061F" w:rsidRDefault="00091A64" w:rsidP="00091A64">
      <w:r w:rsidRPr="00C1061F">
        <w:t>Title 40, Part 372, Toxic Chemical Release Reporting:  Community Right to Know</w:t>
      </w:r>
    </w:p>
    <w:p w:rsidR="00091A64" w:rsidRPr="00C1061F" w:rsidRDefault="00091A64" w:rsidP="00091A64"/>
    <w:p w:rsidR="00091A64" w:rsidRPr="00C1061F" w:rsidRDefault="00091A64" w:rsidP="00091A64">
      <w:r w:rsidRPr="00C1061F">
        <w:t xml:space="preserve">United States Environmental Protection Agency. </w:t>
      </w:r>
      <w:r w:rsidRPr="00C1061F">
        <w:rPr>
          <w:i/>
        </w:rPr>
        <w:t xml:space="preserve">Toxic Release Inventory (TRI) Program Guidance Documents.  </w:t>
      </w:r>
      <w:r w:rsidRPr="00C1061F">
        <w:t xml:space="preserve">Retrieved November 23, 2015 from </w:t>
      </w:r>
      <w:hyperlink r:id="rId18" w:anchor="General" w:history="1">
        <w:r w:rsidRPr="00C1061F">
          <w:rPr>
            <w:rStyle w:val="Hyperlink"/>
          </w:rPr>
          <w:t>http://www2.epa.gov/toxics-release-inventory-tri-program/guidance-documents-tri-reporting#General</w:t>
        </w:r>
      </w:hyperlink>
      <w:r w:rsidRPr="00C1061F">
        <w:t xml:space="preserve"> </w:t>
      </w:r>
    </w:p>
    <w:p w:rsidR="00091A64" w:rsidRPr="00C1061F" w:rsidRDefault="00091A64" w:rsidP="00091A64"/>
    <w:p w:rsidR="00091A64" w:rsidRPr="00C1061F" w:rsidRDefault="00091A64" w:rsidP="00091A64">
      <w:r w:rsidRPr="00C1061F">
        <w:t xml:space="preserve">United States Environmental Protection Agency. </w:t>
      </w:r>
      <w:r w:rsidRPr="00C1061F">
        <w:rPr>
          <w:i/>
        </w:rPr>
        <w:t xml:space="preserve">TRI Chemical List.  </w:t>
      </w:r>
      <w:r w:rsidRPr="00C1061F">
        <w:t xml:space="preserve">Retrieved November 23, 2015 from </w:t>
      </w:r>
      <w:hyperlink r:id="rId19" w:history="1">
        <w:r w:rsidRPr="00C1061F">
          <w:rPr>
            <w:rStyle w:val="Hyperlink"/>
          </w:rPr>
          <w:t>http://www2.epa.gov/toxics-release-inventory-tri-program/tri-listed-chemicals</w:t>
        </w:r>
      </w:hyperlink>
      <w:r w:rsidRPr="00C1061F">
        <w:t xml:space="preserve">  </w:t>
      </w:r>
    </w:p>
    <w:p w:rsidR="00091A64" w:rsidRPr="00C1061F" w:rsidRDefault="00091A64" w:rsidP="00091A64"/>
    <w:p w:rsidR="00091A64" w:rsidRDefault="00091A64">
      <w:pPr>
        <w:jc w:val="left"/>
        <w:rPr>
          <w:rFonts w:ascii="Palatino" w:hAnsi="Palatino"/>
          <w:b/>
          <w:color w:val="000000"/>
        </w:rPr>
      </w:pPr>
      <w:r>
        <w:rPr>
          <w:rFonts w:ascii="Palatino" w:hAnsi="Palatino"/>
          <w:b/>
          <w:color w:val="000000"/>
        </w:rPr>
        <w:br w:type="page"/>
      </w:r>
    </w:p>
    <w:p w:rsidR="00135D98" w:rsidRDefault="00135D98" w:rsidP="00C704B6">
      <w:pPr>
        <w:pStyle w:val="Heading1"/>
        <w:sectPr w:rsidR="00135D98" w:rsidSect="002644AC">
          <w:pgSz w:w="12240" w:h="15840" w:code="1"/>
          <w:pgMar w:top="720" w:right="1080" w:bottom="720" w:left="1440" w:header="720" w:footer="389" w:gutter="0"/>
          <w:cols w:space="720"/>
          <w:docGrid w:linePitch="360"/>
        </w:sectPr>
      </w:pPr>
    </w:p>
    <w:p w:rsidR="00091A64" w:rsidRDefault="00091A64" w:rsidP="00091A64">
      <w:pPr>
        <w:pStyle w:val="Heading1"/>
      </w:pPr>
      <w:bookmarkStart w:id="22" w:name="_Toc529258415"/>
      <w:bookmarkStart w:id="23" w:name="_Toc531360385"/>
      <w:r w:rsidRPr="00CD610B">
        <w:lastRenderedPageBreak/>
        <w:t>TECHNICAL APPENDIX A – TRI Reporting Thresholds</w:t>
      </w:r>
      <w:bookmarkEnd w:id="22"/>
      <w:bookmarkEnd w:id="23"/>
    </w:p>
    <w:p w:rsidR="00091A64" w:rsidRPr="00C1061F" w:rsidRDefault="00091A64" w:rsidP="00091A64">
      <w:pPr>
        <w:ind w:right="36"/>
        <w:rPr>
          <w:color w:val="000000"/>
        </w:rPr>
      </w:pPr>
    </w:p>
    <w:p w:rsidR="00091A64" w:rsidRPr="00C1061F" w:rsidRDefault="00091A64" w:rsidP="00091A64">
      <w:r w:rsidRPr="00C1061F">
        <w:t xml:space="preserve">Table A-1 lists the reporting thresholds for manufacture, process or otherwise use of a toxic chemical.  A TRI “Form R” is submitted when an activity causes the release of greater than or equal to the threshold amount of a toxic chemical.  For example, in 2009, Fermilab submitted a TRI “Form R” because &gt;10,000 pounds of copper (a toxic chemical) were “otherwise used.”  </w:t>
      </w:r>
    </w:p>
    <w:p w:rsidR="00091A64" w:rsidRPr="00C1061F" w:rsidRDefault="00091A64" w:rsidP="00091A64">
      <w:r w:rsidRPr="00C1061F">
        <w:t>Table A-1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091A64" w:rsidRPr="00C1061F" w:rsidTr="00321383">
        <w:tc>
          <w:tcPr>
            <w:tcW w:w="4428" w:type="dxa"/>
            <w:shd w:val="clear" w:color="auto" w:fill="7F7F7F"/>
          </w:tcPr>
          <w:p w:rsidR="00091A64" w:rsidRPr="00C1061F" w:rsidRDefault="00091A64" w:rsidP="00321383">
            <w:pPr>
              <w:rPr>
                <w:color w:val="FFFFFF"/>
              </w:rPr>
            </w:pPr>
            <w:r w:rsidRPr="00C1061F">
              <w:rPr>
                <w:color w:val="FFFFFF"/>
              </w:rPr>
              <w:t>Activity</w:t>
            </w:r>
          </w:p>
        </w:tc>
        <w:tc>
          <w:tcPr>
            <w:tcW w:w="4428" w:type="dxa"/>
            <w:shd w:val="clear" w:color="auto" w:fill="7F7F7F"/>
          </w:tcPr>
          <w:p w:rsidR="00091A64" w:rsidRPr="00C1061F" w:rsidRDefault="00091A64" w:rsidP="00321383">
            <w:pPr>
              <w:rPr>
                <w:color w:val="FFFFFF"/>
              </w:rPr>
            </w:pPr>
            <w:r w:rsidRPr="00C1061F">
              <w:rPr>
                <w:color w:val="FFFFFF"/>
              </w:rPr>
              <w:t>Reporting Threshold (pounds released)</w:t>
            </w:r>
          </w:p>
        </w:tc>
      </w:tr>
      <w:tr w:rsidR="00091A64" w:rsidRPr="00C1061F" w:rsidTr="00321383">
        <w:tc>
          <w:tcPr>
            <w:tcW w:w="4428" w:type="dxa"/>
          </w:tcPr>
          <w:p w:rsidR="00091A64" w:rsidRPr="00C1061F" w:rsidRDefault="00091A64" w:rsidP="00321383">
            <w:r w:rsidRPr="00C1061F">
              <w:t>Manufacture</w:t>
            </w:r>
          </w:p>
        </w:tc>
        <w:tc>
          <w:tcPr>
            <w:tcW w:w="4428" w:type="dxa"/>
          </w:tcPr>
          <w:p w:rsidR="00091A64" w:rsidRPr="00C1061F" w:rsidRDefault="00091A64" w:rsidP="00321383">
            <w:r w:rsidRPr="00C1061F">
              <w:t>25,000</w:t>
            </w:r>
          </w:p>
        </w:tc>
      </w:tr>
      <w:tr w:rsidR="00091A64" w:rsidRPr="00C1061F" w:rsidTr="00321383">
        <w:tc>
          <w:tcPr>
            <w:tcW w:w="4428" w:type="dxa"/>
          </w:tcPr>
          <w:p w:rsidR="00091A64" w:rsidRPr="00C1061F" w:rsidRDefault="00091A64" w:rsidP="00321383">
            <w:r w:rsidRPr="00C1061F">
              <w:t>Process</w:t>
            </w:r>
          </w:p>
        </w:tc>
        <w:tc>
          <w:tcPr>
            <w:tcW w:w="4428" w:type="dxa"/>
          </w:tcPr>
          <w:p w:rsidR="00091A64" w:rsidRPr="00C1061F" w:rsidRDefault="00091A64" w:rsidP="00321383">
            <w:r w:rsidRPr="00C1061F">
              <w:t>25,000</w:t>
            </w:r>
          </w:p>
        </w:tc>
      </w:tr>
      <w:tr w:rsidR="00091A64" w:rsidRPr="00C1061F" w:rsidTr="00321383">
        <w:tc>
          <w:tcPr>
            <w:tcW w:w="4428" w:type="dxa"/>
          </w:tcPr>
          <w:p w:rsidR="00091A64" w:rsidRPr="00C1061F" w:rsidRDefault="00091A64" w:rsidP="00321383">
            <w:r w:rsidRPr="00C1061F">
              <w:t>Otherwise Use</w:t>
            </w:r>
          </w:p>
        </w:tc>
        <w:tc>
          <w:tcPr>
            <w:tcW w:w="4428" w:type="dxa"/>
          </w:tcPr>
          <w:p w:rsidR="00091A64" w:rsidRPr="00C1061F" w:rsidRDefault="00091A64" w:rsidP="00321383">
            <w:r w:rsidRPr="00C1061F">
              <w:t>10,000</w:t>
            </w:r>
          </w:p>
        </w:tc>
      </w:tr>
    </w:tbl>
    <w:p w:rsidR="00091A64" w:rsidRPr="00C1061F" w:rsidRDefault="00091A64" w:rsidP="00091A64"/>
    <w:p w:rsidR="00091A64" w:rsidRPr="00C1061F" w:rsidRDefault="00091A64" w:rsidP="00091A64">
      <w:r w:rsidRPr="00C1061F">
        <w:t xml:space="preserve">Certain chemicals that are known to be very harmful to the environment and human health have much lower reporting thresholds.  These chemicals are known as PBT, Persistent, </w:t>
      </w:r>
      <w:r w:rsidR="00AA3C65" w:rsidRPr="00C1061F">
        <w:t>Bio cumulative</w:t>
      </w:r>
      <w:r w:rsidRPr="00C1061F">
        <w:t>, Toxic (see 40 CFR 372.28).  Table A-2 illustrates some common PBT chemicals that may be processed or otherwise used at Fermilab, and the associated reporting thresholds.</w:t>
      </w:r>
    </w:p>
    <w:p w:rsidR="00091A64" w:rsidRPr="00C1061F" w:rsidRDefault="00091A64" w:rsidP="00091A64"/>
    <w:p w:rsidR="00091A64" w:rsidRPr="00C1061F" w:rsidRDefault="00091A64" w:rsidP="00091A64">
      <w:r w:rsidRPr="00C1061F">
        <w:t xml:space="preserve">Table A-2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091A64" w:rsidRPr="00C1061F" w:rsidTr="00321383">
        <w:tc>
          <w:tcPr>
            <w:tcW w:w="4428" w:type="dxa"/>
            <w:shd w:val="clear" w:color="auto" w:fill="7F7F7F"/>
          </w:tcPr>
          <w:p w:rsidR="00091A64" w:rsidRPr="00C1061F" w:rsidRDefault="00091A64" w:rsidP="00321383">
            <w:pPr>
              <w:rPr>
                <w:color w:val="FFFFFF"/>
              </w:rPr>
            </w:pPr>
            <w:r w:rsidRPr="00C1061F">
              <w:rPr>
                <w:color w:val="FFFFFF"/>
              </w:rPr>
              <w:t>Chemical Name</w:t>
            </w:r>
          </w:p>
        </w:tc>
        <w:tc>
          <w:tcPr>
            <w:tcW w:w="4428" w:type="dxa"/>
            <w:shd w:val="clear" w:color="auto" w:fill="7F7F7F"/>
          </w:tcPr>
          <w:p w:rsidR="00091A64" w:rsidRPr="00C1061F" w:rsidRDefault="00091A64" w:rsidP="00321383">
            <w:pPr>
              <w:rPr>
                <w:color w:val="FFFFFF"/>
              </w:rPr>
            </w:pPr>
            <w:r w:rsidRPr="00C1061F">
              <w:rPr>
                <w:color w:val="FFFFFF"/>
              </w:rPr>
              <w:t>Reporting Threshold (pounds released)</w:t>
            </w:r>
          </w:p>
        </w:tc>
      </w:tr>
      <w:tr w:rsidR="00091A64" w:rsidRPr="00C1061F" w:rsidTr="00321383">
        <w:tc>
          <w:tcPr>
            <w:tcW w:w="4428" w:type="dxa"/>
          </w:tcPr>
          <w:p w:rsidR="00091A64" w:rsidRPr="00C1061F" w:rsidRDefault="00091A64" w:rsidP="00321383">
            <w:r w:rsidRPr="00C1061F">
              <w:t>Lead, Lead Compounds</w:t>
            </w:r>
          </w:p>
        </w:tc>
        <w:tc>
          <w:tcPr>
            <w:tcW w:w="4428" w:type="dxa"/>
          </w:tcPr>
          <w:p w:rsidR="00091A64" w:rsidRPr="00C1061F" w:rsidRDefault="00091A64" w:rsidP="00321383">
            <w:r w:rsidRPr="00C1061F">
              <w:t xml:space="preserve">100 </w:t>
            </w:r>
          </w:p>
        </w:tc>
      </w:tr>
      <w:tr w:rsidR="00091A64" w:rsidRPr="00C1061F" w:rsidTr="00321383">
        <w:tc>
          <w:tcPr>
            <w:tcW w:w="4428" w:type="dxa"/>
          </w:tcPr>
          <w:p w:rsidR="00091A64" w:rsidRPr="00C1061F" w:rsidRDefault="00091A64" w:rsidP="00321383">
            <w:r w:rsidRPr="00C1061F">
              <w:t>Polycyclic Aromatic Compounds</w:t>
            </w:r>
          </w:p>
        </w:tc>
        <w:tc>
          <w:tcPr>
            <w:tcW w:w="4428" w:type="dxa"/>
          </w:tcPr>
          <w:p w:rsidR="00091A64" w:rsidRPr="00C1061F" w:rsidRDefault="00091A64" w:rsidP="00321383">
            <w:r w:rsidRPr="00C1061F">
              <w:t>100</w:t>
            </w:r>
          </w:p>
        </w:tc>
      </w:tr>
      <w:tr w:rsidR="00091A64" w:rsidRPr="00C1061F" w:rsidTr="00321383">
        <w:tc>
          <w:tcPr>
            <w:tcW w:w="4428" w:type="dxa"/>
          </w:tcPr>
          <w:p w:rsidR="00091A64" w:rsidRPr="00C1061F" w:rsidRDefault="00091A64" w:rsidP="00321383">
            <w:r w:rsidRPr="00C1061F">
              <w:t>Mercury, Mercury Compounds</w:t>
            </w:r>
          </w:p>
        </w:tc>
        <w:tc>
          <w:tcPr>
            <w:tcW w:w="4428" w:type="dxa"/>
          </w:tcPr>
          <w:p w:rsidR="00091A64" w:rsidRPr="00C1061F" w:rsidRDefault="00091A64" w:rsidP="00321383">
            <w:r w:rsidRPr="00C1061F">
              <w:t>10</w:t>
            </w:r>
          </w:p>
        </w:tc>
      </w:tr>
      <w:tr w:rsidR="00091A64" w:rsidRPr="00C1061F" w:rsidTr="00321383">
        <w:tc>
          <w:tcPr>
            <w:tcW w:w="4428" w:type="dxa"/>
          </w:tcPr>
          <w:p w:rsidR="00091A64" w:rsidRPr="00C1061F" w:rsidRDefault="00091A64" w:rsidP="00321383">
            <w:r w:rsidRPr="00C1061F">
              <w:t>Polychlorinated Biphenyl</w:t>
            </w:r>
          </w:p>
        </w:tc>
        <w:tc>
          <w:tcPr>
            <w:tcW w:w="4428" w:type="dxa"/>
          </w:tcPr>
          <w:p w:rsidR="00091A64" w:rsidRPr="00C1061F" w:rsidRDefault="00091A64" w:rsidP="00321383">
            <w:r w:rsidRPr="00C1061F">
              <w:t>10</w:t>
            </w:r>
          </w:p>
        </w:tc>
      </w:tr>
    </w:tbl>
    <w:p w:rsidR="00091A64" w:rsidRPr="00C1061F" w:rsidRDefault="00091A64" w:rsidP="00091A64"/>
    <w:p w:rsidR="00091A64" w:rsidRPr="00C1061F" w:rsidRDefault="00091A64" w:rsidP="00091A64">
      <w:r w:rsidRPr="00C1061F">
        <w:t xml:space="preserve">The U.S. EPA updates the list of toxic chemicals for TRI reporting annually.  The list of toxic chemicals can be found here:  </w:t>
      </w:r>
      <w:hyperlink r:id="rId20" w:history="1">
        <w:r w:rsidRPr="00C1061F">
          <w:rPr>
            <w:rStyle w:val="Hyperlink"/>
          </w:rPr>
          <w:t>http://www2.epa.gov/toxics-release-inventory-tri-program/tri-listed-chemicals</w:t>
        </w:r>
      </w:hyperlink>
      <w:r>
        <w:rPr>
          <w:rStyle w:val="Hyperlink"/>
          <w:u w:val="none"/>
        </w:rPr>
        <w:t xml:space="preserve"> .</w:t>
      </w:r>
      <w:r w:rsidRPr="00C1061F">
        <w:t xml:space="preserve"> </w:t>
      </w:r>
    </w:p>
    <w:p w:rsidR="001A74A8" w:rsidRPr="00C02A84" w:rsidRDefault="001A74A8" w:rsidP="001A74A8">
      <w:pPr>
        <w:jc w:val="center"/>
      </w:pPr>
    </w:p>
    <w:sectPr w:rsidR="001A74A8" w:rsidRPr="00C02A84" w:rsidSect="002644AC">
      <w:headerReference w:type="even" r:id="rId21"/>
      <w:headerReference w:type="default" r:id="rId22"/>
      <w:footerReference w:type="default" r:id="rId23"/>
      <w:headerReference w:type="first" r:id="rId24"/>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550" w:rsidRDefault="009A0550" w:rsidP="00CB66DF">
      <w:r>
        <w:separator/>
      </w:r>
    </w:p>
  </w:endnote>
  <w:endnote w:type="continuationSeparator" w:id="0">
    <w:p w:rsidR="009A0550" w:rsidRDefault="009A055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B8" w:rsidRDefault="00B072B8" w:rsidP="002644AC">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997A6F">
      <w:rPr>
        <w:rFonts w:ascii="Palatino" w:hAnsi="Palatino"/>
        <w:sz w:val="18"/>
      </w:rPr>
      <w:t>804</w:t>
    </w:r>
    <w:r w:rsidR="00091A64">
      <w:rPr>
        <w:rFonts w:ascii="Palatino" w:hAnsi="Palatino"/>
        <w:sz w:val="18"/>
      </w:rPr>
      <w:t>3</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8A5C14">
      <w:rPr>
        <w:rFonts w:ascii="Palatino" w:hAnsi="Palatino"/>
        <w:noProof/>
        <w:sz w:val="18"/>
      </w:rPr>
      <w:t>1</w:t>
    </w:r>
    <w:r w:rsidR="00FF181A">
      <w:rPr>
        <w:rFonts w:ascii="Palatino" w:hAnsi="Palatino"/>
        <w:sz w:val="18"/>
      </w:rPr>
      <w:fldChar w:fldCharType="end"/>
    </w:r>
  </w:p>
  <w:p w:rsidR="00DB5D5A" w:rsidRPr="002644AC" w:rsidRDefault="00B072B8" w:rsidP="002644AC">
    <w:pPr>
      <w:pStyle w:val="Footer"/>
      <w:pBdr>
        <w:top w:val="single" w:sz="6" w:space="0" w:color="auto"/>
      </w:pBdr>
      <w:tabs>
        <w:tab w:val="clear" w:pos="9360"/>
        <w:tab w:val="right" w:pos="9720"/>
      </w:tabs>
      <w:rPr>
        <w:rStyle w:val="PageNumbe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AA3C65">
      <w:rPr>
        <w:sz w:val="18"/>
        <w:szCs w:val="18"/>
      </w:rPr>
      <w:t xml:space="preserve">Rev. </w:t>
    </w:r>
    <w:bookmarkStart w:id="0" w:name="_Hlk530047668"/>
    <w:r w:rsidR="002644AC">
      <w:rPr>
        <w:sz w:val="18"/>
        <w:szCs w:val="18"/>
      </w:rPr>
      <w:t>12</w:t>
    </w:r>
    <w:r w:rsidRPr="00A71082">
      <w:rPr>
        <w:sz w:val="18"/>
        <w:szCs w:val="18"/>
      </w:rPr>
      <w:t>/201</w:t>
    </w:r>
    <w:r w:rsidR="00AA3C65">
      <w:rPr>
        <w:sz w:val="18"/>
        <w:szCs w:val="18"/>
      </w:rPr>
      <w:t>8</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BB" w:rsidRDefault="009A05BB" w:rsidP="002644AC">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997A6F">
      <w:rPr>
        <w:rFonts w:ascii="Palatino" w:hAnsi="Palatino"/>
        <w:sz w:val="18"/>
      </w:rPr>
      <w:t>804</w:t>
    </w:r>
    <w:r>
      <w:rPr>
        <w:rFonts w:ascii="Palatino" w:hAnsi="Palatino"/>
        <w:sz w:val="18"/>
      </w:rPr>
      <w:t>3-</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8A5C14">
      <w:rPr>
        <w:rFonts w:ascii="Palatino" w:hAnsi="Palatino"/>
        <w:noProof/>
        <w:sz w:val="18"/>
      </w:rPr>
      <w:t>5</w:t>
    </w:r>
    <w:r>
      <w:rPr>
        <w:rFonts w:ascii="Palatino" w:hAnsi="Palatino"/>
        <w:sz w:val="18"/>
      </w:rPr>
      <w:fldChar w:fldCharType="end"/>
    </w:r>
  </w:p>
  <w:p w:rsidR="009A05BB" w:rsidRPr="002644AC" w:rsidRDefault="009A05BB" w:rsidP="002644AC">
    <w:pPr>
      <w:pStyle w:val="Footer"/>
      <w:pBdr>
        <w:top w:val="single" w:sz="6" w:space="0" w:color="auto"/>
      </w:pBdr>
      <w:tabs>
        <w:tab w:val="clear" w:pos="9360"/>
        <w:tab w:val="right" w:pos="9720"/>
      </w:tabs>
      <w:rPr>
        <w:rStyle w:val="PageNumbe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AA3C65">
      <w:rPr>
        <w:sz w:val="18"/>
        <w:szCs w:val="18"/>
      </w:rPr>
      <w:t xml:space="preserve">Rev. </w:t>
    </w:r>
    <w:r w:rsidR="002644AC">
      <w:rPr>
        <w:sz w:val="18"/>
        <w:szCs w:val="18"/>
      </w:rPr>
      <w:t>12</w:t>
    </w:r>
    <w:r w:rsidR="00944127" w:rsidRPr="00A71082">
      <w:rPr>
        <w:sz w:val="18"/>
        <w:szCs w:val="18"/>
      </w:rPr>
      <w:t>/201</w:t>
    </w:r>
    <w:r w:rsidR="00944127">
      <w:rPr>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B8" w:rsidRDefault="00B072B8" w:rsidP="002644AC">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573650">
      <w:rPr>
        <w:rFonts w:ascii="Palatino" w:hAnsi="Palatino"/>
        <w:sz w:val="18"/>
      </w:rPr>
      <w:t>80</w:t>
    </w:r>
    <w:r w:rsidR="00997A6F">
      <w:rPr>
        <w:rFonts w:ascii="Palatino" w:hAnsi="Palatino"/>
        <w:sz w:val="18"/>
      </w:rPr>
      <w:t>4</w:t>
    </w:r>
    <w:r w:rsidR="00573650">
      <w:rPr>
        <w:rFonts w:ascii="Palatino" w:hAnsi="Palatino"/>
        <w:sz w:val="18"/>
      </w:rPr>
      <w:t>3</w:t>
    </w:r>
    <w:r>
      <w:rPr>
        <w:rFonts w:ascii="Palatino" w:hAnsi="Palatino"/>
        <w:sz w:val="18"/>
      </w:rPr>
      <w:t>TA-</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8A5C14">
      <w:rPr>
        <w:rFonts w:ascii="Palatino" w:hAnsi="Palatino"/>
        <w:noProof/>
        <w:sz w:val="18"/>
      </w:rPr>
      <w:t>6</w:t>
    </w:r>
    <w:r w:rsidR="00FF181A">
      <w:rPr>
        <w:rFonts w:ascii="Palatino" w:hAnsi="Palatino"/>
        <w:sz w:val="18"/>
      </w:rPr>
      <w:fldChar w:fldCharType="end"/>
    </w:r>
  </w:p>
  <w:p w:rsidR="00F14B58" w:rsidRPr="002644AC" w:rsidRDefault="00B072B8" w:rsidP="002644AC">
    <w:pPr>
      <w:pStyle w:val="Footer"/>
      <w:pBdr>
        <w:top w:val="single" w:sz="6" w:space="0" w:color="auto"/>
      </w:pBdr>
      <w:tabs>
        <w:tab w:val="clear" w:pos="9360"/>
        <w:tab w:val="right" w:pos="9720"/>
      </w:tabs>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880F07">
      <w:rPr>
        <w:rFonts w:ascii="Palatino" w:hAnsi="Palatino"/>
        <w:i/>
        <w:sz w:val="18"/>
      </w:rPr>
      <w:t>&amp;Q</w:t>
    </w:r>
    <w:r w:rsidRPr="00320751">
      <w:rPr>
        <w:rFonts w:ascii="Palatino" w:hAnsi="Palatino"/>
        <w:i/>
        <w:sz w:val="18"/>
      </w:rPr>
      <w:t xml:space="preserve"> Section website.</w:t>
    </w:r>
    <w:r>
      <w:rPr>
        <w:rFonts w:ascii="Palatino" w:hAnsi="Palatino"/>
        <w:sz w:val="18"/>
      </w:rPr>
      <w:tab/>
    </w:r>
    <w:r w:rsidR="00AA3C65">
      <w:rPr>
        <w:sz w:val="18"/>
        <w:szCs w:val="18"/>
      </w:rPr>
      <w:t xml:space="preserve">Rev. </w:t>
    </w:r>
    <w:r w:rsidR="002644AC">
      <w:rPr>
        <w:sz w:val="18"/>
        <w:szCs w:val="18"/>
      </w:rPr>
      <w:t>12</w:t>
    </w:r>
    <w:r w:rsidR="00944127" w:rsidRPr="00A71082">
      <w:rPr>
        <w:sz w:val="18"/>
        <w:szCs w:val="18"/>
      </w:rPr>
      <w:t>/201</w:t>
    </w:r>
    <w:r w:rsidR="00944127">
      <w:rPr>
        <w:sz w:val="18"/>
        <w:szCs w:val="18"/>
      </w:rPr>
      <w:t>8</w:t>
    </w:r>
    <w:r w:rsidR="00944127" w:rsidRPr="00A71082">
      <w:rPr>
        <w:rFonts w:ascii="Palatino" w:hAnsi="Palatino"/>
        <w:sz w:val="18"/>
        <w:szCs w:val="18"/>
      </w:rPr>
      <w:t xml:space="preserve"> </w:t>
    </w:r>
    <w:r w:rsidR="002644AC">
      <w:rPr>
        <w:rFonts w:ascii="Palatino" w:hAnsi="Palati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550" w:rsidRDefault="009A0550" w:rsidP="00CB66DF">
      <w:r>
        <w:separator/>
      </w:r>
    </w:p>
  </w:footnote>
  <w:footnote w:type="continuationSeparator" w:id="0">
    <w:p w:rsidR="009A0550" w:rsidRDefault="009A055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276DEB" w:rsidRPr="00423E3B" w:rsidTr="00276DEB">
      <w:trPr>
        <w:trHeight w:val="611"/>
      </w:trPr>
      <w:tc>
        <w:tcPr>
          <w:tcW w:w="1490" w:type="dxa"/>
        </w:tcPr>
        <w:p w:rsidR="00276DEB" w:rsidRDefault="00276DEB" w:rsidP="003B3F6D">
          <w:r w:rsidRPr="00684839">
            <w:rPr>
              <w:noProof/>
            </w:rPr>
            <w:drawing>
              <wp:anchor distT="0" distB="0" distL="114300" distR="114300" simplePos="0" relativeHeight="251657728" behindDoc="0" locked="0" layoutInCell="1" allowOverlap="0" wp14:anchorId="2B65B8A3" wp14:editId="78690593">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276DEB" w:rsidRDefault="00276DEB" w:rsidP="003B3F6D">
          <w:pPr>
            <w:jc w:val="center"/>
          </w:pPr>
          <w:r>
            <w:t>ES&amp;H Manual</w:t>
          </w:r>
        </w:p>
      </w:tc>
      <w:tc>
        <w:tcPr>
          <w:tcW w:w="3188" w:type="dxa"/>
          <w:vAlign w:val="center"/>
        </w:tcPr>
        <w:p w:rsidR="00091A64" w:rsidRPr="00423E3B" w:rsidRDefault="00997A6F" w:rsidP="00091A64">
          <w:pPr>
            <w:jc w:val="center"/>
          </w:pPr>
          <w:r>
            <w:t>FESHM 804</w:t>
          </w:r>
          <w:r w:rsidR="00091A64">
            <w:t>3</w:t>
          </w:r>
        </w:p>
        <w:p w:rsidR="00276DEB" w:rsidRPr="00423E3B" w:rsidRDefault="002644AC" w:rsidP="00091A64">
          <w:pPr>
            <w:jc w:val="center"/>
          </w:pPr>
          <w:r>
            <w:t>Dec</w:t>
          </w:r>
          <w:r w:rsidR="00CC0366">
            <w:t xml:space="preserve">ember </w:t>
          </w:r>
          <w:r w:rsidR="00AA3C65">
            <w:t>2018</w:t>
          </w:r>
        </w:p>
      </w:tc>
    </w:tr>
  </w:tbl>
  <w:p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60" w:rsidRDefault="00F32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880F07" w:rsidRPr="00423E3B" w:rsidTr="00276DEB">
      <w:trPr>
        <w:trHeight w:val="611"/>
      </w:trPr>
      <w:tc>
        <w:tcPr>
          <w:tcW w:w="1490" w:type="dxa"/>
        </w:tcPr>
        <w:p w:rsidR="00880F07" w:rsidRDefault="00880F07" w:rsidP="003B3F6D">
          <w:r w:rsidRPr="00684839">
            <w:rPr>
              <w:noProof/>
            </w:rPr>
            <w:drawing>
              <wp:anchor distT="0" distB="0" distL="114300" distR="114300" simplePos="0" relativeHeight="251659776" behindDoc="0" locked="0" layoutInCell="1" allowOverlap="0" wp14:anchorId="7007D9BA" wp14:editId="7838A230">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880F07" w:rsidRDefault="00880F07" w:rsidP="003B3F6D">
          <w:pPr>
            <w:jc w:val="center"/>
          </w:pPr>
          <w:r>
            <w:t>ES&amp;H Manual</w:t>
          </w:r>
        </w:p>
      </w:tc>
      <w:tc>
        <w:tcPr>
          <w:tcW w:w="3188" w:type="dxa"/>
          <w:vAlign w:val="center"/>
        </w:tcPr>
        <w:p w:rsidR="00091A64" w:rsidRPr="00423E3B" w:rsidRDefault="00997A6F" w:rsidP="00091A64">
          <w:pPr>
            <w:jc w:val="center"/>
          </w:pPr>
          <w:r>
            <w:t>FESHM 804</w:t>
          </w:r>
          <w:r w:rsidR="00091A64">
            <w:t>3</w:t>
          </w:r>
        </w:p>
        <w:p w:rsidR="00880F07" w:rsidRPr="00423E3B" w:rsidRDefault="002644AC" w:rsidP="00091A64">
          <w:pPr>
            <w:jc w:val="center"/>
          </w:pPr>
          <w:r>
            <w:t>Dec</w:t>
          </w:r>
          <w:r w:rsidR="00E554CD">
            <w:t xml:space="preserve">ember </w:t>
          </w:r>
          <w:r w:rsidR="006700E6">
            <w:t>2018</w:t>
          </w:r>
        </w:p>
      </w:tc>
    </w:tr>
  </w:tbl>
  <w:p w:rsidR="00880F07" w:rsidRDefault="00880F07"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60" w:rsidRDefault="00F32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60" w:rsidRDefault="00F32B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rsidTr="00821B8A">
      <w:trPr>
        <w:trHeight w:val="611"/>
      </w:trPr>
      <w:tc>
        <w:tcPr>
          <w:tcW w:w="2676" w:type="dxa"/>
        </w:tcPr>
        <w:p w:rsidR="00821B8A" w:rsidRDefault="00821B8A" w:rsidP="00821B8A">
          <w:r w:rsidRPr="00684839">
            <w:rPr>
              <w:noProof/>
            </w:rPr>
            <w:drawing>
              <wp:anchor distT="0" distB="0" distL="114300" distR="114300" simplePos="0" relativeHeight="251661824" behindDoc="0" locked="0" layoutInCell="1" allowOverlap="0" wp14:anchorId="2FB301C0" wp14:editId="0156F566">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rsidR="00821B8A" w:rsidRDefault="00821B8A" w:rsidP="00821B8A">
          <w:pPr>
            <w:jc w:val="center"/>
          </w:pPr>
          <w:r>
            <w:t>ES&amp;H Manual</w:t>
          </w:r>
        </w:p>
      </w:tc>
      <w:tc>
        <w:tcPr>
          <w:tcW w:w="2736" w:type="dxa"/>
          <w:vAlign w:val="center"/>
        </w:tcPr>
        <w:p w:rsidR="00821B8A" w:rsidRPr="00423E3B" w:rsidRDefault="00997A6F" w:rsidP="00821B8A">
          <w:pPr>
            <w:jc w:val="center"/>
          </w:pPr>
          <w:r>
            <w:t>FESHM 804</w:t>
          </w:r>
          <w:r w:rsidR="009A05BB">
            <w:t>3</w:t>
          </w:r>
          <w:r w:rsidR="00821B8A">
            <w:t>TA</w:t>
          </w:r>
        </w:p>
        <w:p w:rsidR="00821B8A" w:rsidRPr="00423E3B" w:rsidRDefault="002644AC" w:rsidP="00821B8A">
          <w:pPr>
            <w:jc w:val="center"/>
          </w:pPr>
          <w:r>
            <w:t>Dec</w:t>
          </w:r>
          <w:r w:rsidR="00944127">
            <w:t>ember 2018</w:t>
          </w:r>
        </w:p>
      </w:tc>
    </w:tr>
  </w:tbl>
  <w:p w:rsidR="00F14B58" w:rsidRDefault="00F14B58"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60" w:rsidRDefault="00F3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92C8C"/>
    <w:multiLevelType w:val="hybridMultilevel"/>
    <w:tmpl w:val="7436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C5B0B"/>
    <w:multiLevelType w:val="multilevel"/>
    <w:tmpl w:val="50C29FBA"/>
    <w:lvl w:ilvl="0">
      <w:start w:val="3"/>
      <w:numFmt w:val="decimal"/>
      <w:lvlText w:val="%1"/>
      <w:lvlJc w:val="left"/>
      <w:pPr>
        <w:ind w:left="360" w:hanging="360"/>
      </w:pPr>
      <w:rPr>
        <w:rFonts w:ascii="Times New Roman Bold" w:hAnsi="Times New Roman Bold" w:hint="default"/>
        <w:u w:val="single"/>
      </w:rPr>
    </w:lvl>
    <w:lvl w:ilvl="1">
      <w:start w:val="2"/>
      <w:numFmt w:val="decimal"/>
      <w:lvlText w:val="%1.%2"/>
      <w:lvlJc w:val="left"/>
      <w:pPr>
        <w:ind w:left="990" w:hanging="360"/>
      </w:pPr>
      <w:rPr>
        <w:rFonts w:ascii="Times New Roman Bold" w:hAnsi="Times New Roman Bold" w:hint="default"/>
        <w:u w:val="none"/>
      </w:rPr>
    </w:lvl>
    <w:lvl w:ilvl="2">
      <w:start w:val="1"/>
      <w:numFmt w:val="decimal"/>
      <w:lvlText w:val="%1.%2.%3"/>
      <w:lvlJc w:val="left"/>
      <w:pPr>
        <w:ind w:left="1980" w:hanging="720"/>
      </w:pPr>
      <w:rPr>
        <w:rFonts w:ascii="Times New Roman Bold" w:hAnsi="Times New Roman Bold" w:hint="default"/>
        <w:u w:val="single"/>
      </w:rPr>
    </w:lvl>
    <w:lvl w:ilvl="3">
      <w:start w:val="1"/>
      <w:numFmt w:val="decimal"/>
      <w:lvlText w:val="%1.%2.%3.%4"/>
      <w:lvlJc w:val="left"/>
      <w:pPr>
        <w:ind w:left="2970" w:hanging="1080"/>
      </w:pPr>
      <w:rPr>
        <w:rFonts w:ascii="Times New Roman Bold" w:hAnsi="Times New Roman Bold" w:hint="default"/>
        <w:u w:val="single"/>
      </w:rPr>
    </w:lvl>
    <w:lvl w:ilvl="4">
      <w:start w:val="1"/>
      <w:numFmt w:val="decimal"/>
      <w:lvlText w:val="%1.%2.%3.%4.%5"/>
      <w:lvlJc w:val="left"/>
      <w:pPr>
        <w:ind w:left="3600" w:hanging="1080"/>
      </w:pPr>
      <w:rPr>
        <w:rFonts w:ascii="Times New Roman Bold" w:hAnsi="Times New Roman Bold" w:hint="default"/>
        <w:u w:val="single"/>
      </w:rPr>
    </w:lvl>
    <w:lvl w:ilvl="5">
      <w:start w:val="1"/>
      <w:numFmt w:val="decimal"/>
      <w:lvlText w:val="%1.%2.%3.%4.%5.%6"/>
      <w:lvlJc w:val="left"/>
      <w:pPr>
        <w:ind w:left="4590" w:hanging="1440"/>
      </w:pPr>
      <w:rPr>
        <w:rFonts w:ascii="Times New Roman Bold" w:hAnsi="Times New Roman Bold" w:hint="default"/>
        <w:u w:val="single"/>
      </w:rPr>
    </w:lvl>
    <w:lvl w:ilvl="6">
      <w:start w:val="1"/>
      <w:numFmt w:val="decimal"/>
      <w:lvlText w:val="%1.%2.%3.%4.%5.%6.%7"/>
      <w:lvlJc w:val="left"/>
      <w:pPr>
        <w:ind w:left="5220" w:hanging="1440"/>
      </w:pPr>
      <w:rPr>
        <w:rFonts w:ascii="Times New Roman Bold" w:hAnsi="Times New Roman Bold" w:hint="default"/>
        <w:u w:val="single"/>
      </w:rPr>
    </w:lvl>
    <w:lvl w:ilvl="7">
      <w:start w:val="1"/>
      <w:numFmt w:val="decimal"/>
      <w:lvlText w:val="%1.%2.%3.%4.%5.%6.%7.%8"/>
      <w:lvlJc w:val="left"/>
      <w:pPr>
        <w:ind w:left="6210" w:hanging="1800"/>
      </w:pPr>
      <w:rPr>
        <w:rFonts w:ascii="Times New Roman Bold" w:hAnsi="Times New Roman Bold" w:hint="default"/>
        <w:u w:val="single"/>
      </w:rPr>
    </w:lvl>
    <w:lvl w:ilvl="8">
      <w:start w:val="1"/>
      <w:numFmt w:val="decimal"/>
      <w:lvlText w:val="%1.%2.%3.%4.%5.%6.%7.%8.%9"/>
      <w:lvlJc w:val="left"/>
      <w:pPr>
        <w:ind w:left="7200" w:hanging="2160"/>
      </w:pPr>
      <w:rPr>
        <w:rFonts w:ascii="Times New Roman Bold" w:hAnsi="Times New Roman Bold" w:hint="default"/>
        <w:u w:val="single"/>
      </w:rPr>
    </w:lvl>
  </w:abstractNum>
  <w:abstractNum w:abstractNumId="4"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E0B9A"/>
    <w:multiLevelType w:val="multilevel"/>
    <w:tmpl w:val="683C33B2"/>
    <w:lvl w:ilvl="0">
      <w:start w:val="1"/>
      <w:numFmt w:val="bullet"/>
      <w:lvlText w:val=""/>
      <w:lvlJc w:val="left"/>
      <w:pPr>
        <w:ind w:left="72" w:hanging="72"/>
      </w:pPr>
      <w:rPr>
        <w:rFonts w:ascii="Symbol" w:hAnsi="Symbol" w:hint="default"/>
        <w:b/>
        <w:i w:val="0"/>
        <w:color w:val="auto"/>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D26BE5"/>
    <w:multiLevelType w:val="multilevel"/>
    <w:tmpl w:val="E5F47D6C"/>
    <w:lvl w:ilvl="0">
      <w:start w:val="1"/>
      <w:numFmt w:val="decimal"/>
      <w:lvlText w:val="%1.0"/>
      <w:lvlJc w:val="left"/>
      <w:pPr>
        <w:ind w:left="72" w:hanging="72"/>
      </w:pPr>
      <w:rPr>
        <w:rFonts w:ascii="Times New Roman Bold" w:hAnsi="Times New Roman Bold" w:hint="default"/>
        <w:b/>
        <w:i w:val="0"/>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780783"/>
    <w:multiLevelType w:val="hybridMultilevel"/>
    <w:tmpl w:val="A650EB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447E8"/>
    <w:multiLevelType w:val="hybridMultilevel"/>
    <w:tmpl w:val="DD3E1F56"/>
    <w:lvl w:ilvl="0" w:tplc="95BE174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F7ECE"/>
    <w:multiLevelType w:val="hybridMultilevel"/>
    <w:tmpl w:val="A7527456"/>
    <w:lvl w:ilvl="0" w:tplc="53681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35B1F"/>
    <w:multiLevelType w:val="multilevel"/>
    <w:tmpl w:val="58E6C468"/>
    <w:styleLink w:val="Style2"/>
    <w:lvl w:ilvl="0">
      <w:start w:val="3"/>
      <w:numFmt w:val="decimal"/>
      <w:lvlText w:val="%1.3"/>
      <w:lvlJc w:val="left"/>
      <w:pPr>
        <w:ind w:left="1080" w:hanging="360"/>
      </w:pPr>
      <w:rPr>
        <w:rFonts w:ascii="Times New Roman Bold" w:hAnsi="Times New Roman Bold" w:hint="default"/>
        <w:b/>
        <w:i w:val="0"/>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2F551315"/>
    <w:multiLevelType w:val="hybridMultilevel"/>
    <w:tmpl w:val="96606E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18C7759"/>
    <w:multiLevelType w:val="hybridMultilevel"/>
    <w:tmpl w:val="D36EBE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860A5"/>
    <w:multiLevelType w:val="hybridMultilevel"/>
    <w:tmpl w:val="C818D3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72D0917"/>
    <w:multiLevelType w:val="multilevel"/>
    <w:tmpl w:val="C24EA372"/>
    <w:lvl w:ilvl="0">
      <w:start w:val="1"/>
      <w:numFmt w:val="decimal"/>
      <w:lvlText w:val="%1.0"/>
      <w:lvlJc w:val="left"/>
      <w:pPr>
        <w:ind w:left="72" w:hanging="72"/>
      </w:pPr>
      <w:rPr>
        <w:rFonts w:ascii="Times New Roman Bold" w:hAnsi="Times New Roman Bold" w:hint="default"/>
        <w:b/>
        <w:i w:val="0"/>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4820E9"/>
    <w:multiLevelType w:val="multilevel"/>
    <w:tmpl w:val="58E6C468"/>
    <w:numStyleLink w:val="Style2"/>
  </w:abstractNum>
  <w:abstractNum w:abstractNumId="17" w15:restartNumberingAfterBreak="0">
    <w:nsid w:val="3F2957B9"/>
    <w:multiLevelType w:val="multilevel"/>
    <w:tmpl w:val="58E6C468"/>
    <w:numStyleLink w:val="Style2"/>
  </w:abstractNum>
  <w:abstractNum w:abstractNumId="18" w15:restartNumberingAfterBreak="0">
    <w:nsid w:val="426012D9"/>
    <w:multiLevelType w:val="multilevel"/>
    <w:tmpl w:val="0730154A"/>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684"/>
        </w:tabs>
        <w:ind w:left="68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7606913"/>
    <w:multiLevelType w:val="hybridMultilevel"/>
    <w:tmpl w:val="7644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E5103"/>
    <w:multiLevelType w:val="multilevel"/>
    <w:tmpl w:val="67BABAE2"/>
    <w:lvl w:ilvl="0">
      <w:start w:val="1"/>
      <w:numFmt w:val="bullet"/>
      <w:lvlText w:val=""/>
      <w:lvlJc w:val="left"/>
      <w:pPr>
        <w:ind w:left="72" w:hanging="72"/>
      </w:pPr>
      <w:rPr>
        <w:rFonts w:ascii="Symbol" w:hAnsi="Symbol" w:hint="default"/>
        <w:b w:val="0"/>
        <w:i w:val="0"/>
        <w:color w:val="auto"/>
        <w:sz w:val="24"/>
        <w:szCs w:val="24"/>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C949FD"/>
    <w:multiLevelType w:val="multilevel"/>
    <w:tmpl w:val="8604C57A"/>
    <w:lvl w:ilvl="0">
      <w:start w:val="1"/>
      <w:numFmt w:val="decimal"/>
      <w:lvlText w:val="%1.0"/>
      <w:lvlJc w:val="left"/>
      <w:pPr>
        <w:ind w:left="72" w:hanging="72"/>
      </w:pPr>
      <w:rPr>
        <w:rFonts w:ascii="Times New Roman Bold" w:hAnsi="Times New Roman Bold" w:hint="default"/>
        <w:b/>
        <w:i w:val="0"/>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9E605F"/>
    <w:multiLevelType w:val="multilevel"/>
    <w:tmpl w:val="CEAAC9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A82053D"/>
    <w:multiLevelType w:val="hybridMultilevel"/>
    <w:tmpl w:val="1BF4A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65C4F"/>
    <w:multiLevelType w:val="multilevel"/>
    <w:tmpl w:val="0E56709A"/>
    <w:lvl w:ilvl="0">
      <w:start w:val="1"/>
      <w:numFmt w:val="bullet"/>
      <w:lvlText w:val=""/>
      <w:lvlJc w:val="left"/>
      <w:pPr>
        <w:ind w:left="72" w:hanging="72"/>
      </w:pPr>
      <w:rPr>
        <w:rFonts w:ascii="Symbol" w:hAnsi="Symbol" w:hint="default"/>
        <w:b/>
        <w:i w:val="0"/>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D30A3F"/>
    <w:multiLevelType w:val="multilevel"/>
    <w:tmpl w:val="79F64AB4"/>
    <w:lvl w:ilvl="0">
      <w:start w:val="1"/>
      <w:numFmt w:val="bullet"/>
      <w:lvlText w:val=""/>
      <w:lvlJc w:val="left"/>
      <w:pPr>
        <w:ind w:left="72" w:hanging="72"/>
      </w:pPr>
      <w:rPr>
        <w:rFonts w:ascii="Symbol" w:hAnsi="Symbol" w:hint="default"/>
        <w:b/>
        <w:i w:val="0"/>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662038B"/>
    <w:multiLevelType w:val="hybridMultilevel"/>
    <w:tmpl w:val="A3DEE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1" w15:restartNumberingAfterBreak="0">
    <w:nsid w:val="740F44EE"/>
    <w:multiLevelType w:val="multilevel"/>
    <w:tmpl w:val="5192C0CA"/>
    <w:lvl w:ilvl="0">
      <w:start w:val="1"/>
      <w:numFmt w:val="bullet"/>
      <w:lvlText w:val=""/>
      <w:lvlJc w:val="left"/>
      <w:pPr>
        <w:ind w:left="72" w:hanging="72"/>
      </w:pPr>
      <w:rPr>
        <w:rFonts w:ascii="Symbol" w:hAnsi="Symbol" w:hint="default"/>
        <w:b/>
        <w:i w:val="0"/>
        <w:color w:val="auto"/>
        <w:sz w:val="28"/>
      </w:rPr>
    </w:lvl>
    <w:lvl w:ilvl="1">
      <w:start w:val="1"/>
      <w:numFmt w:val="bullet"/>
      <w:lvlText w:val=""/>
      <w:lvlJc w:val="left"/>
      <w:pPr>
        <w:tabs>
          <w:tab w:val="num" w:pos="684"/>
        </w:tabs>
        <w:ind w:left="684" w:hanging="504"/>
      </w:pPr>
      <w:rPr>
        <w:rFonts w:ascii="Symbol" w:hAnsi="Symbol"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20"/>
  </w:num>
  <w:num w:numId="3">
    <w:abstractNumId w:val="19"/>
  </w:num>
  <w:num w:numId="4">
    <w:abstractNumId w:val="7"/>
  </w:num>
  <w:num w:numId="5">
    <w:abstractNumId w:val="23"/>
  </w:num>
  <w:num w:numId="6">
    <w:abstractNumId w:val="1"/>
  </w:num>
  <w:num w:numId="7">
    <w:abstractNumId w:val="0"/>
  </w:num>
  <w:num w:numId="8">
    <w:abstractNumId w:val="18"/>
  </w:num>
  <w:num w:numId="9">
    <w:abstractNumId w:val="4"/>
  </w:num>
  <w:num w:numId="10">
    <w:abstractNumId w:val="14"/>
  </w:num>
  <w:num w:numId="11">
    <w:abstractNumId w:val="29"/>
  </w:num>
  <w:num w:numId="12">
    <w:abstractNumId w:val="8"/>
  </w:num>
  <w:num w:numId="13">
    <w:abstractNumId w:val="21"/>
  </w:num>
  <w:num w:numId="14">
    <w:abstractNumId w:val="26"/>
  </w:num>
  <w:num w:numId="15">
    <w:abstractNumId w:val="12"/>
  </w:num>
  <w:num w:numId="16">
    <w:abstractNumId w:val="16"/>
  </w:num>
  <w:num w:numId="17">
    <w:abstractNumId w:val="13"/>
  </w:num>
  <w:num w:numId="18">
    <w:abstractNumId w:val="11"/>
  </w:num>
  <w:num w:numId="19">
    <w:abstractNumId w:val="17"/>
  </w:num>
  <w:num w:numId="20">
    <w:abstractNumId w:val="18"/>
    <w:lvlOverride w:ilvl="0">
      <w:startOverride w:val="3"/>
    </w:lvlOverride>
    <w:lvlOverride w:ilvl="1">
      <w:startOverride w:val="4"/>
    </w:lvlOverride>
  </w:num>
  <w:num w:numId="21">
    <w:abstractNumId w:val="24"/>
  </w:num>
  <w:num w:numId="22">
    <w:abstractNumId w:val="15"/>
  </w:num>
  <w:num w:numId="23">
    <w:abstractNumId w:val="2"/>
  </w:num>
  <w:num w:numId="24">
    <w:abstractNumId w:val="6"/>
  </w:num>
  <w:num w:numId="25">
    <w:abstractNumId w:val="28"/>
  </w:num>
  <w:num w:numId="26">
    <w:abstractNumId w:val="27"/>
  </w:num>
  <w:num w:numId="27">
    <w:abstractNumId w:val="31"/>
  </w:num>
  <w:num w:numId="28">
    <w:abstractNumId w:val="5"/>
  </w:num>
  <w:num w:numId="29">
    <w:abstractNumId w:val="3"/>
  </w:num>
  <w:num w:numId="30">
    <w:abstractNumId w:val="22"/>
  </w:num>
  <w:num w:numId="31">
    <w:abstractNumId w:val="9"/>
  </w:num>
  <w:num w:numId="32">
    <w:abstractNumId w:val="10"/>
  </w:num>
  <w:num w:numId="33">
    <w:abstractNumId w:val="25"/>
  </w:num>
  <w:num w:numId="3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1A64"/>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2252"/>
    <w:rsid w:val="000C4FB0"/>
    <w:rsid w:val="000C5636"/>
    <w:rsid w:val="000C6331"/>
    <w:rsid w:val="000C646D"/>
    <w:rsid w:val="000C71AD"/>
    <w:rsid w:val="000C7994"/>
    <w:rsid w:val="000D046F"/>
    <w:rsid w:val="000D19A3"/>
    <w:rsid w:val="000D30D7"/>
    <w:rsid w:val="000D4910"/>
    <w:rsid w:val="000D7FF2"/>
    <w:rsid w:val="000E2AF0"/>
    <w:rsid w:val="000E6943"/>
    <w:rsid w:val="000F73F8"/>
    <w:rsid w:val="00100751"/>
    <w:rsid w:val="001018F5"/>
    <w:rsid w:val="00102003"/>
    <w:rsid w:val="0010257B"/>
    <w:rsid w:val="001033FA"/>
    <w:rsid w:val="001034A8"/>
    <w:rsid w:val="001043B8"/>
    <w:rsid w:val="00111D51"/>
    <w:rsid w:val="00112583"/>
    <w:rsid w:val="00112AE3"/>
    <w:rsid w:val="00113419"/>
    <w:rsid w:val="001160E1"/>
    <w:rsid w:val="00120D90"/>
    <w:rsid w:val="00121965"/>
    <w:rsid w:val="00123432"/>
    <w:rsid w:val="00124813"/>
    <w:rsid w:val="00126FDF"/>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56791"/>
    <w:rsid w:val="001638A8"/>
    <w:rsid w:val="00164020"/>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5EF"/>
    <w:rsid w:val="00196CE0"/>
    <w:rsid w:val="001A2707"/>
    <w:rsid w:val="001A2CF3"/>
    <w:rsid w:val="001A2D45"/>
    <w:rsid w:val="001A3403"/>
    <w:rsid w:val="001A3CA8"/>
    <w:rsid w:val="001A74A8"/>
    <w:rsid w:val="001B33CF"/>
    <w:rsid w:val="001B5668"/>
    <w:rsid w:val="001B623B"/>
    <w:rsid w:val="001B6A20"/>
    <w:rsid w:val="001C1503"/>
    <w:rsid w:val="001C167C"/>
    <w:rsid w:val="001D4317"/>
    <w:rsid w:val="001D435E"/>
    <w:rsid w:val="001D6282"/>
    <w:rsid w:val="001D7801"/>
    <w:rsid w:val="001E1D0C"/>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2DED"/>
    <w:rsid w:val="002441F5"/>
    <w:rsid w:val="0024447E"/>
    <w:rsid w:val="00244E31"/>
    <w:rsid w:val="002452C2"/>
    <w:rsid w:val="002537CB"/>
    <w:rsid w:val="00256813"/>
    <w:rsid w:val="00257F0B"/>
    <w:rsid w:val="00263F3B"/>
    <w:rsid w:val="002644AC"/>
    <w:rsid w:val="00265ED9"/>
    <w:rsid w:val="00266C7B"/>
    <w:rsid w:val="00267A46"/>
    <w:rsid w:val="0027397C"/>
    <w:rsid w:val="0027613C"/>
    <w:rsid w:val="00276AB1"/>
    <w:rsid w:val="00276DEB"/>
    <w:rsid w:val="00277606"/>
    <w:rsid w:val="0028562B"/>
    <w:rsid w:val="00285A6D"/>
    <w:rsid w:val="00285CFC"/>
    <w:rsid w:val="002900AF"/>
    <w:rsid w:val="00295187"/>
    <w:rsid w:val="00295D6F"/>
    <w:rsid w:val="0029668C"/>
    <w:rsid w:val="002A0B27"/>
    <w:rsid w:val="002A2141"/>
    <w:rsid w:val="002A46BD"/>
    <w:rsid w:val="002A6EDC"/>
    <w:rsid w:val="002A71D3"/>
    <w:rsid w:val="002B0041"/>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077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1748"/>
    <w:rsid w:val="00352848"/>
    <w:rsid w:val="003559A3"/>
    <w:rsid w:val="00355F6A"/>
    <w:rsid w:val="00361AC4"/>
    <w:rsid w:val="00365CB6"/>
    <w:rsid w:val="00366ED2"/>
    <w:rsid w:val="0036718E"/>
    <w:rsid w:val="00370122"/>
    <w:rsid w:val="00371A11"/>
    <w:rsid w:val="00372D04"/>
    <w:rsid w:val="00373B2D"/>
    <w:rsid w:val="00375FF1"/>
    <w:rsid w:val="00380ED8"/>
    <w:rsid w:val="00384272"/>
    <w:rsid w:val="00384B57"/>
    <w:rsid w:val="00385246"/>
    <w:rsid w:val="00385787"/>
    <w:rsid w:val="003905DF"/>
    <w:rsid w:val="0039062C"/>
    <w:rsid w:val="00391326"/>
    <w:rsid w:val="003913FD"/>
    <w:rsid w:val="00394948"/>
    <w:rsid w:val="00394C03"/>
    <w:rsid w:val="003A2C85"/>
    <w:rsid w:val="003A3289"/>
    <w:rsid w:val="003A531C"/>
    <w:rsid w:val="003A5AC0"/>
    <w:rsid w:val="003A7A38"/>
    <w:rsid w:val="003B04C6"/>
    <w:rsid w:val="003B0790"/>
    <w:rsid w:val="003B38F3"/>
    <w:rsid w:val="003B4D3D"/>
    <w:rsid w:val="003B55B0"/>
    <w:rsid w:val="003B5E43"/>
    <w:rsid w:val="003B62C9"/>
    <w:rsid w:val="003B6782"/>
    <w:rsid w:val="003B6862"/>
    <w:rsid w:val="003C08A3"/>
    <w:rsid w:val="003C1BB1"/>
    <w:rsid w:val="003C1EB7"/>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15F75"/>
    <w:rsid w:val="00421E7E"/>
    <w:rsid w:val="004253EE"/>
    <w:rsid w:val="0042555C"/>
    <w:rsid w:val="0042586B"/>
    <w:rsid w:val="00425BB2"/>
    <w:rsid w:val="00430A76"/>
    <w:rsid w:val="00430F28"/>
    <w:rsid w:val="00432D54"/>
    <w:rsid w:val="0043512A"/>
    <w:rsid w:val="00436D22"/>
    <w:rsid w:val="00437B3E"/>
    <w:rsid w:val="00443162"/>
    <w:rsid w:val="004509BD"/>
    <w:rsid w:val="00450E63"/>
    <w:rsid w:val="00451757"/>
    <w:rsid w:val="00451BA9"/>
    <w:rsid w:val="004534A4"/>
    <w:rsid w:val="00454ED4"/>
    <w:rsid w:val="00456364"/>
    <w:rsid w:val="00456B16"/>
    <w:rsid w:val="00460AAA"/>
    <w:rsid w:val="00460BB2"/>
    <w:rsid w:val="00463335"/>
    <w:rsid w:val="0046509C"/>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03D1"/>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D7B73"/>
    <w:rsid w:val="004E061F"/>
    <w:rsid w:val="004E0DEC"/>
    <w:rsid w:val="004E39E4"/>
    <w:rsid w:val="004E3FFF"/>
    <w:rsid w:val="004E4E33"/>
    <w:rsid w:val="004E561F"/>
    <w:rsid w:val="004E767D"/>
    <w:rsid w:val="004F0A28"/>
    <w:rsid w:val="004F20FB"/>
    <w:rsid w:val="004F254C"/>
    <w:rsid w:val="004F26A5"/>
    <w:rsid w:val="004F4540"/>
    <w:rsid w:val="004F6102"/>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3650"/>
    <w:rsid w:val="005753AB"/>
    <w:rsid w:val="00576174"/>
    <w:rsid w:val="005766C2"/>
    <w:rsid w:val="00577299"/>
    <w:rsid w:val="00580564"/>
    <w:rsid w:val="0058188E"/>
    <w:rsid w:val="0058507D"/>
    <w:rsid w:val="0058766E"/>
    <w:rsid w:val="00587C3E"/>
    <w:rsid w:val="0059247D"/>
    <w:rsid w:val="005955E8"/>
    <w:rsid w:val="00595CE5"/>
    <w:rsid w:val="00597536"/>
    <w:rsid w:val="00597E1A"/>
    <w:rsid w:val="005A01EA"/>
    <w:rsid w:val="005A0424"/>
    <w:rsid w:val="005A28DE"/>
    <w:rsid w:val="005A345A"/>
    <w:rsid w:val="005A581D"/>
    <w:rsid w:val="005A5829"/>
    <w:rsid w:val="005A591E"/>
    <w:rsid w:val="005A6337"/>
    <w:rsid w:val="005A64E9"/>
    <w:rsid w:val="005A78C3"/>
    <w:rsid w:val="005B2589"/>
    <w:rsid w:val="005B2D92"/>
    <w:rsid w:val="005B44F1"/>
    <w:rsid w:val="005C1138"/>
    <w:rsid w:val="005C1721"/>
    <w:rsid w:val="005C3DE2"/>
    <w:rsid w:val="005C422D"/>
    <w:rsid w:val="005C68FC"/>
    <w:rsid w:val="005D0D76"/>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3FC2"/>
    <w:rsid w:val="005E53BE"/>
    <w:rsid w:val="005E54C9"/>
    <w:rsid w:val="005E55D1"/>
    <w:rsid w:val="005E6896"/>
    <w:rsid w:val="005F0345"/>
    <w:rsid w:val="005F0EC3"/>
    <w:rsid w:val="005F3DAF"/>
    <w:rsid w:val="005F421A"/>
    <w:rsid w:val="00606BFD"/>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2A9"/>
    <w:rsid w:val="00653442"/>
    <w:rsid w:val="00654BE4"/>
    <w:rsid w:val="00656302"/>
    <w:rsid w:val="00657386"/>
    <w:rsid w:val="00660EE5"/>
    <w:rsid w:val="00661088"/>
    <w:rsid w:val="0066173C"/>
    <w:rsid w:val="00661C2A"/>
    <w:rsid w:val="006630E0"/>
    <w:rsid w:val="006643FE"/>
    <w:rsid w:val="00664E5B"/>
    <w:rsid w:val="00666919"/>
    <w:rsid w:val="006700E6"/>
    <w:rsid w:val="00672E7C"/>
    <w:rsid w:val="00675D60"/>
    <w:rsid w:val="00677CDB"/>
    <w:rsid w:val="00681A24"/>
    <w:rsid w:val="00687887"/>
    <w:rsid w:val="00692AB4"/>
    <w:rsid w:val="00692B30"/>
    <w:rsid w:val="0069414A"/>
    <w:rsid w:val="006A468B"/>
    <w:rsid w:val="006A4814"/>
    <w:rsid w:val="006A7859"/>
    <w:rsid w:val="006A7918"/>
    <w:rsid w:val="006B037A"/>
    <w:rsid w:val="006B06BF"/>
    <w:rsid w:val="006B1391"/>
    <w:rsid w:val="006B634E"/>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47F68"/>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3367"/>
    <w:rsid w:val="00794290"/>
    <w:rsid w:val="00794AED"/>
    <w:rsid w:val="00797DD5"/>
    <w:rsid w:val="007A03C8"/>
    <w:rsid w:val="007A33A6"/>
    <w:rsid w:val="007A41DD"/>
    <w:rsid w:val="007A5EAC"/>
    <w:rsid w:val="007A6BCB"/>
    <w:rsid w:val="007A6E0B"/>
    <w:rsid w:val="007B01C7"/>
    <w:rsid w:val="007B24E2"/>
    <w:rsid w:val="007B2A87"/>
    <w:rsid w:val="007B5C03"/>
    <w:rsid w:val="007B5DFA"/>
    <w:rsid w:val="007C1F6E"/>
    <w:rsid w:val="007C6A2B"/>
    <w:rsid w:val="007D5A75"/>
    <w:rsid w:val="007D71EA"/>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09"/>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C2D"/>
    <w:rsid w:val="00880F07"/>
    <w:rsid w:val="008844F1"/>
    <w:rsid w:val="00884552"/>
    <w:rsid w:val="008858C7"/>
    <w:rsid w:val="00892A5D"/>
    <w:rsid w:val="00893ACF"/>
    <w:rsid w:val="00896699"/>
    <w:rsid w:val="008A2DD0"/>
    <w:rsid w:val="008A52FB"/>
    <w:rsid w:val="008A5C14"/>
    <w:rsid w:val="008A7D0C"/>
    <w:rsid w:val="008B13E7"/>
    <w:rsid w:val="008B2331"/>
    <w:rsid w:val="008B4030"/>
    <w:rsid w:val="008B5A3F"/>
    <w:rsid w:val="008B5C45"/>
    <w:rsid w:val="008B6836"/>
    <w:rsid w:val="008C0B64"/>
    <w:rsid w:val="008C0FBB"/>
    <w:rsid w:val="008C214E"/>
    <w:rsid w:val="008C2C8E"/>
    <w:rsid w:val="008C3D69"/>
    <w:rsid w:val="008C524B"/>
    <w:rsid w:val="008C56E6"/>
    <w:rsid w:val="008D020B"/>
    <w:rsid w:val="008D0878"/>
    <w:rsid w:val="008D0C60"/>
    <w:rsid w:val="008D17EA"/>
    <w:rsid w:val="008D1AEA"/>
    <w:rsid w:val="008D2324"/>
    <w:rsid w:val="008D28D7"/>
    <w:rsid w:val="008D3482"/>
    <w:rsid w:val="008E1302"/>
    <w:rsid w:val="008E1E86"/>
    <w:rsid w:val="008E3141"/>
    <w:rsid w:val="008E5FE5"/>
    <w:rsid w:val="008E6C3D"/>
    <w:rsid w:val="008F0F78"/>
    <w:rsid w:val="008F1BF5"/>
    <w:rsid w:val="008F1CA1"/>
    <w:rsid w:val="008F70C0"/>
    <w:rsid w:val="00901185"/>
    <w:rsid w:val="009019DC"/>
    <w:rsid w:val="00902DD2"/>
    <w:rsid w:val="00905E67"/>
    <w:rsid w:val="009062A9"/>
    <w:rsid w:val="00906E7C"/>
    <w:rsid w:val="00911216"/>
    <w:rsid w:val="00912006"/>
    <w:rsid w:val="009121E5"/>
    <w:rsid w:val="00912F61"/>
    <w:rsid w:val="00920AAC"/>
    <w:rsid w:val="0092515C"/>
    <w:rsid w:val="009272B7"/>
    <w:rsid w:val="009273B8"/>
    <w:rsid w:val="00930E9D"/>
    <w:rsid w:val="00931484"/>
    <w:rsid w:val="009349E5"/>
    <w:rsid w:val="00936BFE"/>
    <w:rsid w:val="0094044D"/>
    <w:rsid w:val="00941B62"/>
    <w:rsid w:val="00943CD3"/>
    <w:rsid w:val="00944127"/>
    <w:rsid w:val="009462A5"/>
    <w:rsid w:val="00947B33"/>
    <w:rsid w:val="009533AB"/>
    <w:rsid w:val="009571BC"/>
    <w:rsid w:val="0096026A"/>
    <w:rsid w:val="00962080"/>
    <w:rsid w:val="00963616"/>
    <w:rsid w:val="00964746"/>
    <w:rsid w:val="00965807"/>
    <w:rsid w:val="009667C3"/>
    <w:rsid w:val="00966E52"/>
    <w:rsid w:val="009676A5"/>
    <w:rsid w:val="009702F3"/>
    <w:rsid w:val="00974519"/>
    <w:rsid w:val="00975A9E"/>
    <w:rsid w:val="009803D2"/>
    <w:rsid w:val="00981885"/>
    <w:rsid w:val="00983586"/>
    <w:rsid w:val="00984F08"/>
    <w:rsid w:val="00985D47"/>
    <w:rsid w:val="009960EB"/>
    <w:rsid w:val="00996411"/>
    <w:rsid w:val="00997A6F"/>
    <w:rsid w:val="009A0550"/>
    <w:rsid w:val="009A05BB"/>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35CF0"/>
    <w:rsid w:val="00A4075B"/>
    <w:rsid w:val="00A428EF"/>
    <w:rsid w:val="00A42E24"/>
    <w:rsid w:val="00A4316F"/>
    <w:rsid w:val="00A4491A"/>
    <w:rsid w:val="00A4679F"/>
    <w:rsid w:val="00A50F2A"/>
    <w:rsid w:val="00A50F36"/>
    <w:rsid w:val="00A524DE"/>
    <w:rsid w:val="00A5262D"/>
    <w:rsid w:val="00A56003"/>
    <w:rsid w:val="00A619B5"/>
    <w:rsid w:val="00A6341A"/>
    <w:rsid w:val="00A70984"/>
    <w:rsid w:val="00A71082"/>
    <w:rsid w:val="00A7388F"/>
    <w:rsid w:val="00A77CCE"/>
    <w:rsid w:val="00A805B8"/>
    <w:rsid w:val="00A84E18"/>
    <w:rsid w:val="00A85501"/>
    <w:rsid w:val="00A8557B"/>
    <w:rsid w:val="00A869F2"/>
    <w:rsid w:val="00A9001C"/>
    <w:rsid w:val="00A91EBF"/>
    <w:rsid w:val="00A95F04"/>
    <w:rsid w:val="00A96FFC"/>
    <w:rsid w:val="00A9781C"/>
    <w:rsid w:val="00A97D31"/>
    <w:rsid w:val="00A97F1F"/>
    <w:rsid w:val="00AA2923"/>
    <w:rsid w:val="00AA3C65"/>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2908"/>
    <w:rsid w:val="00B14F1F"/>
    <w:rsid w:val="00B17AC0"/>
    <w:rsid w:val="00B20A5E"/>
    <w:rsid w:val="00B25622"/>
    <w:rsid w:val="00B26D1E"/>
    <w:rsid w:val="00B32ABB"/>
    <w:rsid w:val="00B32E1C"/>
    <w:rsid w:val="00B34C30"/>
    <w:rsid w:val="00B36703"/>
    <w:rsid w:val="00B40A00"/>
    <w:rsid w:val="00B43813"/>
    <w:rsid w:val="00B44E0F"/>
    <w:rsid w:val="00B44E2B"/>
    <w:rsid w:val="00B53CB2"/>
    <w:rsid w:val="00B574D0"/>
    <w:rsid w:val="00B57588"/>
    <w:rsid w:val="00B618FA"/>
    <w:rsid w:val="00B61C02"/>
    <w:rsid w:val="00B62E8D"/>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0A31"/>
    <w:rsid w:val="00BC28A6"/>
    <w:rsid w:val="00BC3922"/>
    <w:rsid w:val="00BC3D90"/>
    <w:rsid w:val="00BC52AE"/>
    <w:rsid w:val="00BD056C"/>
    <w:rsid w:val="00BD0818"/>
    <w:rsid w:val="00BD17E2"/>
    <w:rsid w:val="00BD270B"/>
    <w:rsid w:val="00BD577E"/>
    <w:rsid w:val="00BE0B51"/>
    <w:rsid w:val="00BE0C08"/>
    <w:rsid w:val="00BE60A0"/>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0F19"/>
    <w:rsid w:val="00C33CAA"/>
    <w:rsid w:val="00C342B4"/>
    <w:rsid w:val="00C34507"/>
    <w:rsid w:val="00C34C1B"/>
    <w:rsid w:val="00C362BD"/>
    <w:rsid w:val="00C36F9E"/>
    <w:rsid w:val="00C42208"/>
    <w:rsid w:val="00C5272C"/>
    <w:rsid w:val="00C52B6D"/>
    <w:rsid w:val="00C52E94"/>
    <w:rsid w:val="00C54343"/>
    <w:rsid w:val="00C54A92"/>
    <w:rsid w:val="00C552C0"/>
    <w:rsid w:val="00C555AD"/>
    <w:rsid w:val="00C55913"/>
    <w:rsid w:val="00C6359A"/>
    <w:rsid w:val="00C653CB"/>
    <w:rsid w:val="00C66483"/>
    <w:rsid w:val="00C704B6"/>
    <w:rsid w:val="00C706A1"/>
    <w:rsid w:val="00C71B3D"/>
    <w:rsid w:val="00C72E17"/>
    <w:rsid w:val="00C73EA3"/>
    <w:rsid w:val="00C810D3"/>
    <w:rsid w:val="00C8490B"/>
    <w:rsid w:val="00C925E3"/>
    <w:rsid w:val="00C93B80"/>
    <w:rsid w:val="00C96488"/>
    <w:rsid w:val="00C96B5F"/>
    <w:rsid w:val="00CA2691"/>
    <w:rsid w:val="00CA546A"/>
    <w:rsid w:val="00CB28DE"/>
    <w:rsid w:val="00CB4D21"/>
    <w:rsid w:val="00CB60BF"/>
    <w:rsid w:val="00CB66DF"/>
    <w:rsid w:val="00CB70E2"/>
    <w:rsid w:val="00CB7C7B"/>
    <w:rsid w:val="00CC0366"/>
    <w:rsid w:val="00CC03C2"/>
    <w:rsid w:val="00CC0494"/>
    <w:rsid w:val="00CC5D2D"/>
    <w:rsid w:val="00CC5D76"/>
    <w:rsid w:val="00CC7499"/>
    <w:rsid w:val="00CD1215"/>
    <w:rsid w:val="00CD16F8"/>
    <w:rsid w:val="00CD285B"/>
    <w:rsid w:val="00CD290B"/>
    <w:rsid w:val="00CD2CA7"/>
    <w:rsid w:val="00CD4C54"/>
    <w:rsid w:val="00CD644B"/>
    <w:rsid w:val="00CD7D44"/>
    <w:rsid w:val="00CE2059"/>
    <w:rsid w:val="00CE5B8A"/>
    <w:rsid w:val="00CE662B"/>
    <w:rsid w:val="00CE7B12"/>
    <w:rsid w:val="00CF001F"/>
    <w:rsid w:val="00D01B68"/>
    <w:rsid w:val="00D01EFC"/>
    <w:rsid w:val="00D02C3C"/>
    <w:rsid w:val="00D03860"/>
    <w:rsid w:val="00D03B9F"/>
    <w:rsid w:val="00D0423F"/>
    <w:rsid w:val="00D0747D"/>
    <w:rsid w:val="00D07C9B"/>
    <w:rsid w:val="00D115E0"/>
    <w:rsid w:val="00D116F4"/>
    <w:rsid w:val="00D134D5"/>
    <w:rsid w:val="00D170C7"/>
    <w:rsid w:val="00D1799A"/>
    <w:rsid w:val="00D20207"/>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5903"/>
    <w:rsid w:val="00D805D3"/>
    <w:rsid w:val="00D85385"/>
    <w:rsid w:val="00D85B1B"/>
    <w:rsid w:val="00D92045"/>
    <w:rsid w:val="00D929BC"/>
    <w:rsid w:val="00D93737"/>
    <w:rsid w:val="00D9770E"/>
    <w:rsid w:val="00DA1C1E"/>
    <w:rsid w:val="00DA1E29"/>
    <w:rsid w:val="00DA2737"/>
    <w:rsid w:val="00DA46A8"/>
    <w:rsid w:val="00DA580F"/>
    <w:rsid w:val="00DA592B"/>
    <w:rsid w:val="00DA5E98"/>
    <w:rsid w:val="00DA6860"/>
    <w:rsid w:val="00DB1F4E"/>
    <w:rsid w:val="00DB457A"/>
    <w:rsid w:val="00DB5D5A"/>
    <w:rsid w:val="00DB627C"/>
    <w:rsid w:val="00DB63E7"/>
    <w:rsid w:val="00DB6B03"/>
    <w:rsid w:val="00DB71AC"/>
    <w:rsid w:val="00DB7754"/>
    <w:rsid w:val="00DC289E"/>
    <w:rsid w:val="00DC3A1B"/>
    <w:rsid w:val="00DC635A"/>
    <w:rsid w:val="00DD16AE"/>
    <w:rsid w:val="00DD36A7"/>
    <w:rsid w:val="00DD5ECC"/>
    <w:rsid w:val="00DD6D2F"/>
    <w:rsid w:val="00DD71DC"/>
    <w:rsid w:val="00DE0C3E"/>
    <w:rsid w:val="00DE2BC0"/>
    <w:rsid w:val="00DE35C0"/>
    <w:rsid w:val="00DE409C"/>
    <w:rsid w:val="00DE4955"/>
    <w:rsid w:val="00DE5369"/>
    <w:rsid w:val="00DE7292"/>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5724"/>
    <w:rsid w:val="00E162AC"/>
    <w:rsid w:val="00E208DA"/>
    <w:rsid w:val="00E21A25"/>
    <w:rsid w:val="00E21F92"/>
    <w:rsid w:val="00E229B2"/>
    <w:rsid w:val="00E2556C"/>
    <w:rsid w:val="00E30175"/>
    <w:rsid w:val="00E3113A"/>
    <w:rsid w:val="00E334E8"/>
    <w:rsid w:val="00E34ECF"/>
    <w:rsid w:val="00E35D43"/>
    <w:rsid w:val="00E35D71"/>
    <w:rsid w:val="00E46554"/>
    <w:rsid w:val="00E46C36"/>
    <w:rsid w:val="00E47427"/>
    <w:rsid w:val="00E47CCD"/>
    <w:rsid w:val="00E47E94"/>
    <w:rsid w:val="00E554CD"/>
    <w:rsid w:val="00E5651F"/>
    <w:rsid w:val="00E57C3E"/>
    <w:rsid w:val="00E62E43"/>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43C"/>
    <w:rsid w:val="00EC5CA2"/>
    <w:rsid w:val="00ED1BA3"/>
    <w:rsid w:val="00ED4A9E"/>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22AF"/>
    <w:rsid w:val="00F03199"/>
    <w:rsid w:val="00F04891"/>
    <w:rsid w:val="00F06C2A"/>
    <w:rsid w:val="00F0718C"/>
    <w:rsid w:val="00F12448"/>
    <w:rsid w:val="00F12EB7"/>
    <w:rsid w:val="00F14B58"/>
    <w:rsid w:val="00F15359"/>
    <w:rsid w:val="00F16D53"/>
    <w:rsid w:val="00F21C2E"/>
    <w:rsid w:val="00F21D42"/>
    <w:rsid w:val="00F2368D"/>
    <w:rsid w:val="00F242D4"/>
    <w:rsid w:val="00F24FF4"/>
    <w:rsid w:val="00F30608"/>
    <w:rsid w:val="00F30C86"/>
    <w:rsid w:val="00F329E0"/>
    <w:rsid w:val="00F32B60"/>
    <w:rsid w:val="00F35988"/>
    <w:rsid w:val="00F415A5"/>
    <w:rsid w:val="00F43368"/>
    <w:rsid w:val="00F43EC4"/>
    <w:rsid w:val="00F46BB4"/>
    <w:rsid w:val="00F4760A"/>
    <w:rsid w:val="00F47943"/>
    <w:rsid w:val="00F57BE4"/>
    <w:rsid w:val="00F60496"/>
    <w:rsid w:val="00F604F7"/>
    <w:rsid w:val="00F60A31"/>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19E6"/>
    <w:rsid w:val="00F96059"/>
    <w:rsid w:val="00F97800"/>
    <w:rsid w:val="00FA1EB1"/>
    <w:rsid w:val="00FA21B3"/>
    <w:rsid w:val="00FA2CC9"/>
    <w:rsid w:val="00FA370A"/>
    <w:rsid w:val="00FB0ABC"/>
    <w:rsid w:val="00FB2FC0"/>
    <w:rsid w:val="00FB4FB5"/>
    <w:rsid w:val="00FB6BF7"/>
    <w:rsid w:val="00FB725D"/>
    <w:rsid w:val="00FB7733"/>
    <w:rsid w:val="00FC22CD"/>
    <w:rsid w:val="00FC5263"/>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7632E5E9"/>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46509C"/>
    <w:pPr>
      <w:tabs>
        <w:tab w:val="left" w:pos="99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FB2FC0"/>
  </w:style>
  <w:style w:type="paragraph" w:styleId="BodyText">
    <w:name w:val="Body Text"/>
    <w:basedOn w:val="Normal"/>
    <w:link w:val="BodyTextChar"/>
    <w:uiPriority w:val="1"/>
    <w:unhideWhenUsed/>
    <w:qFormat/>
    <w:rsid w:val="00AA3C65"/>
    <w:pPr>
      <w:widowControl w:val="0"/>
      <w:autoSpaceDE w:val="0"/>
      <w:autoSpaceDN w:val="0"/>
      <w:ind w:left="820"/>
      <w:jc w:val="left"/>
    </w:pPr>
    <w:rPr>
      <w:lang w:bidi="en-US"/>
    </w:rPr>
  </w:style>
  <w:style w:type="character" w:customStyle="1" w:styleId="BodyTextChar">
    <w:name w:val="Body Text Char"/>
    <w:basedOn w:val="DefaultParagraphFont"/>
    <w:link w:val="BodyText"/>
    <w:uiPriority w:val="1"/>
    <w:rsid w:val="00AA3C65"/>
    <w:rPr>
      <w:sz w:val="24"/>
      <w:szCs w:val="24"/>
      <w:lang w:bidi="en-US"/>
    </w:rPr>
  </w:style>
  <w:style w:type="numbering" w:customStyle="1" w:styleId="Style2">
    <w:name w:val="Style2"/>
    <w:uiPriority w:val="99"/>
    <w:rsid w:val="00E30175"/>
    <w:pPr>
      <w:numPr>
        <w:numId w:val="18"/>
      </w:numPr>
    </w:pPr>
  </w:style>
  <w:style w:type="character" w:styleId="UnresolvedMention">
    <w:name w:val="Unresolved Mention"/>
    <w:basedOn w:val="DefaultParagraphFont"/>
    <w:uiPriority w:val="99"/>
    <w:semiHidden/>
    <w:unhideWhenUsed/>
    <w:rsid w:val="000C2252"/>
    <w:rPr>
      <w:color w:val="808080"/>
      <w:shd w:val="clear" w:color="auto" w:fill="E6E6E6"/>
    </w:rPr>
  </w:style>
  <w:style w:type="character" w:styleId="CommentReference">
    <w:name w:val="annotation reference"/>
    <w:basedOn w:val="DefaultParagraphFont"/>
    <w:uiPriority w:val="99"/>
    <w:semiHidden/>
    <w:unhideWhenUsed/>
    <w:rsid w:val="00A35CF0"/>
    <w:rPr>
      <w:sz w:val="16"/>
      <w:szCs w:val="16"/>
    </w:rPr>
  </w:style>
  <w:style w:type="paragraph" w:styleId="CommentText">
    <w:name w:val="annotation text"/>
    <w:basedOn w:val="Normal"/>
    <w:link w:val="CommentTextChar"/>
    <w:uiPriority w:val="99"/>
    <w:semiHidden/>
    <w:unhideWhenUsed/>
    <w:rsid w:val="00A35CF0"/>
    <w:rPr>
      <w:sz w:val="20"/>
      <w:szCs w:val="20"/>
    </w:rPr>
  </w:style>
  <w:style w:type="character" w:customStyle="1" w:styleId="CommentTextChar">
    <w:name w:val="Comment Text Char"/>
    <w:basedOn w:val="DefaultParagraphFont"/>
    <w:link w:val="CommentText"/>
    <w:uiPriority w:val="99"/>
    <w:semiHidden/>
    <w:rsid w:val="00A35CF0"/>
  </w:style>
  <w:style w:type="paragraph" w:styleId="CommentSubject">
    <w:name w:val="annotation subject"/>
    <w:basedOn w:val="CommentText"/>
    <w:next w:val="CommentText"/>
    <w:link w:val="CommentSubjectChar"/>
    <w:uiPriority w:val="99"/>
    <w:semiHidden/>
    <w:unhideWhenUsed/>
    <w:rsid w:val="00A35CF0"/>
    <w:rPr>
      <w:b/>
      <w:bCs/>
    </w:rPr>
  </w:style>
  <w:style w:type="character" w:customStyle="1" w:styleId="CommentSubjectChar">
    <w:name w:val="Comment Subject Char"/>
    <w:basedOn w:val="CommentTextChar"/>
    <w:link w:val="CommentSubject"/>
    <w:uiPriority w:val="99"/>
    <w:semiHidden/>
    <w:rsid w:val="00A35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88571753">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307974179">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2.epa.gov/toxics-release-inventory-tri-program/guidance-documents-tri-report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pa.gov/toxics-release-inventory-tri-program/persistent-bioaccumulative-toxic-pbt-chemicals-covered-tr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a.gov/sites/production/files/2015-03/documents/list_of_lists.pdf" TargetMode="External"/><Relationship Id="rId20" Type="http://schemas.openxmlformats.org/officeDocument/2006/relationships/hyperlink" Target="http://www2.epa.gov/toxics-release-inventory-tri-program/tri-listed-chemic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epa.gov/sites/production/files/2015-03/documents/list_of_lists.pdf"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2.epa.gov/toxics-release-inventory-tri-program/tri-listed-chemic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2.epa.gov/toxics-release-inventory-tri-program/guidance-documents-tri-reporting" TargetMode="Externa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02CA8F1-A8AC-426C-B8A0-922236F1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2020</Words>
  <Characters>10666</Characters>
  <Application>Microsoft Office Word</Application>
  <DocSecurity>0</DocSecurity>
  <Lines>395</Lines>
  <Paragraphs>171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12515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 Hockin;Amy L. Pavnica</dc:creator>
  <cp:lastModifiedBy>T.J. Sarlina X-5741</cp:lastModifiedBy>
  <cp:revision>5</cp:revision>
  <cp:lastPrinted>2018-10-29T19:07:00Z</cp:lastPrinted>
  <dcterms:created xsi:type="dcterms:W3CDTF">2018-11-15T21:16:00Z</dcterms:created>
  <dcterms:modified xsi:type="dcterms:W3CDTF">2018-11-30T22:57:00Z</dcterms:modified>
</cp:coreProperties>
</file>