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06FC" w14:textId="77777777" w:rsidR="00142C80" w:rsidRDefault="00142C80" w:rsidP="00142C80">
      <w:pPr>
        <w:jc w:val="center"/>
        <w:rPr>
          <w:b/>
          <w:sz w:val="28"/>
          <w:szCs w:val="28"/>
        </w:rPr>
      </w:pPr>
    </w:p>
    <w:p w14:paraId="5C0BE862"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5756F9">
        <w:rPr>
          <w:color w:val="000000"/>
          <w:sz w:val="36"/>
          <w:szCs w:val="36"/>
        </w:rPr>
        <w:t>8025</w:t>
      </w:r>
      <w:r w:rsidRPr="00AB4D65">
        <w:rPr>
          <w:color w:val="000000"/>
          <w:sz w:val="36"/>
          <w:szCs w:val="36"/>
        </w:rPr>
        <w:t xml:space="preserve">: </w:t>
      </w:r>
      <w:r w:rsidR="005756F9" w:rsidRPr="005756F9">
        <w:rPr>
          <w:color w:val="000000"/>
          <w:sz w:val="36"/>
          <w:szCs w:val="36"/>
        </w:rPr>
        <w:t>WASTEWATER DISCHARGE TO SANITARY SEWERS</w:t>
      </w:r>
    </w:p>
    <w:p w14:paraId="32942809" w14:textId="77777777" w:rsidR="00FF17FC" w:rsidRDefault="00FF17FC" w:rsidP="00FF17FC">
      <w:pPr>
        <w:rPr>
          <w:b/>
          <w:sz w:val="28"/>
          <w:szCs w:val="28"/>
        </w:rPr>
      </w:pPr>
    </w:p>
    <w:p w14:paraId="78D09EC8" w14:textId="77777777" w:rsidR="00DB5D5A" w:rsidRPr="008B60C4" w:rsidRDefault="00743FAE" w:rsidP="00DB5D5A">
      <w:pPr>
        <w:ind w:right="-140"/>
        <w:jc w:val="center"/>
        <w:rPr>
          <w:b/>
          <w:color w:val="000000"/>
        </w:rPr>
      </w:pPr>
      <w:r w:rsidRPr="007D4A05">
        <w:rPr>
          <w:b/>
          <w:color w:val="000000"/>
        </w:rPr>
        <w:t>Revision History</w:t>
      </w:r>
    </w:p>
    <w:p w14:paraId="766863BA" w14:textId="77777777" w:rsidR="00DB5D5A" w:rsidRPr="008B60C4" w:rsidRDefault="00DB5D5A" w:rsidP="00DB5D5A">
      <w:pPr>
        <w:ind w:right="-140"/>
        <w:rPr>
          <w:b/>
          <w:color w:val="000000"/>
        </w:rPr>
      </w:pPr>
    </w:p>
    <w:tbl>
      <w:tblPr>
        <w:tblW w:w="0" w:type="auto"/>
        <w:tblInd w:w="-3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90"/>
        <w:gridCol w:w="6210"/>
        <w:gridCol w:w="1957"/>
      </w:tblGrid>
      <w:tr w:rsidR="00743FAE" w:rsidRPr="00E331D3" w14:paraId="50515D55" w14:textId="77777777" w:rsidTr="00496FF0">
        <w:tc>
          <w:tcPr>
            <w:tcW w:w="1890" w:type="dxa"/>
          </w:tcPr>
          <w:p w14:paraId="1DC6C731" w14:textId="77777777" w:rsidR="00743FAE" w:rsidRPr="00D115E0" w:rsidRDefault="00743FAE" w:rsidP="00E43EF6">
            <w:pPr>
              <w:tabs>
                <w:tab w:val="left" w:pos="720"/>
              </w:tabs>
              <w:jc w:val="center"/>
              <w:rPr>
                <w:b/>
              </w:rPr>
            </w:pPr>
            <w:r w:rsidRPr="00D115E0">
              <w:rPr>
                <w:b/>
              </w:rPr>
              <w:t>Author</w:t>
            </w:r>
          </w:p>
        </w:tc>
        <w:tc>
          <w:tcPr>
            <w:tcW w:w="6210" w:type="dxa"/>
          </w:tcPr>
          <w:p w14:paraId="6DD45693" w14:textId="77777777" w:rsidR="00743FAE" w:rsidRPr="00D115E0" w:rsidRDefault="00743FAE" w:rsidP="00E43EF6">
            <w:pPr>
              <w:tabs>
                <w:tab w:val="left" w:pos="720"/>
              </w:tabs>
              <w:jc w:val="center"/>
              <w:rPr>
                <w:b/>
              </w:rPr>
            </w:pPr>
            <w:r w:rsidRPr="00D115E0">
              <w:rPr>
                <w:b/>
              </w:rPr>
              <w:t>Description of Change</w:t>
            </w:r>
          </w:p>
        </w:tc>
        <w:tc>
          <w:tcPr>
            <w:tcW w:w="1957" w:type="dxa"/>
          </w:tcPr>
          <w:p w14:paraId="060A32F4" w14:textId="77777777" w:rsidR="00743FAE" w:rsidRPr="00D115E0" w:rsidRDefault="00FF17FC" w:rsidP="00E43EF6">
            <w:pPr>
              <w:tabs>
                <w:tab w:val="left" w:pos="720"/>
              </w:tabs>
              <w:jc w:val="center"/>
              <w:rPr>
                <w:b/>
              </w:rPr>
            </w:pPr>
            <w:r>
              <w:rPr>
                <w:b/>
              </w:rPr>
              <w:t>Revision Date</w:t>
            </w:r>
          </w:p>
        </w:tc>
      </w:tr>
      <w:tr w:rsidR="004925B9" w:rsidRPr="00E331D3" w14:paraId="625204D1" w14:textId="77777777" w:rsidTr="00496FF0">
        <w:tc>
          <w:tcPr>
            <w:tcW w:w="1890" w:type="dxa"/>
          </w:tcPr>
          <w:p w14:paraId="6BEAC330" w14:textId="77777777" w:rsidR="004925B9" w:rsidRPr="00496FF0" w:rsidRDefault="004925B9" w:rsidP="007B58F6">
            <w:pPr>
              <w:tabs>
                <w:tab w:val="left" w:pos="720"/>
              </w:tabs>
              <w:rPr>
                <w:szCs w:val="22"/>
              </w:rPr>
            </w:pPr>
            <w:r w:rsidRPr="00496FF0">
              <w:rPr>
                <w:szCs w:val="22"/>
              </w:rPr>
              <w:t>E. Mieland</w:t>
            </w:r>
          </w:p>
          <w:p w14:paraId="540856BE" w14:textId="3DD10D26" w:rsidR="004925B9" w:rsidRPr="00496FF0" w:rsidRDefault="004925B9" w:rsidP="00496FF0">
            <w:pPr>
              <w:tabs>
                <w:tab w:val="left" w:pos="720"/>
              </w:tabs>
              <w:spacing w:after="60"/>
              <w:rPr>
                <w:szCs w:val="22"/>
              </w:rPr>
            </w:pPr>
            <w:r w:rsidRPr="00496FF0">
              <w:rPr>
                <w:szCs w:val="22"/>
              </w:rPr>
              <w:t>C</w:t>
            </w:r>
            <w:r w:rsidR="0021159E" w:rsidRPr="00496FF0">
              <w:rPr>
                <w:szCs w:val="22"/>
              </w:rPr>
              <w:t>.</w:t>
            </w:r>
            <w:r w:rsidRPr="00496FF0">
              <w:rPr>
                <w:szCs w:val="22"/>
              </w:rPr>
              <w:t xml:space="preserve"> Greer</w:t>
            </w:r>
          </w:p>
        </w:tc>
        <w:tc>
          <w:tcPr>
            <w:tcW w:w="6210" w:type="dxa"/>
          </w:tcPr>
          <w:p w14:paraId="5EF4997A" w14:textId="3CAB2747" w:rsidR="004925B9" w:rsidRPr="00496FF0" w:rsidRDefault="004925B9" w:rsidP="004E6253">
            <w:pPr>
              <w:pStyle w:val="NormalWeb"/>
              <w:numPr>
                <w:ilvl w:val="0"/>
                <w:numId w:val="18"/>
              </w:numPr>
              <w:tabs>
                <w:tab w:val="left" w:pos="720"/>
              </w:tabs>
              <w:spacing w:before="0" w:beforeAutospacing="0" w:after="60" w:afterAutospacing="0"/>
              <w:rPr>
                <w:szCs w:val="22"/>
              </w:rPr>
            </w:pPr>
            <w:r w:rsidRPr="00496FF0">
              <w:rPr>
                <w:szCs w:val="22"/>
              </w:rPr>
              <w:t xml:space="preserve">Added relevant reference to DOE Order </w:t>
            </w:r>
            <w:r w:rsidR="0021159E" w:rsidRPr="00496FF0">
              <w:rPr>
                <w:szCs w:val="22"/>
              </w:rPr>
              <w:t xml:space="preserve">458.1 </w:t>
            </w:r>
            <w:r w:rsidR="0021159E" w:rsidRPr="00496FF0">
              <w:rPr>
                <w:i/>
                <w:iCs/>
                <w:szCs w:val="22"/>
              </w:rPr>
              <w:t>Radiation Protection of the Public and the Environment</w:t>
            </w:r>
          </w:p>
        </w:tc>
        <w:tc>
          <w:tcPr>
            <w:tcW w:w="1957" w:type="dxa"/>
          </w:tcPr>
          <w:p w14:paraId="68B0D115" w14:textId="695CB537" w:rsidR="004925B9" w:rsidRPr="00496FF0" w:rsidRDefault="001E506A" w:rsidP="000D7497">
            <w:pPr>
              <w:tabs>
                <w:tab w:val="left" w:pos="720"/>
              </w:tabs>
              <w:rPr>
                <w:szCs w:val="22"/>
              </w:rPr>
            </w:pPr>
            <w:r w:rsidRPr="00496FF0">
              <w:rPr>
                <w:szCs w:val="22"/>
              </w:rPr>
              <w:t>August</w:t>
            </w:r>
            <w:r w:rsidR="0021159E" w:rsidRPr="00496FF0">
              <w:rPr>
                <w:szCs w:val="22"/>
              </w:rPr>
              <w:t xml:space="preserve"> 2022</w:t>
            </w:r>
          </w:p>
        </w:tc>
      </w:tr>
      <w:tr w:rsidR="0037314D" w:rsidRPr="00E331D3" w14:paraId="5EB9FED5" w14:textId="77777777" w:rsidTr="00496FF0">
        <w:tc>
          <w:tcPr>
            <w:tcW w:w="1890" w:type="dxa"/>
          </w:tcPr>
          <w:p w14:paraId="243C039F" w14:textId="77777777" w:rsidR="007B58F6" w:rsidRPr="00217B2F" w:rsidRDefault="007B58F6" w:rsidP="007B58F6">
            <w:pPr>
              <w:tabs>
                <w:tab w:val="left" w:pos="720"/>
              </w:tabs>
              <w:rPr>
                <w:szCs w:val="22"/>
              </w:rPr>
            </w:pPr>
            <w:r w:rsidRPr="00217B2F">
              <w:rPr>
                <w:szCs w:val="22"/>
              </w:rPr>
              <w:t xml:space="preserve">E. Mieland, </w:t>
            </w:r>
          </w:p>
          <w:p w14:paraId="6840643D" w14:textId="77777777" w:rsidR="00496FF0" w:rsidRDefault="0037314D" w:rsidP="0037314D">
            <w:pPr>
              <w:tabs>
                <w:tab w:val="left" w:pos="720"/>
              </w:tabs>
              <w:rPr>
                <w:szCs w:val="22"/>
              </w:rPr>
            </w:pPr>
            <w:r w:rsidRPr="00217B2F">
              <w:rPr>
                <w:szCs w:val="22"/>
              </w:rPr>
              <w:t>J. D. Cossairt,</w:t>
            </w:r>
          </w:p>
          <w:p w14:paraId="5C76638A" w14:textId="489DC94D" w:rsidR="0037314D" w:rsidRPr="00217B2F" w:rsidRDefault="0037314D" w:rsidP="0037314D">
            <w:pPr>
              <w:tabs>
                <w:tab w:val="left" w:pos="720"/>
              </w:tabs>
              <w:rPr>
                <w:szCs w:val="22"/>
              </w:rPr>
            </w:pPr>
            <w:r w:rsidRPr="00217B2F">
              <w:rPr>
                <w:szCs w:val="22"/>
              </w:rPr>
              <w:t xml:space="preserve">M. Quinn, </w:t>
            </w:r>
          </w:p>
          <w:p w14:paraId="42EEABF8" w14:textId="77777777" w:rsidR="00496FF0" w:rsidRDefault="0037314D" w:rsidP="00496FF0">
            <w:pPr>
              <w:tabs>
                <w:tab w:val="left" w:pos="720"/>
              </w:tabs>
              <w:rPr>
                <w:szCs w:val="22"/>
              </w:rPr>
            </w:pPr>
            <w:r w:rsidRPr="00217B2F">
              <w:rPr>
                <w:szCs w:val="22"/>
              </w:rPr>
              <w:t>C. Greer,</w:t>
            </w:r>
          </w:p>
          <w:p w14:paraId="4C20D489" w14:textId="6339FEBE" w:rsidR="0037314D" w:rsidRPr="00217B2F" w:rsidRDefault="0037314D" w:rsidP="00496FF0">
            <w:pPr>
              <w:tabs>
                <w:tab w:val="left" w:pos="720"/>
              </w:tabs>
              <w:spacing w:after="60"/>
              <w:rPr>
                <w:szCs w:val="22"/>
              </w:rPr>
            </w:pPr>
            <w:r w:rsidRPr="00217B2F">
              <w:rPr>
                <w:szCs w:val="22"/>
              </w:rPr>
              <w:t>E. Korzen</w:t>
            </w:r>
            <w:r w:rsidR="00B700FA">
              <w:rPr>
                <w:szCs w:val="22"/>
              </w:rPr>
              <w:t>i</w:t>
            </w:r>
            <w:r w:rsidRPr="00217B2F">
              <w:rPr>
                <w:szCs w:val="22"/>
              </w:rPr>
              <w:t>owski</w:t>
            </w:r>
          </w:p>
        </w:tc>
        <w:tc>
          <w:tcPr>
            <w:tcW w:w="6210" w:type="dxa"/>
          </w:tcPr>
          <w:p w14:paraId="228663BD" w14:textId="77777777" w:rsidR="0037314D" w:rsidRPr="00217B2F" w:rsidRDefault="004E6253" w:rsidP="004E6253">
            <w:pPr>
              <w:pStyle w:val="NormalWeb"/>
              <w:numPr>
                <w:ilvl w:val="0"/>
                <w:numId w:val="18"/>
              </w:numPr>
              <w:tabs>
                <w:tab w:val="left" w:pos="720"/>
              </w:tabs>
              <w:spacing w:before="0" w:beforeAutospacing="0" w:after="60" w:afterAutospacing="0"/>
              <w:rPr>
                <w:szCs w:val="22"/>
              </w:rPr>
            </w:pPr>
            <w:r w:rsidRPr="00217B2F">
              <w:rPr>
                <w:szCs w:val="22"/>
              </w:rPr>
              <w:t>Revised references to radioactivity in water with respect to the FRCM.</w:t>
            </w:r>
          </w:p>
          <w:p w14:paraId="18AD0694" w14:textId="77777777" w:rsidR="004E6253" w:rsidRPr="00217B2F" w:rsidRDefault="004E6253" w:rsidP="004E6253">
            <w:pPr>
              <w:pStyle w:val="NormalWeb"/>
              <w:numPr>
                <w:ilvl w:val="0"/>
                <w:numId w:val="18"/>
              </w:numPr>
              <w:tabs>
                <w:tab w:val="left" w:pos="720"/>
              </w:tabs>
              <w:spacing w:before="0" w:beforeAutospacing="0" w:after="60" w:afterAutospacing="0"/>
              <w:rPr>
                <w:szCs w:val="22"/>
              </w:rPr>
            </w:pPr>
            <w:r w:rsidRPr="00217B2F">
              <w:rPr>
                <w:szCs w:val="22"/>
              </w:rPr>
              <w:t>Editorial changes as needed.</w:t>
            </w:r>
          </w:p>
        </w:tc>
        <w:tc>
          <w:tcPr>
            <w:tcW w:w="1957" w:type="dxa"/>
          </w:tcPr>
          <w:p w14:paraId="1247B315" w14:textId="77777777" w:rsidR="00972B50" w:rsidRDefault="00972B50" w:rsidP="000D7497">
            <w:pPr>
              <w:tabs>
                <w:tab w:val="left" w:pos="720"/>
              </w:tabs>
              <w:rPr>
                <w:szCs w:val="22"/>
              </w:rPr>
            </w:pPr>
          </w:p>
          <w:p w14:paraId="40E22918" w14:textId="5C35AD56" w:rsidR="000D7497" w:rsidRPr="00217B2F" w:rsidRDefault="00972B50" w:rsidP="000D7497">
            <w:pPr>
              <w:tabs>
                <w:tab w:val="left" w:pos="720"/>
              </w:tabs>
              <w:rPr>
                <w:szCs w:val="22"/>
              </w:rPr>
            </w:pPr>
            <w:r>
              <w:rPr>
                <w:szCs w:val="22"/>
              </w:rPr>
              <w:t>Febr</w:t>
            </w:r>
            <w:r w:rsidR="00032C04">
              <w:rPr>
                <w:szCs w:val="22"/>
              </w:rPr>
              <w:t>uary 2020</w:t>
            </w:r>
          </w:p>
          <w:p w14:paraId="3F4F4294" w14:textId="77777777" w:rsidR="0037314D" w:rsidRPr="00217B2F" w:rsidRDefault="0037314D" w:rsidP="0037314D">
            <w:pPr>
              <w:tabs>
                <w:tab w:val="left" w:pos="720"/>
              </w:tabs>
              <w:rPr>
                <w:szCs w:val="22"/>
              </w:rPr>
            </w:pPr>
          </w:p>
        </w:tc>
      </w:tr>
      <w:tr w:rsidR="00FF17FC" w:rsidRPr="00E331D3" w14:paraId="6075DA96" w14:textId="77777777" w:rsidTr="00496FF0">
        <w:tc>
          <w:tcPr>
            <w:tcW w:w="1890" w:type="dxa"/>
          </w:tcPr>
          <w:p w14:paraId="20720DC5" w14:textId="77777777" w:rsidR="00FF17FC" w:rsidRDefault="00FF17FC" w:rsidP="00496FF0">
            <w:pPr>
              <w:tabs>
                <w:tab w:val="left" w:pos="720"/>
              </w:tabs>
              <w:spacing w:after="60"/>
              <w:jc w:val="left"/>
              <w:rPr>
                <w:szCs w:val="22"/>
              </w:rPr>
            </w:pPr>
            <w:r>
              <w:rPr>
                <w:szCs w:val="22"/>
              </w:rPr>
              <w:t>Katie Swanson</w:t>
            </w:r>
          </w:p>
        </w:tc>
        <w:tc>
          <w:tcPr>
            <w:tcW w:w="6210" w:type="dxa"/>
          </w:tcPr>
          <w:p w14:paraId="5286F09E" w14:textId="77777777" w:rsidR="00FF17FC" w:rsidRDefault="00FF17FC" w:rsidP="00532E27">
            <w:pPr>
              <w:pStyle w:val="PlainText"/>
              <w:spacing w:after="60"/>
              <w:rPr>
                <w:rFonts w:ascii="Times New Roman" w:hAnsi="Times New Roman" w:cs="Times New Roman"/>
              </w:rPr>
            </w:pPr>
            <w:r>
              <w:rPr>
                <w:rFonts w:ascii="Times New Roman" w:hAnsi="Times New Roman" w:cs="Times New Roman"/>
              </w:rPr>
              <w:t>Added applicability statement on leased spaces</w:t>
            </w:r>
          </w:p>
        </w:tc>
        <w:tc>
          <w:tcPr>
            <w:tcW w:w="1957" w:type="dxa"/>
          </w:tcPr>
          <w:p w14:paraId="1DC9C421" w14:textId="77777777" w:rsidR="00FF17FC" w:rsidRDefault="00FF17FC" w:rsidP="00832964">
            <w:pPr>
              <w:tabs>
                <w:tab w:val="left" w:pos="720"/>
              </w:tabs>
              <w:jc w:val="left"/>
              <w:rPr>
                <w:szCs w:val="22"/>
              </w:rPr>
            </w:pPr>
            <w:r>
              <w:rPr>
                <w:szCs w:val="22"/>
              </w:rPr>
              <w:t>January 2018</w:t>
            </w:r>
          </w:p>
        </w:tc>
      </w:tr>
      <w:tr w:rsidR="00743FAE" w:rsidRPr="00E331D3" w14:paraId="5221DF03" w14:textId="77777777" w:rsidTr="00496FF0">
        <w:tc>
          <w:tcPr>
            <w:tcW w:w="1890" w:type="dxa"/>
          </w:tcPr>
          <w:p w14:paraId="244F99F7" w14:textId="77777777" w:rsidR="00743FAE" w:rsidRPr="00E331D3" w:rsidRDefault="001D6C19" w:rsidP="00D115E0">
            <w:pPr>
              <w:tabs>
                <w:tab w:val="left" w:pos="720"/>
              </w:tabs>
              <w:jc w:val="left"/>
            </w:pPr>
            <w:r>
              <w:rPr>
                <w:szCs w:val="22"/>
              </w:rPr>
              <w:t>Katie Kosirog</w:t>
            </w:r>
          </w:p>
        </w:tc>
        <w:tc>
          <w:tcPr>
            <w:tcW w:w="6210" w:type="dxa"/>
          </w:tcPr>
          <w:p w14:paraId="1CD25AAB" w14:textId="77777777" w:rsidR="00600A9D" w:rsidRDefault="009B409E" w:rsidP="00532E27">
            <w:pPr>
              <w:pStyle w:val="PlainText"/>
              <w:numPr>
                <w:ilvl w:val="0"/>
                <w:numId w:val="14"/>
              </w:numPr>
              <w:ind w:left="250" w:hanging="270"/>
              <w:rPr>
                <w:rFonts w:ascii="Times New Roman" w:hAnsi="Times New Roman" w:cs="Times New Roman"/>
              </w:rPr>
            </w:pPr>
            <w:r>
              <w:rPr>
                <w:rFonts w:ascii="Times New Roman" w:hAnsi="Times New Roman" w:cs="Times New Roman"/>
              </w:rPr>
              <w:t xml:space="preserve">Added the </w:t>
            </w:r>
            <w:r w:rsidR="006E79EC">
              <w:rPr>
                <w:rFonts w:ascii="Times New Roman" w:hAnsi="Times New Roman" w:cs="Times New Roman"/>
              </w:rPr>
              <w:t xml:space="preserve">sentence, </w:t>
            </w:r>
            <w:r w:rsidR="006E79EC" w:rsidRPr="006E79EC">
              <w:rPr>
                <w:rFonts w:ascii="Times New Roman" w:hAnsi="Times New Roman" w:cs="Times New Roman"/>
              </w:rPr>
              <w:t>“</w:t>
            </w:r>
            <w:r w:rsidR="006E79EC" w:rsidRPr="006E79EC">
              <w:rPr>
                <w:rFonts w:ascii="Times New Roman" w:hAnsi="Times New Roman" w:cs="Times New Roman"/>
                <w:i/>
                <w:color w:val="000000"/>
              </w:rPr>
              <w:t>If discharging more than 50 gallons per day is imperative to the process, ESH&amp;Q Section approval is needed.</w:t>
            </w:r>
            <w:r w:rsidR="006E79EC">
              <w:rPr>
                <w:rFonts w:ascii="Times New Roman" w:hAnsi="Times New Roman" w:cs="Times New Roman"/>
                <w:color w:val="000000"/>
              </w:rPr>
              <w:t>”</w:t>
            </w:r>
            <w:r w:rsidR="006E79EC" w:rsidRPr="006E79EC">
              <w:rPr>
                <w:rFonts w:ascii="Times New Roman" w:hAnsi="Times New Roman" w:cs="Times New Roman"/>
                <w:i/>
                <w:color w:val="000000"/>
              </w:rPr>
              <w:t xml:space="preserve"> </w:t>
            </w:r>
            <w:r w:rsidR="006E79EC" w:rsidRPr="006E79EC">
              <w:rPr>
                <w:rFonts w:ascii="Times New Roman" w:hAnsi="Times New Roman" w:cs="Times New Roman"/>
                <w:color w:val="000000"/>
              </w:rPr>
              <w:t xml:space="preserve"> </w:t>
            </w:r>
            <w:r w:rsidR="006E79EC" w:rsidRPr="006E79EC">
              <w:rPr>
                <w:rFonts w:ascii="Times New Roman" w:hAnsi="Times New Roman" w:cs="Times New Roman"/>
              </w:rPr>
              <w:t xml:space="preserve"> </w:t>
            </w:r>
            <w:r w:rsidRPr="006E79EC">
              <w:rPr>
                <w:rFonts w:ascii="Times New Roman" w:hAnsi="Times New Roman" w:cs="Times New Roman"/>
              </w:rPr>
              <w:t>in Section 5.0</w:t>
            </w:r>
            <w:r w:rsidR="006E79EC">
              <w:rPr>
                <w:rFonts w:ascii="Times New Roman" w:hAnsi="Times New Roman" w:cs="Times New Roman"/>
              </w:rPr>
              <w:t>,</w:t>
            </w:r>
            <w:r w:rsidRPr="006E79EC">
              <w:rPr>
                <w:rFonts w:ascii="Times New Roman" w:hAnsi="Times New Roman" w:cs="Times New Roman"/>
              </w:rPr>
              <w:t xml:space="preserve"> procedure</w:t>
            </w:r>
            <w:r>
              <w:rPr>
                <w:rFonts w:ascii="Times New Roman" w:hAnsi="Times New Roman" w:cs="Times New Roman"/>
              </w:rPr>
              <w:t xml:space="preserve"> number 7</w:t>
            </w:r>
            <w:r w:rsidR="00600A9D">
              <w:rPr>
                <w:rFonts w:ascii="Times New Roman" w:hAnsi="Times New Roman" w:cs="Times New Roman"/>
              </w:rPr>
              <w:t xml:space="preserve"> </w:t>
            </w:r>
          </w:p>
          <w:p w14:paraId="4CED25F7" w14:textId="77777777" w:rsidR="00324C2D" w:rsidRDefault="00324C2D" w:rsidP="00532E27">
            <w:pPr>
              <w:pStyle w:val="PlainText"/>
              <w:numPr>
                <w:ilvl w:val="0"/>
                <w:numId w:val="14"/>
              </w:numPr>
              <w:ind w:left="250" w:hanging="270"/>
              <w:rPr>
                <w:rFonts w:ascii="Times New Roman" w:hAnsi="Times New Roman" w:cs="Times New Roman"/>
              </w:rPr>
            </w:pPr>
            <w:r>
              <w:rPr>
                <w:rFonts w:ascii="Times New Roman" w:hAnsi="Times New Roman" w:cs="Times New Roman"/>
              </w:rPr>
              <w:t>Hyperlinks for regulations removed due to ever-changing web addresses</w:t>
            </w:r>
          </w:p>
          <w:p w14:paraId="40D65863" w14:textId="77777777" w:rsidR="00FA64EF" w:rsidRPr="004E2ADE" w:rsidRDefault="00FA64EF" w:rsidP="00532E27">
            <w:pPr>
              <w:pStyle w:val="PlainText"/>
              <w:numPr>
                <w:ilvl w:val="0"/>
                <w:numId w:val="14"/>
              </w:numPr>
              <w:spacing w:after="60"/>
              <w:ind w:left="250" w:hanging="270"/>
              <w:rPr>
                <w:rFonts w:ascii="Times New Roman" w:hAnsi="Times New Roman" w:cs="Times New Roman"/>
              </w:rPr>
            </w:pPr>
            <w:r>
              <w:rPr>
                <w:rFonts w:ascii="Times New Roman" w:hAnsi="Times New Roman" w:cs="Times New Roman"/>
              </w:rPr>
              <w:t>Removed FESS form 8025, “FESS Form for Modifications to Fermilab Sanitary Sewerage Systems” and made it part of the DP</w:t>
            </w:r>
            <w:r w:rsidR="0023604C">
              <w:rPr>
                <w:rFonts w:ascii="Times New Roman" w:hAnsi="Times New Roman" w:cs="Times New Roman"/>
              </w:rPr>
              <w:t>-</w:t>
            </w:r>
            <w:r>
              <w:rPr>
                <w:rFonts w:ascii="Times New Roman" w:hAnsi="Times New Roman" w:cs="Times New Roman"/>
              </w:rPr>
              <w:t>18 process</w:t>
            </w:r>
          </w:p>
        </w:tc>
        <w:tc>
          <w:tcPr>
            <w:tcW w:w="1957" w:type="dxa"/>
          </w:tcPr>
          <w:p w14:paraId="7A0997C4" w14:textId="4A7FD07B" w:rsidR="00743FAE" w:rsidRDefault="00FA64EF" w:rsidP="005756F9">
            <w:pPr>
              <w:tabs>
                <w:tab w:val="left" w:pos="720"/>
              </w:tabs>
              <w:jc w:val="left"/>
              <w:rPr>
                <w:szCs w:val="22"/>
              </w:rPr>
            </w:pPr>
            <w:r>
              <w:rPr>
                <w:szCs w:val="22"/>
              </w:rPr>
              <w:t>Nove</w:t>
            </w:r>
            <w:r w:rsidR="00540AEA">
              <w:rPr>
                <w:szCs w:val="22"/>
              </w:rPr>
              <w:t>mber</w:t>
            </w:r>
            <w:r w:rsidR="009B409E">
              <w:rPr>
                <w:szCs w:val="22"/>
              </w:rPr>
              <w:t xml:space="preserve"> 2014</w:t>
            </w:r>
          </w:p>
          <w:p w14:paraId="5D10372F" w14:textId="77777777" w:rsidR="00A1791D" w:rsidRPr="00E331D3" w:rsidRDefault="00A1791D" w:rsidP="005756F9">
            <w:pPr>
              <w:tabs>
                <w:tab w:val="left" w:pos="720"/>
              </w:tabs>
              <w:jc w:val="left"/>
            </w:pPr>
          </w:p>
        </w:tc>
      </w:tr>
    </w:tbl>
    <w:p w14:paraId="7875673A" w14:textId="77777777" w:rsidR="00142C80" w:rsidRDefault="00142C80" w:rsidP="00142C80">
      <w:pPr>
        <w:jc w:val="center"/>
        <w:rPr>
          <w:b/>
          <w:sz w:val="28"/>
          <w:szCs w:val="28"/>
        </w:rPr>
      </w:pPr>
    </w:p>
    <w:p w14:paraId="4B0626E9" w14:textId="77777777" w:rsidR="00142C80" w:rsidRDefault="00142C80" w:rsidP="00142C80">
      <w:pPr>
        <w:jc w:val="center"/>
        <w:rPr>
          <w:b/>
          <w:sz w:val="28"/>
          <w:szCs w:val="28"/>
        </w:rPr>
      </w:pPr>
    </w:p>
    <w:p w14:paraId="6BAF5FA6" w14:textId="77777777" w:rsidR="008648A9" w:rsidRDefault="008648A9" w:rsidP="00142C80">
      <w:pPr>
        <w:jc w:val="left"/>
        <w:rPr>
          <w:b/>
          <w:sz w:val="28"/>
          <w:szCs w:val="28"/>
        </w:rPr>
      </w:pPr>
    </w:p>
    <w:p w14:paraId="41F55472" w14:textId="77777777" w:rsidR="008648A9" w:rsidRDefault="008648A9" w:rsidP="00142C80">
      <w:pPr>
        <w:jc w:val="left"/>
        <w:rPr>
          <w:b/>
          <w:sz w:val="28"/>
          <w:szCs w:val="28"/>
        </w:rPr>
      </w:pPr>
    </w:p>
    <w:p w14:paraId="7BB57E0A" w14:textId="77777777" w:rsidR="0035433D" w:rsidRDefault="0035433D" w:rsidP="008648A9">
      <w:pPr>
        <w:jc w:val="left"/>
        <w:rPr>
          <w:b/>
          <w:sz w:val="28"/>
          <w:szCs w:val="28"/>
        </w:rPr>
      </w:pPr>
    </w:p>
    <w:p w14:paraId="7CB143A9" w14:textId="77777777" w:rsidR="0035433D" w:rsidRPr="00FF17FC" w:rsidRDefault="0035433D" w:rsidP="00FF17FC">
      <w:pPr>
        <w:rPr>
          <w:sz w:val="28"/>
          <w:szCs w:val="28"/>
        </w:rPr>
      </w:pPr>
    </w:p>
    <w:p w14:paraId="377D9851" w14:textId="77777777" w:rsidR="0035433D" w:rsidRPr="00FF17FC" w:rsidRDefault="0035433D" w:rsidP="00FF17FC">
      <w:pPr>
        <w:rPr>
          <w:sz w:val="28"/>
          <w:szCs w:val="28"/>
        </w:rPr>
      </w:pPr>
    </w:p>
    <w:p w14:paraId="684920E2" w14:textId="77777777" w:rsidR="0035433D" w:rsidRPr="00FF17FC" w:rsidRDefault="0035433D" w:rsidP="00FF17FC">
      <w:pPr>
        <w:rPr>
          <w:sz w:val="28"/>
          <w:szCs w:val="28"/>
        </w:rPr>
      </w:pPr>
    </w:p>
    <w:p w14:paraId="587F668D" w14:textId="77777777" w:rsidR="0035433D" w:rsidRPr="00FF17FC" w:rsidRDefault="0035433D" w:rsidP="00FF17FC">
      <w:pPr>
        <w:rPr>
          <w:sz w:val="28"/>
          <w:szCs w:val="28"/>
        </w:rPr>
      </w:pPr>
    </w:p>
    <w:p w14:paraId="2A8E1101" w14:textId="77777777" w:rsidR="0035433D" w:rsidRPr="00FF17FC" w:rsidRDefault="0035433D" w:rsidP="00FF17FC">
      <w:pPr>
        <w:rPr>
          <w:sz w:val="28"/>
          <w:szCs w:val="28"/>
        </w:rPr>
      </w:pPr>
    </w:p>
    <w:p w14:paraId="272F2EC7" w14:textId="77777777" w:rsidR="0035433D" w:rsidRPr="00FF17FC" w:rsidRDefault="0035433D" w:rsidP="00FF17FC">
      <w:pPr>
        <w:rPr>
          <w:sz w:val="28"/>
          <w:szCs w:val="28"/>
        </w:rPr>
      </w:pPr>
    </w:p>
    <w:p w14:paraId="582252D8" w14:textId="77777777" w:rsidR="0035433D" w:rsidRPr="00FF17FC" w:rsidRDefault="0035433D" w:rsidP="00FF17FC">
      <w:pPr>
        <w:rPr>
          <w:sz w:val="28"/>
          <w:szCs w:val="28"/>
        </w:rPr>
      </w:pPr>
    </w:p>
    <w:p w14:paraId="37D11E68" w14:textId="77777777" w:rsidR="0035433D" w:rsidRPr="00FF17FC" w:rsidRDefault="0035433D" w:rsidP="00FF17FC">
      <w:pPr>
        <w:rPr>
          <w:sz w:val="28"/>
          <w:szCs w:val="28"/>
        </w:rPr>
      </w:pPr>
    </w:p>
    <w:p w14:paraId="6C8851DF" w14:textId="77777777" w:rsidR="001B6A72" w:rsidRPr="00FF17FC" w:rsidRDefault="001B6A72" w:rsidP="00FF17FC">
      <w:pPr>
        <w:rPr>
          <w:sz w:val="28"/>
          <w:szCs w:val="28"/>
        </w:rPr>
        <w:sectPr w:rsidR="001B6A72" w:rsidRPr="00FF17FC" w:rsidSect="00915995">
          <w:headerReference w:type="default" r:id="rId8"/>
          <w:footerReference w:type="default" r:id="rId9"/>
          <w:pgSz w:w="12240" w:h="15840" w:code="1"/>
          <w:pgMar w:top="720" w:right="1080" w:bottom="720" w:left="1440" w:header="720" w:footer="389" w:gutter="0"/>
          <w:cols w:space="720"/>
          <w:docGrid w:linePitch="360"/>
        </w:sectPr>
      </w:pPr>
    </w:p>
    <w:p w14:paraId="44B9CCE6" w14:textId="77777777" w:rsidR="00A96FFC" w:rsidRPr="001A2CF3" w:rsidRDefault="00A96FFC" w:rsidP="001A2CF3">
      <w:pPr>
        <w:jc w:val="center"/>
        <w:rPr>
          <w:b/>
          <w:sz w:val="28"/>
          <w:szCs w:val="28"/>
        </w:rPr>
      </w:pPr>
      <w:r w:rsidRPr="001A2CF3">
        <w:rPr>
          <w:b/>
          <w:sz w:val="28"/>
          <w:szCs w:val="28"/>
        </w:rPr>
        <w:lastRenderedPageBreak/>
        <w:t>TABLE OF CONTENTS</w:t>
      </w:r>
    </w:p>
    <w:p w14:paraId="26F67B2F" w14:textId="77777777" w:rsidR="00A96FFC" w:rsidRDefault="00A96FFC">
      <w:pPr>
        <w:rPr>
          <w:bCs/>
        </w:rPr>
      </w:pPr>
    </w:p>
    <w:p w14:paraId="6D19A7D9" w14:textId="05F74EA6" w:rsidR="00972B50" w:rsidRDefault="005F7078">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32571877" w:history="1">
        <w:r w:rsidR="00972B50" w:rsidRPr="007B1B1D">
          <w:rPr>
            <w:rStyle w:val="Hyperlink"/>
            <w:rFonts w:ascii="Times New Roman Bold" w:hAnsi="Times New Roman Bold"/>
            <w:noProof/>
          </w:rPr>
          <w:t>1.0</w:t>
        </w:r>
        <w:r w:rsidR="00972B50">
          <w:rPr>
            <w:rFonts w:asciiTheme="minorHAnsi" w:eastAsiaTheme="minorEastAsia" w:hAnsiTheme="minorHAnsi" w:cstheme="minorBidi"/>
            <w:noProof/>
            <w:sz w:val="22"/>
            <w:szCs w:val="22"/>
          </w:rPr>
          <w:tab/>
        </w:r>
        <w:r w:rsidR="00972B50" w:rsidRPr="007B1B1D">
          <w:rPr>
            <w:rStyle w:val="Hyperlink"/>
            <w:noProof/>
          </w:rPr>
          <w:t>INTRODUCTION</w:t>
        </w:r>
        <w:r w:rsidR="00972B50">
          <w:rPr>
            <w:noProof/>
            <w:webHidden/>
          </w:rPr>
          <w:tab/>
        </w:r>
        <w:r w:rsidR="00972B50">
          <w:rPr>
            <w:noProof/>
            <w:webHidden/>
          </w:rPr>
          <w:fldChar w:fldCharType="begin"/>
        </w:r>
        <w:r w:rsidR="00972B50">
          <w:rPr>
            <w:noProof/>
            <w:webHidden/>
          </w:rPr>
          <w:instrText xml:space="preserve"> PAGEREF _Toc32571877 \h </w:instrText>
        </w:r>
        <w:r w:rsidR="00972B50">
          <w:rPr>
            <w:noProof/>
            <w:webHidden/>
          </w:rPr>
        </w:r>
        <w:r w:rsidR="00972B50">
          <w:rPr>
            <w:noProof/>
            <w:webHidden/>
          </w:rPr>
          <w:fldChar w:fldCharType="separate"/>
        </w:r>
        <w:r w:rsidR="00972B50">
          <w:rPr>
            <w:noProof/>
            <w:webHidden/>
          </w:rPr>
          <w:t>3</w:t>
        </w:r>
        <w:r w:rsidR="00972B50">
          <w:rPr>
            <w:noProof/>
            <w:webHidden/>
          </w:rPr>
          <w:fldChar w:fldCharType="end"/>
        </w:r>
      </w:hyperlink>
    </w:p>
    <w:p w14:paraId="0C49148A" w14:textId="227B920C" w:rsidR="00972B50" w:rsidRDefault="00250458">
      <w:pPr>
        <w:pStyle w:val="TOC1"/>
        <w:rPr>
          <w:rFonts w:asciiTheme="minorHAnsi" w:eastAsiaTheme="minorEastAsia" w:hAnsiTheme="minorHAnsi" w:cstheme="minorBidi"/>
          <w:noProof/>
          <w:sz w:val="22"/>
          <w:szCs w:val="22"/>
        </w:rPr>
      </w:pPr>
      <w:hyperlink w:anchor="_Toc32571878" w:history="1">
        <w:r w:rsidR="00972B50" w:rsidRPr="007B1B1D">
          <w:rPr>
            <w:rStyle w:val="Hyperlink"/>
            <w:rFonts w:ascii="Times New Roman Bold" w:hAnsi="Times New Roman Bold"/>
            <w:noProof/>
          </w:rPr>
          <w:t>2.0</w:t>
        </w:r>
        <w:r w:rsidR="00972B50">
          <w:rPr>
            <w:rFonts w:asciiTheme="minorHAnsi" w:eastAsiaTheme="minorEastAsia" w:hAnsiTheme="minorHAnsi" w:cstheme="minorBidi"/>
            <w:noProof/>
            <w:sz w:val="22"/>
            <w:szCs w:val="22"/>
          </w:rPr>
          <w:tab/>
        </w:r>
        <w:r w:rsidR="00972B50" w:rsidRPr="007B1B1D">
          <w:rPr>
            <w:rStyle w:val="Hyperlink"/>
            <w:noProof/>
          </w:rPr>
          <w:t>DEFINITIONS</w:t>
        </w:r>
        <w:r w:rsidR="00972B50">
          <w:rPr>
            <w:noProof/>
            <w:webHidden/>
          </w:rPr>
          <w:tab/>
        </w:r>
        <w:r w:rsidR="00972B50">
          <w:rPr>
            <w:noProof/>
            <w:webHidden/>
          </w:rPr>
          <w:fldChar w:fldCharType="begin"/>
        </w:r>
        <w:r w:rsidR="00972B50">
          <w:rPr>
            <w:noProof/>
            <w:webHidden/>
          </w:rPr>
          <w:instrText xml:space="preserve"> PAGEREF _Toc32571878 \h </w:instrText>
        </w:r>
        <w:r w:rsidR="00972B50">
          <w:rPr>
            <w:noProof/>
            <w:webHidden/>
          </w:rPr>
        </w:r>
        <w:r w:rsidR="00972B50">
          <w:rPr>
            <w:noProof/>
            <w:webHidden/>
          </w:rPr>
          <w:fldChar w:fldCharType="separate"/>
        </w:r>
        <w:r w:rsidR="00972B50">
          <w:rPr>
            <w:noProof/>
            <w:webHidden/>
          </w:rPr>
          <w:t>3</w:t>
        </w:r>
        <w:r w:rsidR="00972B50">
          <w:rPr>
            <w:noProof/>
            <w:webHidden/>
          </w:rPr>
          <w:fldChar w:fldCharType="end"/>
        </w:r>
      </w:hyperlink>
    </w:p>
    <w:p w14:paraId="6AA5AA67" w14:textId="55FA6BF0" w:rsidR="00972B50" w:rsidRDefault="00250458">
      <w:pPr>
        <w:pStyle w:val="TOC1"/>
        <w:rPr>
          <w:rFonts w:asciiTheme="minorHAnsi" w:eastAsiaTheme="minorEastAsia" w:hAnsiTheme="minorHAnsi" w:cstheme="minorBidi"/>
          <w:noProof/>
          <w:sz w:val="22"/>
          <w:szCs w:val="22"/>
        </w:rPr>
      </w:pPr>
      <w:hyperlink w:anchor="_Toc32571879" w:history="1">
        <w:r w:rsidR="00972B50" w:rsidRPr="007B1B1D">
          <w:rPr>
            <w:rStyle w:val="Hyperlink"/>
            <w:rFonts w:ascii="Times New Roman Bold" w:hAnsi="Times New Roman Bold"/>
            <w:noProof/>
          </w:rPr>
          <w:t>3.0</w:t>
        </w:r>
        <w:r w:rsidR="00972B50">
          <w:rPr>
            <w:rFonts w:asciiTheme="minorHAnsi" w:eastAsiaTheme="minorEastAsia" w:hAnsiTheme="minorHAnsi" w:cstheme="minorBidi"/>
            <w:noProof/>
            <w:sz w:val="22"/>
            <w:szCs w:val="22"/>
          </w:rPr>
          <w:tab/>
        </w:r>
        <w:r w:rsidR="00972B50" w:rsidRPr="007B1B1D">
          <w:rPr>
            <w:rStyle w:val="Hyperlink"/>
            <w:noProof/>
          </w:rPr>
          <w:t>RESPONSIBILITIES</w:t>
        </w:r>
        <w:r w:rsidR="00972B50">
          <w:rPr>
            <w:noProof/>
            <w:webHidden/>
          </w:rPr>
          <w:tab/>
        </w:r>
        <w:r w:rsidR="00972B50">
          <w:rPr>
            <w:noProof/>
            <w:webHidden/>
          </w:rPr>
          <w:fldChar w:fldCharType="begin"/>
        </w:r>
        <w:r w:rsidR="00972B50">
          <w:rPr>
            <w:noProof/>
            <w:webHidden/>
          </w:rPr>
          <w:instrText xml:space="preserve"> PAGEREF _Toc32571879 \h </w:instrText>
        </w:r>
        <w:r w:rsidR="00972B50">
          <w:rPr>
            <w:noProof/>
            <w:webHidden/>
          </w:rPr>
        </w:r>
        <w:r w:rsidR="00972B50">
          <w:rPr>
            <w:noProof/>
            <w:webHidden/>
          </w:rPr>
          <w:fldChar w:fldCharType="separate"/>
        </w:r>
        <w:r w:rsidR="00972B50">
          <w:rPr>
            <w:noProof/>
            <w:webHidden/>
          </w:rPr>
          <w:t>4</w:t>
        </w:r>
        <w:r w:rsidR="00972B50">
          <w:rPr>
            <w:noProof/>
            <w:webHidden/>
          </w:rPr>
          <w:fldChar w:fldCharType="end"/>
        </w:r>
      </w:hyperlink>
    </w:p>
    <w:p w14:paraId="70871B10" w14:textId="2BF89680" w:rsidR="00972B50" w:rsidRDefault="00250458">
      <w:pPr>
        <w:pStyle w:val="TOC2"/>
        <w:rPr>
          <w:rFonts w:asciiTheme="minorHAnsi" w:eastAsiaTheme="minorEastAsia" w:hAnsiTheme="minorHAnsi" w:cstheme="minorBidi"/>
          <w:noProof/>
          <w:sz w:val="22"/>
          <w:szCs w:val="22"/>
        </w:rPr>
      </w:pPr>
      <w:hyperlink w:anchor="_Toc32571880" w:history="1">
        <w:r w:rsidR="00972B50" w:rsidRPr="007B1B1D">
          <w:rPr>
            <w:rStyle w:val="Hyperlink"/>
            <w:rFonts w:ascii="Times New Roman Bold" w:hAnsi="Times New Roman Bold"/>
            <w:noProof/>
          </w:rPr>
          <w:t>3.2</w:t>
        </w:r>
        <w:r w:rsidR="00972B50">
          <w:rPr>
            <w:rFonts w:asciiTheme="minorHAnsi" w:eastAsiaTheme="minorEastAsia" w:hAnsiTheme="minorHAnsi" w:cstheme="minorBidi"/>
            <w:noProof/>
            <w:sz w:val="22"/>
            <w:szCs w:val="22"/>
          </w:rPr>
          <w:tab/>
        </w:r>
        <w:r w:rsidR="00972B50" w:rsidRPr="007B1B1D">
          <w:rPr>
            <w:rStyle w:val="Hyperlink"/>
            <w:noProof/>
          </w:rPr>
          <w:t>Division/Section/Project (D/S/P) Heads</w:t>
        </w:r>
        <w:r w:rsidR="00972B50">
          <w:rPr>
            <w:noProof/>
            <w:webHidden/>
          </w:rPr>
          <w:tab/>
        </w:r>
        <w:r w:rsidR="00972B50">
          <w:rPr>
            <w:noProof/>
            <w:webHidden/>
          </w:rPr>
          <w:fldChar w:fldCharType="begin"/>
        </w:r>
        <w:r w:rsidR="00972B50">
          <w:rPr>
            <w:noProof/>
            <w:webHidden/>
          </w:rPr>
          <w:instrText xml:space="preserve"> PAGEREF _Toc32571880 \h </w:instrText>
        </w:r>
        <w:r w:rsidR="00972B50">
          <w:rPr>
            <w:noProof/>
            <w:webHidden/>
          </w:rPr>
        </w:r>
        <w:r w:rsidR="00972B50">
          <w:rPr>
            <w:noProof/>
            <w:webHidden/>
          </w:rPr>
          <w:fldChar w:fldCharType="separate"/>
        </w:r>
        <w:r w:rsidR="00972B50">
          <w:rPr>
            <w:noProof/>
            <w:webHidden/>
          </w:rPr>
          <w:t>5</w:t>
        </w:r>
        <w:r w:rsidR="00972B50">
          <w:rPr>
            <w:noProof/>
            <w:webHidden/>
          </w:rPr>
          <w:fldChar w:fldCharType="end"/>
        </w:r>
      </w:hyperlink>
    </w:p>
    <w:p w14:paraId="0A26395D" w14:textId="1B0DD082" w:rsidR="00972B50" w:rsidRDefault="00250458">
      <w:pPr>
        <w:pStyle w:val="TOC2"/>
        <w:rPr>
          <w:rFonts w:asciiTheme="minorHAnsi" w:eastAsiaTheme="minorEastAsia" w:hAnsiTheme="minorHAnsi" w:cstheme="minorBidi"/>
          <w:noProof/>
          <w:sz w:val="22"/>
          <w:szCs w:val="22"/>
        </w:rPr>
      </w:pPr>
      <w:hyperlink w:anchor="_Toc32571881" w:history="1">
        <w:r w:rsidR="00972B50" w:rsidRPr="007B1B1D">
          <w:rPr>
            <w:rStyle w:val="Hyperlink"/>
            <w:rFonts w:ascii="Times New Roman Bold" w:hAnsi="Times New Roman Bold"/>
            <w:noProof/>
          </w:rPr>
          <w:t>3.3</w:t>
        </w:r>
        <w:r w:rsidR="00972B50">
          <w:rPr>
            <w:rFonts w:asciiTheme="minorHAnsi" w:eastAsiaTheme="minorEastAsia" w:hAnsiTheme="minorHAnsi" w:cstheme="minorBidi"/>
            <w:noProof/>
            <w:sz w:val="22"/>
            <w:szCs w:val="22"/>
          </w:rPr>
          <w:tab/>
        </w:r>
        <w:r w:rsidR="00972B50" w:rsidRPr="007B1B1D">
          <w:rPr>
            <w:rStyle w:val="Hyperlink"/>
            <w:noProof/>
          </w:rPr>
          <w:t>FESS</w:t>
        </w:r>
        <w:r w:rsidR="00972B50">
          <w:rPr>
            <w:noProof/>
            <w:webHidden/>
          </w:rPr>
          <w:tab/>
        </w:r>
        <w:r w:rsidR="00972B50">
          <w:rPr>
            <w:noProof/>
            <w:webHidden/>
          </w:rPr>
          <w:fldChar w:fldCharType="begin"/>
        </w:r>
        <w:r w:rsidR="00972B50">
          <w:rPr>
            <w:noProof/>
            <w:webHidden/>
          </w:rPr>
          <w:instrText xml:space="preserve"> PAGEREF _Toc32571881 \h </w:instrText>
        </w:r>
        <w:r w:rsidR="00972B50">
          <w:rPr>
            <w:noProof/>
            <w:webHidden/>
          </w:rPr>
        </w:r>
        <w:r w:rsidR="00972B50">
          <w:rPr>
            <w:noProof/>
            <w:webHidden/>
          </w:rPr>
          <w:fldChar w:fldCharType="separate"/>
        </w:r>
        <w:r w:rsidR="00972B50">
          <w:rPr>
            <w:noProof/>
            <w:webHidden/>
          </w:rPr>
          <w:t>5</w:t>
        </w:r>
        <w:r w:rsidR="00972B50">
          <w:rPr>
            <w:noProof/>
            <w:webHidden/>
          </w:rPr>
          <w:fldChar w:fldCharType="end"/>
        </w:r>
      </w:hyperlink>
    </w:p>
    <w:p w14:paraId="777364B2" w14:textId="643AF108" w:rsidR="00972B50" w:rsidRDefault="00250458">
      <w:pPr>
        <w:pStyle w:val="TOC1"/>
        <w:rPr>
          <w:rFonts w:asciiTheme="minorHAnsi" w:eastAsiaTheme="minorEastAsia" w:hAnsiTheme="minorHAnsi" w:cstheme="minorBidi"/>
          <w:noProof/>
          <w:sz w:val="22"/>
          <w:szCs w:val="22"/>
        </w:rPr>
      </w:pPr>
      <w:hyperlink w:anchor="_Toc32571882" w:history="1">
        <w:r w:rsidR="00972B50" w:rsidRPr="007B1B1D">
          <w:rPr>
            <w:rStyle w:val="Hyperlink"/>
            <w:rFonts w:ascii="Times New Roman Bold" w:hAnsi="Times New Roman Bold"/>
            <w:noProof/>
          </w:rPr>
          <w:t>4.0</w:t>
        </w:r>
        <w:r w:rsidR="00972B50">
          <w:rPr>
            <w:rFonts w:asciiTheme="minorHAnsi" w:eastAsiaTheme="minorEastAsia" w:hAnsiTheme="minorHAnsi" w:cstheme="minorBidi"/>
            <w:noProof/>
            <w:sz w:val="22"/>
            <w:szCs w:val="22"/>
          </w:rPr>
          <w:tab/>
        </w:r>
        <w:r w:rsidR="00972B50" w:rsidRPr="007B1B1D">
          <w:rPr>
            <w:rStyle w:val="Hyperlink"/>
            <w:noProof/>
          </w:rPr>
          <w:t>PROGRAM DESCRIPTION</w:t>
        </w:r>
        <w:r w:rsidR="00972B50">
          <w:rPr>
            <w:noProof/>
            <w:webHidden/>
          </w:rPr>
          <w:tab/>
        </w:r>
        <w:r w:rsidR="00972B50">
          <w:rPr>
            <w:noProof/>
            <w:webHidden/>
          </w:rPr>
          <w:fldChar w:fldCharType="begin"/>
        </w:r>
        <w:r w:rsidR="00972B50">
          <w:rPr>
            <w:noProof/>
            <w:webHidden/>
          </w:rPr>
          <w:instrText xml:space="preserve"> PAGEREF _Toc32571882 \h </w:instrText>
        </w:r>
        <w:r w:rsidR="00972B50">
          <w:rPr>
            <w:noProof/>
            <w:webHidden/>
          </w:rPr>
        </w:r>
        <w:r w:rsidR="00972B50">
          <w:rPr>
            <w:noProof/>
            <w:webHidden/>
          </w:rPr>
          <w:fldChar w:fldCharType="separate"/>
        </w:r>
        <w:r w:rsidR="00972B50">
          <w:rPr>
            <w:noProof/>
            <w:webHidden/>
          </w:rPr>
          <w:t>5</w:t>
        </w:r>
        <w:r w:rsidR="00972B50">
          <w:rPr>
            <w:noProof/>
            <w:webHidden/>
          </w:rPr>
          <w:fldChar w:fldCharType="end"/>
        </w:r>
      </w:hyperlink>
    </w:p>
    <w:p w14:paraId="20EAFE8C" w14:textId="5C456C8F" w:rsidR="00972B50" w:rsidRDefault="00250458">
      <w:pPr>
        <w:pStyle w:val="TOC1"/>
        <w:rPr>
          <w:rFonts w:asciiTheme="minorHAnsi" w:eastAsiaTheme="minorEastAsia" w:hAnsiTheme="minorHAnsi" w:cstheme="minorBidi"/>
          <w:noProof/>
          <w:sz w:val="22"/>
          <w:szCs w:val="22"/>
        </w:rPr>
      </w:pPr>
      <w:hyperlink w:anchor="_Toc32571883" w:history="1">
        <w:r w:rsidR="00972B50" w:rsidRPr="007B1B1D">
          <w:rPr>
            <w:rStyle w:val="Hyperlink"/>
            <w:rFonts w:ascii="Times New Roman Bold" w:hAnsi="Times New Roman Bold"/>
            <w:noProof/>
          </w:rPr>
          <w:t>5.0</w:t>
        </w:r>
        <w:r w:rsidR="00972B50">
          <w:rPr>
            <w:rFonts w:asciiTheme="minorHAnsi" w:eastAsiaTheme="minorEastAsia" w:hAnsiTheme="minorHAnsi" w:cstheme="minorBidi"/>
            <w:noProof/>
            <w:sz w:val="22"/>
            <w:szCs w:val="22"/>
          </w:rPr>
          <w:tab/>
        </w:r>
        <w:r w:rsidR="00972B50" w:rsidRPr="007B1B1D">
          <w:rPr>
            <w:rStyle w:val="Hyperlink"/>
            <w:noProof/>
          </w:rPr>
          <w:t>PROCEDURES</w:t>
        </w:r>
        <w:r w:rsidR="00972B50">
          <w:rPr>
            <w:noProof/>
            <w:webHidden/>
          </w:rPr>
          <w:tab/>
        </w:r>
        <w:r w:rsidR="00972B50">
          <w:rPr>
            <w:noProof/>
            <w:webHidden/>
          </w:rPr>
          <w:fldChar w:fldCharType="begin"/>
        </w:r>
        <w:r w:rsidR="00972B50">
          <w:rPr>
            <w:noProof/>
            <w:webHidden/>
          </w:rPr>
          <w:instrText xml:space="preserve"> PAGEREF _Toc32571883 \h </w:instrText>
        </w:r>
        <w:r w:rsidR="00972B50">
          <w:rPr>
            <w:noProof/>
            <w:webHidden/>
          </w:rPr>
        </w:r>
        <w:r w:rsidR="00972B50">
          <w:rPr>
            <w:noProof/>
            <w:webHidden/>
          </w:rPr>
          <w:fldChar w:fldCharType="separate"/>
        </w:r>
        <w:r w:rsidR="00972B50">
          <w:rPr>
            <w:noProof/>
            <w:webHidden/>
          </w:rPr>
          <w:t>6</w:t>
        </w:r>
        <w:r w:rsidR="00972B50">
          <w:rPr>
            <w:noProof/>
            <w:webHidden/>
          </w:rPr>
          <w:fldChar w:fldCharType="end"/>
        </w:r>
      </w:hyperlink>
    </w:p>
    <w:p w14:paraId="7233FA54" w14:textId="2369214B" w:rsidR="00972B50" w:rsidRDefault="00250458">
      <w:pPr>
        <w:pStyle w:val="TOC1"/>
        <w:rPr>
          <w:rFonts w:asciiTheme="minorHAnsi" w:eastAsiaTheme="minorEastAsia" w:hAnsiTheme="minorHAnsi" w:cstheme="minorBidi"/>
          <w:noProof/>
          <w:sz w:val="22"/>
          <w:szCs w:val="22"/>
        </w:rPr>
      </w:pPr>
      <w:hyperlink w:anchor="_Toc32571884" w:history="1">
        <w:r w:rsidR="00972B50" w:rsidRPr="007B1B1D">
          <w:rPr>
            <w:rStyle w:val="Hyperlink"/>
            <w:rFonts w:ascii="Times New Roman Bold" w:hAnsi="Times New Roman Bold"/>
            <w:noProof/>
          </w:rPr>
          <w:t>6.0</w:t>
        </w:r>
        <w:r w:rsidR="00972B50">
          <w:rPr>
            <w:rFonts w:asciiTheme="minorHAnsi" w:eastAsiaTheme="minorEastAsia" w:hAnsiTheme="minorHAnsi" w:cstheme="minorBidi"/>
            <w:noProof/>
            <w:sz w:val="22"/>
            <w:szCs w:val="22"/>
          </w:rPr>
          <w:tab/>
        </w:r>
        <w:r w:rsidR="00972B50" w:rsidRPr="007B1B1D">
          <w:rPr>
            <w:rStyle w:val="Hyperlink"/>
            <w:noProof/>
          </w:rPr>
          <w:t>Table 1</w:t>
        </w:r>
        <w:r w:rsidR="00972B50">
          <w:rPr>
            <w:noProof/>
            <w:webHidden/>
          </w:rPr>
          <w:tab/>
        </w:r>
        <w:r w:rsidR="00972B50">
          <w:rPr>
            <w:noProof/>
            <w:webHidden/>
          </w:rPr>
          <w:fldChar w:fldCharType="begin"/>
        </w:r>
        <w:r w:rsidR="00972B50">
          <w:rPr>
            <w:noProof/>
            <w:webHidden/>
          </w:rPr>
          <w:instrText xml:space="preserve"> PAGEREF _Toc32571884 \h </w:instrText>
        </w:r>
        <w:r w:rsidR="00972B50">
          <w:rPr>
            <w:noProof/>
            <w:webHidden/>
          </w:rPr>
        </w:r>
        <w:r w:rsidR="00972B50">
          <w:rPr>
            <w:noProof/>
            <w:webHidden/>
          </w:rPr>
          <w:fldChar w:fldCharType="separate"/>
        </w:r>
        <w:r w:rsidR="00972B50">
          <w:rPr>
            <w:noProof/>
            <w:webHidden/>
          </w:rPr>
          <w:t>8</w:t>
        </w:r>
        <w:r w:rsidR="00972B50">
          <w:rPr>
            <w:noProof/>
            <w:webHidden/>
          </w:rPr>
          <w:fldChar w:fldCharType="end"/>
        </w:r>
      </w:hyperlink>
    </w:p>
    <w:p w14:paraId="4F174E91" w14:textId="25A1D7C6" w:rsidR="00972B50" w:rsidRDefault="00250458">
      <w:pPr>
        <w:pStyle w:val="TOC1"/>
        <w:rPr>
          <w:rFonts w:asciiTheme="minorHAnsi" w:eastAsiaTheme="minorEastAsia" w:hAnsiTheme="minorHAnsi" w:cstheme="minorBidi"/>
          <w:noProof/>
          <w:sz w:val="22"/>
          <w:szCs w:val="22"/>
        </w:rPr>
      </w:pPr>
      <w:hyperlink w:anchor="_Toc32571885" w:history="1">
        <w:r w:rsidR="00972B50" w:rsidRPr="007B1B1D">
          <w:rPr>
            <w:rStyle w:val="Hyperlink"/>
            <w:rFonts w:ascii="Times New Roman Bold" w:hAnsi="Times New Roman Bold"/>
            <w:noProof/>
          </w:rPr>
          <w:t>7.0</w:t>
        </w:r>
        <w:r w:rsidR="00972B50">
          <w:rPr>
            <w:rFonts w:asciiTheme="minorHAnsi" w:eastAsiaTheme="minorEastAsia" w:hAnsiTheme="minorHAnsi" w:cstheme="minorBidi"/>
            <w:noProof/>
            <w:sz w:val="22"/>
            <w:szCs w:val="22"/>
          </w:rPr>
          <w:tab/>
        </w:r>
        <w:r w:rsidR="00972B50" w:rsidRPr="007B1B1D">
          <w:rPr>
            <w:rStyle w:val="Hyperlink"/>
            <w:noProof/>
          </w:rPr>
          <w:t>Table 2</w:t>
        </w:r>
        <w:r w:rsidR="00972B50">
          <w:rPr>
            <w:noProof/>
            <w:webHidden/>
          </w:rPr>
          <w:tab/>
        </w:r>
        <w:r w:rsidR="00972B50">
          <w:rPr>
            <w:noProof/>
            <w:webHidden/>
          </w:rPr>
          <w:fldChar w:fldCharType="begin"/>
        </w:r>
        <w:r w:rsidR="00972B50">
          <w:rPr>
            <w:noProof/>
            <w:webHidden/>
          </w:rPr>
          <w:instrText xml:space="preserve"> PAGEREF _Toc32571885 \h </w:instrText>
        </w:r>
        <w:r w:rsidR="00972B50">
          <w:rPr>
            <w:noProof/>
            <w:webHidden/>
          </w:rPr>
        </w:r>
        <w:r w:rsidR="00972B50">
          <w:rPr>
            <w:noProof/>
            <w:webHidden/>
          </w:rPr>
          <w:fldChar w:fldCharType="separate"/>
        </w:r>
        <w:r w:rsidR="00972B50">
          <w:rPr>
            <w:noProof/>
            <w:webHidden/>
          </w:rPr>
          <w:t>9</w:t>
        </w:r>
        <w:r w:rsidR="00972B50">
          <w:rPr>
            <w:noProof/>
            <w:webHidden/>
          </w:rPr>
          <w:fldChar w:fldCharType="end"/>
        </w:r>
      </w:hyperlink>
    </w:p>
    <w:p w14:paraId="4C2DF9CD" w14:textId="53B1E57D" w:rsidR="00972B50" w:rsidRDefault="00250458">
      <w:pPr>
        <w:pStyle w:val="TOC1"/>
        <w:rPr>
          <w:rFonts w:asciiTheme="minorHAnsi" w:eastAsiaTheme="minorEastAsia" w:hAnsiTheme="minorHAnsi" w:cstheme="minorBidi"/>
          <w:noProof/>
          <w:sz w:val="22"/>
          <w:szCs w:val="22"/>
        </w:rPr>
      </w:pPr>
      <w:hyperlink w:anchor="_Toc32571886" w:history="1">
        <w:r w:rsidR="00972B50" w:rsidRPr="007B1B1D">
          <w:rPr>
            <w:rStyle w:val="Hyperlink"/>
            <w:rFonts w:ascii="Times New Roman Bold" w:hAnsi="Times New Roman Bold"/>
            <w:noProof/>
          </w:rPr>
          <w:t>8.0</w:t>
        </w:r>
        <w:r w:rsidR="00972B50">
          <w:rPr>
            <w:rFonts w:asciiTheme="minorHAnsi" w:eastAsiaTheme="minorEastAsia" w:hAnsiTheme="minorHAnsi" w:cstheme="minorBidi"/>
            <w:noProof/>
            <w:sz w:val="22"/>
            <w:szCs w:val="22"/>
          </w:rPr>
          <w:tab/>
        </w:r>
        <w:r w:rsidR="00972B50" w:rsidRPr="007B1B1D">
          <w:rPr>
            <w:rStyle w:val="Hyperlink"/>
            <w:noProof/>
          </w:rPr>
          <w:t>Figure 1</w:t>
        </w:r>
        <w:r w:rsidR="00972B50">
          <w:rPr>
            <w:noProof/>
            <w:webHidden/>
          </w:rPr>
          <w:tab/>
        </w:r>
        <w:r w:rsidR="00972B50">
          <w:rPr>
            <w:noProof/>
            <w:webHidden/>
          </w:rPr>
          <w:fldChar w:fldCharType="begin"/>
        </w:r>
        <w:r w:rsidR="00972B50">
          <w:rPr>
            <w:noProof/>
            <w:webHidden/>
          </w:rPr>
          <w:instrText xml:space="preserve"> PAGEREF _Toc32571886 \h </w:instrText>
        </w:r>
        <w:r w:rsidR="00972B50">
          <w:rPr>
            <w:noProof/>
            <w:webHidden/>
          </w:rPr>
        </w:r>
        <w:r w:rsidR="00972B50">
          <w:rPr>
            <w:noProof/>
            <w:webHidden/>
          </w:rPr>
          <w:fldChar w:fldCharType="separate"/>
        </w:r>
        <w:r w:rsidR="00972B50">
          <w:rPr>
            <w:noProof/>
            <w:webHidden/>
          </w:rPr>
          <w:t>10</w:t>
        </w:r>
        <w:r w:rsidR="00972B50">
          <w:rPr>
            <w:noProof/>
            <w:webHidden/>
          </w:rPr>
          <w:fldChar w:fldCharType="end"/>
        </w:r>
      </w:hyperlink>
    </w:p>
    <w:p w14:paraId="1AD5013F" w14:textId="3D0DA3E6" w:rsidR="00972B50" w:rsidRDefault="00250458">
      <w:pPr>
        <w:pStyle w:val="TOC1"/>
        <w:rPr>
          <w:rFonts w:asciiTheme="minorHAnsi" w:eastAsiaTheme="minorEastAsia" w:hAnsiTheme="minorHAnsi" w:cstheme="minorBidi"/>
          <w:noProof/>
          <w:sz w:val="22"/>
          <w:szCs w:val="22"/>
        </w:rPr>
      </w:pPr>
      <w:hyperlink w:anchor="_Toc32571887" w:history="1">
        <w:r w:rsidR="00972B50" w:rsidRPr="007B1B1D">
          <w:rPr>
            <w:rStyle w:val="Hyperlink"/>
            <w:rFonts w:ascii="Times New Roman Bold" w:hAnsi="Times New Roman Bold"/>
            <w:noProof/>
          </w:rPr>
          <w:t>9.0</w:t>
        </w:r>
        <w:r w:rsidR="00972B50">
          <w:rPr>
            <w:rFonts w:asciiTheme="minorHAnsi" w:eastAsiaTheme="minorEastAsia" w:hAnsiTheme="minorHAnsi" w:cstheme="minorBidi"/>
            <w:noProof/>
            <w:sz w:val="22"/>
            <w:szCs w:val="22"/>
          </w:rPr>
          <w:tab/>
        </w:r>
        <w:r w:rsidR="00972B50" w:rsidRPr="007B1B1D">
          <w:rPr>
            <w:rStyle w:val="Hyperlink"/>
            <w:noProof/>
          </w:rPr>
          <w:t>Appendix A</w:t>
        </w:r>
        <w:r w:rsidR="00972B50">
          <w:rPr>
            <w:noProof/>
            <w:webHidden/>
          </w:rPr>
          <w:tab/>
        </w:r>
        <w:r w:rsidR="00972B50">
          <w:rPr>
            <w:noProof/>
            <w:webHidden/>
          </w:rPr>
          <w:fldChar w:fldCharType="begin"/>
        </w:r>
        <w:r w:rsidR="00972B50">
          <w:rPr>
            <w:noProof/>
            <w:webHidden/>
          </w:rPr>
          <w:instrText xml:space="preserve"> PAGEREF _Toc32571887 \h </w:instrText>
        </w:r>
        <w:r w:rsidR="00972B50">
          <w:rPr>
            <w:noProof/>
            <w:webHidden/>
          </w:rPr>
        </w:r>
        <w:r w:rsidR="00972B50">
          <w:rPr>
            <w:noProof/>
            <w:webHidden/>
          </w:rPr>
          <w:fldChar w:fldCharType="separate"/>
        </w:r>
        <w:r w:rsidR="00972B50">
          <w:rPr>
            <w:noProof/>
            <w:webHidden/>
          </w:rPr>
          <w:t>11</w:t>
        </w:r>
        <w:r w:rsidR="00972B50">
          <w:rPr>
            <w:noProof/>
            <w:webHidden/>
          </w:rPr>
          <w:fldChar w:fldCharType="end"/>
        </w:r>
      </w:hyperlink>
    </w:p>
    <w:p w14:paraId="72E306D2" w14:textId="2D77EF07" w:rsidR="00A96FFC" w:rsidRDefault="005F7078" w:rsidP="003559A3">
      <w:pPr>
        <w:tabs>
          <w:tab w:val="right" w:leader="dot" w:pos="9720"/>
        </w:tabs>
        <w:jc w:val="left"/>
        <w:rPr>
          <w:bCs/>
        </w:rPr>
      </w:pPr>
      <w:r>
        <w:rPr>
          <w:bCs/>
        </w:rPr>
        <w:fldChar w:fldCharType="end"/>
      </w:r>
    </w:p>
    <w:p w14:paraId="0A899E8D" w14:textId="77777777" w:rsidR="00084E8E" w:rsidRPr="00FA370A" w:rsidRDefault="00084E8E" w:rsidP="002441F5">
      <w:pPr>
        <w:jc w:val="left"/>
        <w:rPr>
          <w:bCs/>
        </w:rPr>
      </w:pPr>
    </w:p>
    <w:p w14:paraId="5C944F3A" w14:textId="77777777" w:rsidR="00A96FFC" w:rsidRPr="00A96FFC" w:rsidRDefault="00A96FFC">
      <w:pPr>
        <w:rPr>
          <w:bCs/>
        </w:rPr>
      </w:pPr>
    </w:p>
    <w:p w14:paraId="40B05344" w14:textId="77777777" w:rsidR="00A96FFC" w:rsidRPr="00A96FFC" w:rsidRDefault="00A96FFC">
      <w:pPr>
        <w:rPr>
          <w:bCs/>
        </w:rPr>
        <w:sectPr w:rsidR="00A96FFC" w:rsidRPr="00A96FFC" w:rsidSect="00422923">
          <w:pgSz w:w="12240" w:h="15840" w:code="1"/>
          <w:pgMar w:top="720" w:right="1080" w:bottom="720" w:left="1440" w:header="720" w:footer="389" w:gutter="0"/>
          <w:cols w:space="720"/>
          <w:docGrid w:linePitch="360"/>
        </w:sectPr>
      </w:pPr>
    </w:p>
    <w:p w14:paraId="47772075" w14:textId="77777777" w:rsidR="00D52AE5" w:rsidRPr="00D52AE5" w:rsidRDefault="00D52AE5" w:rsidP="00D52AE5">
      <w:pPr>
        <w:pStyle w:val="Heading1"/>
        <w:numPr>
          <w:ilvl w:val="0"/>
          <w:numId w:val="0"/>
        </w:numPr>
        <w:ind w:left="360"/>
        <w:jc w:val="both"/>
        <w:rPr>
          <w:b w:val="0"/>
          <w:sz w:val="24"/>
          <w:szCs w:val="24"/>
        </w:rPr>
      </w:pPr>
    </w:p>
    <w:p w14:paraId="402510A8" w14:textId="77777777" w:rsidR="00CE5B8A" w:rsidRPr="00774629" w:rsidRDefault="007D5A75" w:rsidP="00915995">
      <w:pPr>
        <w:pStyle w:val="Heading1"/>
        <w:ind w:left="90"/>
      </w:pPr>
      <w:bookmarkStart w:id="0" w:name="_Toc32571877"/>
      <w:r>
        <w:t>INTRODUCTION</w:t>
      </w:r>
      <w:bookmarkEnd w:id="0"/>
    </w:p>
    <w:p w14:paraId="68FCC2F0" w14:textId="77777777" w:rsidR="00D435EC" w:rsidRPr="007D5A75" w:rsidRDefault="00D435EC"/>
    <w:p w14:paraId="43CF5D16" w14:textId="20B8CD84" w:rsidR="005756F9" w:rsidRPr="005756F9" w:rsidRDefault="005756F9" w:rsidP="005756F9">
      <w:pPr>
        <w:jc w:val="left"/>
        <w:rPr>
          <w:szCs w:val="20"/>
        </w:rPr>
      </w:pPr>
      <w:r w:rsidRPr="005756F9">
        <w:rPr>
          <w:szCs w:val="20"/>
        </w:rPr>
        <w:t xml:space="preserve">Discharges to sanitary sewerage systems are regulated by the Illinois Environmental Protection Agency (IEPA) under authority delegated to the state by the U.S. Environmental Protection Agency.  Ultimate authority is under the 1972 Clean Water Act (CWA) and amendments passed in 1977 (see APPLICABLE STANDARDS, below, for a complete list of state and federal standards).  Regulations apply to every user of a sewerage </w:t>
      </w:r>
      <w:r w:rsidR="007B58F6" w:rsidRPr="005756F9">
        <w:rPr>
          <w:szCs w:val="20"/>
        </w:rPr>
        <w:t>system and</w:t>
      </w:r>
      <w:r w:rsidRPr="005756F9">
        <w:rPr>
          <w:szCs w:val="20"/>
        </w:rPr>
        <w:t xml:space="preserve"> forbid the discharge of pollutants that might pass through publicly owned treatment works (POTW) untreated, </w:t>
      </w:r>
      <w:r w:rsidR="0013713C">
        <w:rPr>
          <w:szCs w:val="20"/>
        </w:rPr>
        <w:t xml:space="preserve">or </w:t>
      </w:r>
      <w:r w:rsidRPr="005756F9">
        <w:rPr>
          <w:szCs w:val="20"/>
        </w:rPr>
        <w:t>that could create an unsafe situation for POTW workers</w:t>
      </w:r>
      <w:r w:rsidR="0013713C">
        <w:rPr>
          <w:szCs w:val="20"/>
        </w:rPr>
        <w:t>,</w:t>
      </w:r>
      <w:r w:rsidRPr="005756F9">
        <w:rPr>
          <w:szCs w:val="20"/>
        </w:rPr>
        <w:t xml:space="preserve"> or that might interfere with the operations of the POTW.</w:t>
      </w:r>
    </w:p>
    <w:p w14:paraId="0532DE0D" w14:textId="77777777" w:rsidR="005756F9" w:rsidRPr="005756F9" w:rsidRDefault="005756F9" w:rsidP="005756F9">
      <w:pPr>
        <w:jc w:val="left"/>
        <w:rPr>
          <w:szCs w:val="20"/>
        </w:rPr>
      </w:pPr>
    </w:p>
    <w:p w14:paraId="0B7D5006" w14:textId="114849A1" w:rsidR="005756F9" w:rsidRPr="005756F9" w:rsidRDefault="005756F9" w:rsidP="005756F9">
      <w:pPr>
        <w:jc w:val="left"/>
        <w:rPr>
          <w:szCs w:val="20"/>
        </w:rPr>
      </w:pPr>
      <w:r w:rsidRPr="005756F9">
        <w:rPr>
          <w:szCs w:val="20"/>
        </w:rPr>
        <w:t>Illinois regulates the use of the sanitary sewerage system by enforcing the federal pretreatment program.  Fermilab discharges are subject to discharge standards set by federal, state, and local regulations and ordinances.  Effluents are conveyed to POTW facilities in Batavia and Warrenville/</w:t>
      </w:r>
      <w:r w:rsidR="007D4A05" w:rsidRPr="005756F9">
        <w:rPr>
          <w:szCs w:val="20"/>
        </w:rPr>
        <w:t>Naperville, and</w:t>
      </w:r>
      <w:r w:rsidRPr="005756F9">
        <w:rPr>
          <w:szCs w:val="20"/>
        </w:rPr>
        <w:t xml:space="preserve"> are subject to discharge limits set by municipal ordinance (see </w:t>
      </w:r>
      <w:r w:rsidR="00D10F95">
        <w:rPr>
          <w:szCs w:val="20"/>
        </w:rPr>
        <w:t>Table 2</w:t>
      </w:r>
      <w:r w:rsidRPr="005756F9">
        <w:rPr>
          <w:szCs w:val="20"/>
        </w:rPr>
        <w:t xml:space="preserve"> for specific limits).  Fermilab also holds </w:t>
      </w:r>
      <w:r>
        <w:rPr>
          <w:szCs w:val="20"/>
        </w:rPr>
        <w:t xml:space="preserve">Division/ Section specific </w:t>
      </w:r>
      <w:r w:rsidRPr="005756F9">
        <w:rPr>
          <w:szCs w:val="20"/>
        </w:rPr>
        <w:t>pretreatment permit</w:t>
      </w:r>
      <w:r>
        <w:rPr>
          <w:szCs w:val="20"/>
        </w:rPr>
        <w:t>s</w:t>
      </w:r>
      <w:r w:rsidRPr="005756F9">
        <w:rPr>
          <w:szCs w:val="20"/>
        </w:rPr>
        <w:t xml:space="preserve"> to release treated effluent to the sanitary sewerage system</w:t>
      </w:r>
      <w:r w:rsidR="00BC0BD5">
        <w:rPr>
          <w:szCs w:val="20"/>
        </w:rPr>
        <w:t>s</w:t>
      </w:r>
      <w:r w:rsidRPr="005756F9">
        <w:rPr>
          <w:szCs w:val="20"/>
        </w:rPr>
        <w:t xml:space="preserve"> from </w:t>
      </w:r>
      <w:r w:rsidR="00BC0BD5">
        <w:rPr>
          <w:szCs w:val="20"/>
        </w:rPr>
        <w:t>various industrial processes.  These permits</w:t>
      </w:r>
      <w:r w:rsidRPr="005756F9">
        <w:rPr>
          <w:szCs w:val="20"/>
        </w:rPr>
        <w:t xml:space="preserve"> require periodic analysis and reporting to </w:t>
      </w:r>
      <w:r w:rsidR="00BC0BD5">
        <w:rPr>
          <w:szCs w:val="20"/>
        </w:rPr>
        <w:t xml:space="preserve">the </w:t>
      </w:r>
      <w:r w:rsidRPr="005756F9">
        <w:rPr>
          <w:szCs w:val="20"/>
        </w:rPr>
        <w:t>IEPA.</w:t>
      </w:r>
    </w:p>
    <w:p w14:paraId="6173AB9A" w14:textId="77777777" w:rsidR="005756F9" w:rsidRPr="005756F9" w:rsidRDefault="005756F9" w:rsidP="005756F9">
      <w:pPr>
        <w:jc w:val="left"/>
        <w:rPr>
          <w:szCs w:val="20"/>
        </w:rPr>
      </w:pPr>
    </w:p>
    <w:p w14:paraId="2D8B2058" w14:textId="77777777" w:rsidR="005756F9" w:rsidRPr="005756F9" w:rsidRDefault="005756F9" w:rsidP="005756F9">
      <w:pPr>
        <w:jc w:val="left"/>
        <w:rPr>
          <w:szCs w:val="20"/>
        </w:rPr>
      </w:pPr>
      <w:r w:rsidRPr="005756F9">
        <w:rPr>
          <w:szCs w:val="20"/>
        </w:rPr>
        <w:t>This chapter describes procedures intended to protect the integrity of the Fermilab sanitary sewer system, and to ensure that discharge limits are not exceeded at the point where our discharge enters the public sewerage systems, i.e., at the Fermilab site boundaries.</w:t>
      </w:r>
    </w:p>
    <w:p w14:paraId="4D648AF0" w14:textId="77777777" w:rsidR="0020676C" w:rsidRDefault="0020676C" w:rsidP="005756F9">
      <w:pPr>
        <w:jc w:val="left"/>
        <w:rPr>
          <w:szCs w:val="20"/>
        </w:rPr>
      </w:pPr>
    </w:p>
    <w:p w14:paraId="2532F128" w14:textId="77777777" w:rsidR="0020676C" w:rsidRDefault="0020676C" w:rsidP="005756F9">
      <w:pPr>
        <w:jc w:val="left"/>
        <w:rPr>
          <w:szCs w:val="20"/>
        </w:rPr>
      </w:pPr>
      <w:r>
        <w:rPr>
          <w:szCs w:val="20"/>
        </w:rPr>
        <w:t>This chapter only applies to the Fermilab site. Leased spaces will follow the rules and regulations set forth by the partnering institution and/or state or local codes and standards.</w:t>
      </w:r>
    </w:p>
    <w:p w14:paraId="2E5A4873" w14:textId="77777777" w:rsidR="0020676C" w:rsidRPr="005756F9" w:rsidRDefault="0020676C" w:rsidP="005756F9">
      <w:pPr>
        <w:jc w:val="left"/>
        <w:rPr>
          <w:szCs w:val="20"/>
        </w:rPr>
      </w:pPr>
    </w:p>
    <w:p w14:paraId="589A311A" w14:textId="77777777" w:rsidR="005756F9" w:rsidRPr="005756F9" w:rsidRDefault="005756F9" w:rsidP="005756F9">
      <w:pPr>
        <w:jc w:val="left"/>
        <w:rPr>
          <w:b/>
          <w:bCs/>
          <w:szCs w:val="20"/>
        </w:rPr>
      </w:pPr>
      <w:r w:rsidRPr="005756F9">
        <w:rPr>
          <w:b/>
          <w:bCs/>
          <w:szCs w:val="20"/>
        </w:rPr>
        <w:t>APPLICABLE STANDARDS</w:t>
      </w:r>
    </w:p>
    <w:p w14:paraId="2E5A9DAB" w14:textId="77777777" w:rsidR="005756F9" w:rsidRPr="005756F9" w:rsidRDefault="005756F9" w:rsidP="005756F9">
      <w:pPr>
        <w:jc w:val="left"/>
        <w:rPr>
          <w:b/>
          <w:bCs/>
          <w:szCs w:val="20"/>
        </w:rPr>
      </w:pPr>
    </w:p>
    <w:p w14:paraId="655F8030" w14:textId="77777777" w:rsidR="005756F9" w:rsidRPr="005756F9" w:rsidRDefault="005756F9" w:rsidP="005756F9">
      <w:pPr>
        <w:jc w:val="left"/>
        <w:rPr>
          <w:bCs/>
          <w:szCs w:val="20"/>
        </w:rPr>
      </w:pPr>
      <w:r w:rsidRPr="00324C2D">
        <w:rPr>
          <w:bCs/>
          <w:szCs w:val="20"/>
        </w:rPr>
        <w:t>Illinois Plumbing Code at 77 Illinois Administrative Code (IAC) Chapter 890</w:t>
      </w:r>
    </w:p>
    <w:p w14:paraId="1BC58DD4" w14:textId="77777777" w:rsidR="005756F9" w:rsidRPr="005756F9" w:rsidRDefault="005756F9" w:rsidP="005756F9">
      <w:pPr>
        <w:jc w:val="left"/>
        <w:rPr>
          <w:bCs/>
          <w:szCs w:val="20"/>
        </w:rPr>
      </w:pPr>
      <w:r w:rsidRPr="00324C2D">
        <w:rPr>
          <w:bCs/>
          <w:szCs w:val="20"/>
        </w:rPr>
        <w:t>Illinois NPDES regulations at 35 IAC Subtitle D</w:t>
      </w:r>
    </w:p>
    <w:p w14:paraId="04DEB012" w14:textId="77777777" w:rsidR="004649AF" w:rsidRDefault="004649AF" w:rsidP="005756F9">
      <w:pPr>
        <w:jc w:val="left"/>
        <w:rPr>
          <w:bCs/>
          <w:szCs w:val="20"/>
        </w:rPr>
      </w:pPr>
      <w:r w:rsidRPr="00324C2D">
        <w:rPr>
          <w:bCs/>
          <w:szCs w:val="20"/>
        </w:rPr>
        <w:t>City Code</w:t>
      </w:r>
      <w:r w:rsidR="005756F9" w:rsidRPr="00324C2D">
        <w:rPr>
          <w:bCs/>
          <w:szCs w:val="20"/>
        </w:rPr>
        <w:t xml:space="preserve"> for Batavia</w:t>
      </w:r>
      <w:r w:rsidR="005756F9" w:rsidRPr="005756F9">
        <w:rPr>
          <w:bCs/>
          <w:szCs w:val="20"/>
        </w:rPr>
        <w:t xml:space="preserve"> </w:t>
      </w:r>
    </w:p>
    <w:p w14:paraId="6E1562E6" w14:textId="77777777" w:rsidR="005756F9" w:rsidRPr="005756F9" w:rsidRDefault="004649AF" w:rsidP="005756F9">
      <w:pPr>
        <w:jc w:val="left"/>
        <w:rPr>
          <w:bCs/>
          <w:szCs w:val="20"/>
        </w:rPr>
      </w:pPr>
      <w:r w:rsidRPr="00324C2D">
        <w:rPr>
          <w:bCs/>
          <w:szCs w:val="20"/>
        </w:rPr>
        <w:t>City Code for</w:t>
      </w:r>
      <w:r w:rsidR="005756F9" w:rsidRPr="00324C2D">
        <w:rPr>
          <w:bCs/>
          <w:szCs w:val="20"/>
        </w:rPr>
        <w:t xml:space="preserve"> Warrenville</w:t>
      </w:r>
    </w:p>
    <w:p w14:paraId="458012E2" w14:textId="77777777" w:rsidR="005756F9" w:rsidRPr="005756F9" w:rsidRDefault="005756F9" w:rsidP="005756F9">
      <w:pPr>
        <w:jc w:val="left"/>
        <w:rPr>
          <w:bCs/>
          <w:szCs w:val="20"/>
        </w:rPr>
      </w:pPr>
      <w:r w:rsidRPr="00324C2D">
        <w:rPr>
          <w:bCs/>
          <w:szCs w:val="20"/>
        </w:rPr>
        <w:t xml:space="preserve">DOE Order </w:t>
      </w:r>
      <w:r w:rsidR="00FC1527" w:rsidRPr="00324C2D">
        <w:rPr>
          <w:bCs/>
          <w:szCs w:val="20"/>
        </w:rPr>
        <w:t>458.1</w:t>
      </w:r>
    </w:p>
    <w:p w14:paraId="5D612F5B" w14:textId="77777777" w:rsidR="007D5A75" w:rsidRDefault="007D5A75" w:rsidP="00E00D72"/>
    <w:p w14:paraId="7462AC4B" w14:textId="77777777" w:rsidR="007D5A75" w:rsidRDefault="00527DE7" w:rsidP="00915995">
      <w:pPr>
        <w:pStyle w:val="Heading1"/>
        <w:ind w:left="90"/>
        <w:rPr>
          <w:kern w:val="0"/>
        </w:rPr>
      </w:pPr>
      <w:bookmarkStart w:id="1" w:name="_Toc32571878"/>
      <w:r>
        <w:rPr>
          <w:kern w:val="0"/>
        </w:rPr>
        <w:t>DEFINITIONS</w:t>
      </w:r>
      <w:bookmarkEnd w:id="1"/>
    </w:p>
    <w:p w14:paraId="0878AB37" w14:textId="77777777" w:rsidR="007D5A75" w:rsidRPr="007D5A75" w:rsidRDefault="007D5A75" w:rsidP="00E00D72"/>
    <w:p w14:paraId="184D1B19" w14:textId="604A604D" w:rsidR="00527DE7" w:rsidRPr="00527DE7" w:rsidRDefault="00527DE7" w:rsidP="00527DE7">
      <w:pPr>
        <w:rPr>
          <w:bCs/>
          <w:color w:val="000000"/>
        </w:rPr>
      </w:pPr>
      <w:r w:rsidRPr="00527DE7">
        <w:rPr>
          <w:b/>
          <w:color w:val="000000"/>
        </w:rPr>
        <w:t xml:space="preserve">Derived Concentration </w:t>
      </w:r>
      <w:r w:rsidR="00B41B8D">
        <w:rPr>
          <w:b/>
          <w:color w:val="000000"/>
        </w:rPr>
        <w:t>Standards (DCS)</w:t>
      </w:r>
      <w:r w:rsidRPr="00527DE7">
        <w:rPr>
          <w:color w:val="000000"/>
        </w:rPr>
        <w:t xml:space="preserve">:  </w:t>
      </w:r>
      <w:r w:rsidRPr="00527DE7">
        <w:rPr>
          <w:bCs/>
          <w:color w:val="000000"/>
        </w:rPr>
        <w:t>The concentration of a radionuclide in air or water that, under conditions of continuous exposure for one year by one exposure mode (i.e., ingestion of water, submersion in air, or inhalation), would result in an effective dose equivalent of 100 mrem (1 mSv).  (DC</w:t>
      </w:r>
      <w:r w:rsidR="00600A9D">
        <w:rPr>
          <w:bCs/>
          <w:color w:val="000000"/>
        </w:rPr>
        <w:t>S</w:t>
      </w:r>
      <w:r w:rsidRPr="00527DE7">
        <w:rPr>
          <w:bCs/>
          <w:color w:val="000000"/>
        </w:rPr>
        <w:t xml:space="preserve"> values are presented in </w:t>
      </w:r>
      <w:r w:rsidR="00B41B8D" w:rsidRPr="00324C2D">
        <w:rPr>
          <w:bCs/>
        </w:rPr>
        <w:t>DOE Technical Standard 1196-2011</w:t>
      </w:r>
      <w:r w:rsidR="004E6253">
        <w:rPr>
          <w:bCs/>
        </w:rPr>
        <w:t xml:space="preserve"> </w:t>
      </w:r>
      <w:r w:rsidR="004E6253" w:rsidRPr="00217B2F">
        <w:rPr>
          <w:bCs/>
        </w:rPr>
        <w:t>and are discussed further in FRCM Article 1106</w:t>
      </w:r>
      <w:r w:rsidRPr="00217B2F">
        <w:rPr>
          <w:bCs/>
          <w:color w:val="000000"/>
        </w:rPr>
        <w:t>).</w:t>
      </w:r>
    </w:p>
    <w:p w14:paraId="611557CF" w14:textId="77777777" w:rsidR="00527DE7" w:rsidRPr="00527DE7" w:rsidRDefault="00527DE7" w:rsidP="00527DE7">
      <w:pPr>
        <w:rPr>
          <w:b/>
          <w:color w:val="000000"/>
        </w:rPr>
      </w:pPr>
    </w:p>
    <w:p w14:paraId="0AD69637" w14:textId="77777777" w:rsidR="00527DE7" w:rsidRPr="00527DE7" w:rsidRDefault="00527DE7" w:rsidP="00527DE7">
      <w:pPr>
        <w:rPr>
          <w:color w:val="000000"/>
        </w:rPr>
      </w:pPr>
      <w:r w:rsidRPr="00527DE7">
        <w:rPr>
          <w:b/>
          <w:color w:val="000000"/>
        </w:rPr>
        <w:t>Effluent</w:t>
      </w:r>
      <w:r w:rsidRPr="00527DE7">
        <w:rPr>
          <w:color w:val="000000"/>
        </w:rPr>
        <w:t>:  Any wastewater discharged, directly or indirectly, to the waters of the State (e.g., via a storm sewer or a sanitary sewer).</w:t>
      </w:r>
    </w:p>
    <w:p w14:paraId="654D72AD" w14:textId="77777777" w:rsidR="00527DE7" w:rsidRPr="00527DE7" w:rsidRDefault="00527DE7" w:rsidP="00527DE7">
      <w:pPr>
        <w:rPr>
          <w:color w:val="000000"/>
        </w:rPr>
      </w:pPr>
    </w:p>
    <w:p w14:paraId="6735479D" w14:textId="77777777" w:rsidR="00527DE7" w:rsidRPr="00527DE7" w:rsidRDefault="00527DE7" w:rsidP="00527DE7">
      <w:pPr>
        <w:rPr>
          <w:color w:val="000000"/>
        </w:rPr>
      </w:pPr>
      <w:r w:rsidRPr="00527DE7">
        <w:rPr>
          <w:b/>
          <w:color w:val="000000"/>
        </w:rPr>
        <w:lastRenderedPageBreak/>
        <w:t>Neutralization</w:t>
      </w:r>
      <w:r w:rsidRPr="00527DE7">
        <w:rPr>
          <w:color w:val="000000"/>
        </w:rPr>
        <w:t>:  Decreasing the acidity or alkalinity of a substance by adding alkaline or acidic materials.</w:t>
      </w:r>
    </w:p>
    <w:p w14:paraId="02093A0A" w14:textId="77777777" w:rsidR="00527DE7" w:rsidRPr="00527DE7" w:rsidRDefault="00527DE7" w:rsidP="00527DE7">
      <w:pPr>
        <w:rPr>
          <w:color w:val="000000"/>
        </w:rPr>
      </w:pPr>
    </w:p>
    <w:p w14:paraId="3704499B" w14:textId="77777777" w:rsidR="00527DE7" w:rsidRPr="00527DE7" w:rsidRDefault="00527DE7" w:rsidP="00527DE7">
      <w:pPr>
        <w:rPr>
          <w:color w:val="000000"/>
        </w:rPr>
      </w:pPr>
      <w:r w:rsidRPr="00527DE7">
        <w:rPr>
          <w:b/>
          <w:color w:val="000000"/>
        </w:rPr>
        <w:t>pH</w:t>
      </w:r>
      <w:r w:rsidRPr="00527DE7">
        <w:rPr>
          <w:color w:val="000000"/>
        </w:rPr>
        <w:t>:  A measure of hydrogen ion concentration in an aqueous solution.   Solutions with a pH between 0 and 7 are acidic and solutions with a pH between 7 and 14 are basic.</w:t>
      </w:r>
    </w:p>
    <w:p w14:paraId="3A888D16" w14:textId="77777777" w:rsidR="00527DE7" w:rsidRPr="00527DE7" w:rsidRDefault="00527DE7" w:rsidP="00527DE7">
      <w:pPr>
        <w:rPr>
          <w:color w:val="000000"/>
        </w:rPr>
      </w:pPr>
    </w:p>
    <w:p w14:paraId="2399644E" w14:textId="77777777" w:rsidR="00527DE7" w:rsidRPr="00527DE7" w:rsidRDefault="00527DE7" w:rsidP="00527DE7">
      <w:pPr>
        <w:rPr>
          <w:color w:val="000000"/>
        </w:rPr>
      </w:pPr>
      <w:r w:rsidRPr="00527DE7">
        <w:rPr>
          <w:b/>
          <w:color w:val="000000"/>
        </w:rPr>
        <w:t>Pollutant</w:t>
      </w:r>
      <w:r w:rsidRPr="00527DE7">
        <w:rPr>
          <w:color w:val="000000"/>
        </w:rPr>
        <w:t>:  Any substance introduced into the environment that adversely affects the usefulness of the resource.</w:t>
      </w:r>
    </w:p>
    <w:p w14:paraId="4EA9B99C" w14:textId="77777777" w:rsidR="00527DE7" w:rsidRPr="00527DE7" w:rsidRDefault="00527DE7" w:rsidP="00527DE7">
      <w:pPr>
        <w:rPr>
          <w:color w:val="000000"/>
        </w:rPr>
      </w:pPr>
    </w:p>
    <w:p w14:paraId="60427521" w14:textId="77777777" w:rsidR="00527DE7" w:rsidRPr="00527DE7" w:rsidRDefault="00527DE7" w:rsidP="00527DE7">
      <w:pPr>
        <w:rPr>
          <w:color w:val="000000"/>
        </w:rPr>
      </w:pPr>
      <w:r w:rsidRPr="00527DE7">
        <w:rPr>
          <w:b/>
          <w:color w:val="000000"/>
        </w:rPr>
        <w:t>Pollutant Load</w:t>
      </w:r>
      <w:r w:rsidRPr="00527DE7">
        <w:rPr>
          <w:color w:val="000000"/>
        </w:rPr>
        <w:t>:  The total amount of a pollutant in any given volume of wastewater (Concentration x Volume).</w:t>
      </w:r>
    </w:p>
    <w:p w14:paraId="70945C8F" w14:textId="77777777" w:rsidR="00527DE7" w:rsidRPr="00527DE7" w:rsidRDefault="00527DE7" w:rsidP="00527DE7">
      <w:pPr>
        <w:rPr>
          <w:color w:val="000000"/>
        </w:rPr>
      </w:pPr>
    </w:p>
    <w:p w14:paraId="06AFD788" w14:textId="77777777" w:rsidR="00527DE7" w:rsidRPr="00527DE7" w:rsidRDefault="00527DE7" w:rsidP="00527DE7">
      <w:pPr>
        <w:rPr>
          <w:color w:val="000000"/>
        </w:rPr>
      </w:pPr>
      <w:r w:rsidRPr="00527DE7">
        <w:rPr>
          <w:b/>
          <w:color w:val="000000"/>
        </w:rPr>
        <w:t>Pollution</w:t>
      </w:r>
      <w:r w:rsidRPr="00527DE7">
        <w:rPr>
          <w:color w:val="000000"/>
        </w:rPr>
        <w:t>:  The presence of matter or energy whose nature, location, or quantity produces undesired environmental effects.  Under the CWA, the term is defined as a man-made or man-induced alteration of the physical, biological, or radiological integrity of water.</w:t>
      </w:r>
    </w:p>
    <w:p w14:paraId="22EC405E" w14:textId="77777777" w:rsidR="00527DE7" w:rsidRPr="00527DE7" w:rsidRDefault="00527DE7" w:rsidP="00527DE7">
      <w:pPr>
        <w:rPr>
          <w:color w:val="000000"/>
        </w:rPr>
      </w:pPr>
    </w:p>
    <w:p w14:paraId="5C6E2652" w14:textId="77777777" w:rsidR="00527DE7" w:rsidRPr="00527DE7" w:rsidRDefault="00527DE7" w:rsidP="00527DE7">
      <w:pPr>
        <w:rPr>
          <w:color w:val="000000"/>
        </w:rPr>
      </w:pPr>
      <w:r w:rsidRPr="00527DE7">
        <w:rPr>
          <w:b/>
          <w:color w:val="000000"/>
        </w:rPr>
        <w:t>Pretreatment</w:t>
      </w:r>
      <w:r w:rsidRPr="00527DE7">
        <w:rPr>
          <w:color w:val="000000"/>
        </w:rPr>
        <w:t>:   Any process used to reduce a pollutant load before it enters the sewer system.  Pretreatment of effluents requires a pretreatment permit from IEPA.  Some examples of pretreatment might include neutralization, filtration, etc.</w:t>
      </w:r>
    </w:p>
    <w:p w14:paraId="08C0FF45" w14:textId="77777777" w:rsidR="00527DE7" w:rsidRPr="00527DE7" w:rsidRDefault="00527DE7" w:rsidP="00527DE7">
      <w:pPr>
        <w:rPr>
          <w:color w:val="000000"/>
        </w:rPr>
      </w:pPr>
    </w:p>
    <w:p w14:paraId="6F0DA79F" w14:textId="77777777" w:rsidR="00527DE7" w:rsidRPr="00527DE7" w:rsidRDefault="00527DE7" w:rsidP="00527DE7">
      <w:pPr>
        <w:rPr>
          <w:color w:val="000000"/>
        </w:rPr>
      </w:pPr>
      <w:r w:rsidRPr="00527DE7">
        <w:rPr>
          <w:b/>
          <w:color w:val="000000"/>
        </w:rPr>
        <w:t>Publicly Owned Treatment Works (POTWs)</w:t>
      </w:r>
      <w:r w:rsidRPr="00527DE7">
        <w:rPr>
          <w:color w:val="000000"/>
        </w:rPr>
        <w:t>:  A waste treatment works owned by a state or local government unit.</w:t>
      </w:r>
    </w:p>
    <w:p w14:paraId="79E46962" w14:textId="77777777" w:rsidR="00527DE7" w:rsidRPr="00527DE7" w:rsidRDefault="00527DE7" w:rsidP="00527DE7">
      <w:pPr>
        <w:rPr>
          <w:color w:val="000000"/>
        </w:rPr>
      </w:pPr>
    </w:p>
    <w:p w14:paraId="4AABC0B9" w14:textId="77777777" w:rsidR="00527DE7" w:rsidRPr="00527DE7" w:rsidRDefault="00527DE7" w:rsidP="00527DE7">
      <w:pPr>
        <w:rPr>
          <w:color w:val="000000"/>
        </w:rPr>
      </w:pPr>
      <w:r w:rsidRPr="00527DE7">
        <w:rPr>
          <w:b/>
          <w:color w:val="000000"/>
        </w:rPr>
        <w:t>Sanitary Sewer</w:t>
      </w:r>
      <w:r w:rsidRPr="00527DE7">
        <w:rPr>
          <w:color w:val="000000"/>
        </w:rPr>
        <w:t>:  A sewer which carries sewage.  Storm, surface, and ground waters are intentionally not admitted.</w:t>
      </w:r>
    </w:p>
    <w:p w14:paraId="3A0D573E" w14:textId="77777777" w:rsidR="00527DE7" w:rsidRPr="00527DE7" w:rsidRDefault="00527DE7" w:rsidP="00527DE7">
      <w:pPr>
        <w:rPr>
          <w:color w:val="000000"/>
        </w:rPr>
      </w:pPr>
    </w:p>
    <w:p w14:paraId="2CD8BDCA" w14:textId="77777777" w:rsidR="00527DE7" w:rsidRPr="00527DE7" w:rsidRDefault="00527DE7" w:rsidP="00527DE7">
      <w:pPr>
        <w:rPr>
          <w:color w:val="000000"/>
        </w:rPr>
      </w:pPr>
      <w:r w:rsidRPr="00527DE7">
        <w:rPr>
          <w:b/>
          <w:color w:val="000000"/>
        </w:rPr>
        <w:t>Sewage</w:t>
      </w:r>
      <w:r w:rsidRPr="00527DE7">
        <w:rPr>
          <w:color w:val="000000"/>
        </w:rPr>
        <w:t>:  The waste and wastewater produced by residential and commercial establishments and discharged into the sewers.</w:t>
      </w:r>
    </w:p>
    <w:p w14:paraId="11F5C72D" w14:textId="77777777" w:rsidR="00527DE7" w:rsidRDefault="00527DE7" w:rsidP="00527DE7">
      <w:pPr>
        <w:rPr>
          <w:color w:val="000000"/>
        </w:rPr>
      </w:pPr>
    </w:p>
    <w:p w14:paraId="1CE6C631" w14:textId="77777777" w:rsidR="00A1791D" w:rsidRDefault="00A1791D" w:rsidP="00527DE7">
      <w:pPr>
        <w:rPr>
          <w:color w:val="000000"/>
        </w:rPr>
      </w:pPr>
      <w:r>
        <w:rPr>
          <w:b/>
          <w:color w:val="000000"/>
        </w:rPr>
        <w:t xml:space="preserve">Storm Sewer:  </w:t>
      </w:r>
      <w:r w:rsidRPr="00A1791D">
        <w:rPr>
          <w:color w:val="000000"/>
        </w:rPr>
        <w:t>A sewer that is</w:t>
      </w:r>
      <w:r>
        <w:rPr>
          <w:b/>
          <w:color w:val="000000"/>
        </w:rPr>
        <w:t xml:space="preserve"> </w:t>
      </w:r>
      <w:r>
        <w:rPr>
          <w:color w:val="000000"/>
        </w:rPr>
        <w:t xml:space="preserve">designed to drain excess </w:t>
      </w:r>
      <w:proofErr w:type="gramStart"/>
      <w:r>
        <w:rPr>
          <w:color w:val="000000"/>
        </w:rPr>
        <w:t>rain water</w:t>
      </w:r>
      <w:proofErr w:type="gramEnd"/>
      <w:r>
        <w:rPr>
          <w:color w:val="000000"/>
        </w:rPr>
        <w:t xml:space="preserve"> from streets, parking lots, sidewalks, roofs, etc.  </w:t>
      </w:r>
    </w:p>
    <w:p w14:paraId="5C4E0C28" w14:textId="77777777" w:rsidR="00A1791D" w:rsidRPr="00A1791D" w:rsidRDefault="00A1791D" w:rsidP="00527DE7">
      <w:pPr>
        <w:rPr>
          <w:color w:val="000000"/>
        </w:rPr>
      </w:pPr>
    </w:p>
    <w:p w14:paraId="393549E0" w14:textId="77777777" w:rsidR="00527DE7" w:rsidRPr="00527DE7" w:rsidRDefault="00527DE7" w:rsidP="00527DE7">
      <w:pPr>
        <w:rPr>
          <w:color w:val="000000"/>
        </w:rPr>
      </w:pPr>
      <w:r w:rsidRPr="00527DE7">
        <w:rPr>
          <w:b/>
          <w:color w:val="000000"/>
        </w:rPr>
        <w:t>Waste Treatment Plant</w:t>
      </w:r>
      <w:r w:rsidRPr="00527DE7">
        <w:rPr>
          <w:color w:val="000000"/>
        </w:rPr>
        <w:t>:  A facility containing a series of tanks, screens, filters, and other processes by which pollutants are removed from water.</w:t>
      </w:r>
    </w:p>
    <w:p w14:paraId="4C5FED11" w14:textId="77777777" w:rsidR="00527DE7" w:rsidRPr="00527DE7" w:rsidRDefault="00527DE7" w:rsidP="00527DE7">
      <w:pPr>
        <w:rPr>
          <w:color w:val="000000"/>
        </w:rPr>
      </w:pPr>
    </w:p>
    <w:p w14:paraId="17168516" w14:textId="77777777" w:rsidR="00527DE7" w:rsidRPr="00527DE7" w:rsidRDefault="00527DE7" w:rsidP="00527DE7">
      <w:pPr>
        <w:rPr>
          <w:color w:val="000000"/>
        </w:rPr>
      </w:pPr>
      <w:r w:rsidRPr="00527DE7">
        <w:rPr>
          <w:b/>
          <w:color w:val="000000"/>
        </w:rPr>
        <w:t>Wastewater:</w:t>
      </w:r>
      <w:r w:rsidRPr="00527DE7">
        <w:rPr>
          <w:color w:val="000000"/>
        </w:rPr>
        <w:t xml:space="preserve">  The spent or used water from individual homes, a community, a farm, or an industry that contains dissolved or suspended matter.</w:t>
      </w:r>
    </w:p>
    <w:p w14:paraId="55FC63A6" w14:textId="77777777" w:rsidR="001D6C19" w:rsidRPr="006A7918" w:rsidRDefault="001D6C19" w:rsidP="00E00D72"/>
    <w:p w14:paraId="4E87BC28" w14:textId="77777777" w:rsidR="00554664" w:rsidRDefault="00527DE7" w:rsidP="006A7918">
      <w:pPr>
        <w:pStyle w:val="Heading1"/>
        <w:keepNext w:val="0"/>
      </w:pPr>
      <w:bookmarkStart w:id="2" w:name="_Toc32571879"/>
      <w:r>
        <w:t>RESPONSIBILITIES</w:t>
      </w:r>
      <w:bookmarkEnd w:id="2"/>
    </w:p>
    <w:p w14:paraId="484A371A" w14:textId="77777777" w:rsidR="00554664" w:rsidRPr="00263F3B" w:rsidRDefault="00554664" w:rsidP="00E00D72"/>
    <w:p w14:paraId="6230C1DA" w14:textId="77777777" w:rsidR="004D1325" w:rsidRPr="004D1325" w:rsidRDefault="001E4825" w:rsidP="00F0518C">
      <w:pPr>
        <w:numPr>
          <w:ilvl w:val="1"/>
          <w:numId w:val="8"/>
        </w:numPr>
        <w:rPr>
          <w:bCs/>
          <w:iCs/>
          <w:color w:val="000000"/>
        </w:rPr>
      </w:pPr>
      <w:r>
        <w:rPr>
          <w:b/>
          <w:bCs/>
          <w:iCs/>
          <w:color w:val="000000"/>
        </w:rPr>
        <w:t>ES&amp;H Section</w:t>
      </w:r>
    </w:p>
    <w:p w14:paraId="50C2B76F" w14:textId="77777777" w:rsidR="00013403" w:rsidRPr="00B668BE" w:rsidRDefault="000223B1" w:rsidP="00013403">
      <w:r>
        <w:rPr>
          <w:color w:val="000000"/>
        </w:rPr>
        <w:t xml:space="preserve">The </w:t>
      </w:r>
      <w:r w:rsidR="001E4825">
        <w:rPr>
          <w:color w:val="000000"/>
        </w:rPr>
        <w:t>ES&amp;H Section</w:t>
      </w:r>
      <w:r w:rsidR="004D1325" w:rsidRPr="00527DE7">
        <w:rPr>
          <w:color w:val="000000"/>
        </w:rPr>
        <w:t xml:space="preserve"> is responsible for the development and implementation of the site</w:t>
      </w:r>
      <w:r w:rsidR="00F0518C">
        <w:rPr>
          <w:color w:val="000000"/>
        </w:rPr>
        <w:t xml:space="preserve"> </w:t>
      </w:r>
      <w:r w:rsidR="004D1325" w:rsidRPr="00527DE7">
        <w:rPr>
          <w:color w:val="000000"/>
        </w:rPr>
        <w:t>wide surveillance and monitoring program to audit Division/Section</w:t>
      </w:r>
      <w:r w:rsidR="00532E27">
        <w:rPr>
          <w:color w:val="000000"/>
        </w:rPr>
        <w:t>/Project</w:t>
      </w:r>
      <w:r w:rsidR="004D1325" w:rsidRPr="00527DE7">
        <w:rPr>
          <w:color w:val="000000"/>
        </w:rPr>
        <w:t xml:space="preserve"> compliance with both internal and external discharge limits.</w:t>
      </w:r>
      <w:r w:rsidR="004D1325">
        <w:rPr>
          <w:color w:val="000000"/>
        </w:rPr>
        <w:t xml:space="preserve">  </w:t>
      </w:r>
      <w:r w:rsidR="004D1325" w:rsidRPr="004D1325">
        <w:rPr>
          <w:color w:val="000000"/>
        </w:rPr>
        <w:t>In all matters relating to administrative aspects of existing or pending permits, ES</w:t>
      </w:r>
      <w:r w:rsidR="007B58F6">
        <w:rPr>
          <w:color w:val="000000"/>
        </w:rPr>
        <w:t>&amp;</w:t>
      </w:r>
      <w:r w:rsidR="004D1325" w:rsidRPr="004D1325">
        <w:rPr>
          <w:color w:val="000000"/>
        </w:rPr>
        <w:t xml:space="preserve">H will assume the role of lead communicator with </w:t>
      </w:r>
      <w:r w:rsidR="00A8405A">
        <w:rPr>
          <w:color w:val="000000"/>
        </w:rPr>
        <w:t xml:space="preserve">DOE and </w:t>
      </w:r>
      <w:r w:rsidR="004D1325" w:rsidRPr="004D1325">
        <w:rPr>
          <w:color w:val="000000"/>
        </w:rPr>
        <w:t>the relevant agency.</w:t>
      </w:r>
      <w:r w:rsidR="00600A9D">
        <w:rPr>
          <w:color w:val="000000"/>
        </w:rPr>
        <w:t xml:space="preserve"> </w:t>
      </w:r>
      <w:r w:rsidR="00013403" w:rsidRPr="00B668BE">
        <w:lastRenderedPageBreak/>
        <w:t xml:space="preserve">Memorandum of Understandings </w:t>
      </w:r>
      <w:r w:rsidR="00013403" w:rsidRPr="00013403">
        <w:t>may</w:t>
      </w:r>
      <w:r w:rsidR="00013403" w:rsidRPr="00B668BE">
        <w:t xml:space="preserve"> be put in place to further clarify responsibilities between the ES&amp;H Section and D/S/Ps.</w:t>
      </w:r>
    </w:p>
    <w:p w14:paraId="1EA73BFA" w14:textId="5903F5BD" w:rsidR="00B668BE" w:rsidRPr="007D4A05" w:rsidRDefault="00B668BE" w:rsidP="004D1325"/>
    <w:p w14:paraId="0389A722" w14:textId="7A87E0C6" w:rsidR="004D1325" w:rsidRPr="007D4A05" w:rsidRDefault="00013403" w:rsidP="004D1325">
      <w:r w:rsidRPr="007D4A05">
        <w:t xml:space="preserve">Additionally, </w:t>
      </w:r>
      <w:r w:rsidR="00A073EE" w:rsidRPr="007D4A05">
        <w:t xml:space="preserve">DOE Order 458.1: </w:t>
      </w:r>
      <w:r w:rsidR="00B668BE" w:rsidRPr="007D4A05">
        <w:rPr>
          <w:i/>
          <w:iCs/>
        </w:rPr>
        <w:t>Radiation</w:t>
      </w:r>
      <w:r w:rsidR="00A073EE" w:rsidRPr="007D4A05">
        <w:rPr>
          <w:i/>
          <w:iCs/>
        </w:rPr>
        <w:t xml:space="preserve"> P</w:t>
      </w:r>
      <w:r w:rsidR="00B668BE" w:rsidRPr="007D4A05">
        <w:rPr>
          <w:i/>
          <w:iCs/>
        </w:rPr>
        <w:t>rotection</w:t>
      </w:r>
      <w:r w:rsidR="00A073EE" w:rsidRPr="007D4A05">
        <w:rPr>
          <w:i/>
          <w:iCs/>
        </w:rPr>
        <w:t xml:space="preserve"> </w:t>
      </w:r>
      <w:r w:rsidR="00B668BE" w:rsidRPr="007D4A05">
        <w:rPr>
          <w:i/>
          <w:iCs/>
        </w:rPr>
        <w:t>of</w:t>
      </w:r>
      <w:r w:rsidR="00A073EE" w:rsidRPr="007D4A05">
        <w:rPr>
          <w:i/>
          <w:iCs/>
        </w:rPr>
        <w:t xml:space="preserve"> </w:t>
      </w:r>
      <w:r w:rsidR="00B668BE" w:rsidRPr="007D4A05">
        <w:rPr>
          <w:i/>
          <w:iCs/>
        </w:rPr>
        <w:t>the</w:t>
      </w:r>
      <w:r w:rsidR="00A073EE" w:rsidRPr="007D4A05">
        <w:rPr>
          <w:i/>
          <w:iCs/>
        </w:rPr>
        <w:t xml:space="preserve"> P</w:t>
      </w:r>
      <w:r w:rsidR="00B668BE" w:rsidRPr="007D4A05">
        <w:rPr>
          <w:i/>
          <w:iCs/>
        </w:rPr>
        <w:t>ublic</w:t>
      </w:r>
      <w:r w:rsidR="00A073EE" w:rsidRPr="007D4A05">
        <w:rPr>
          <w:i/>
          <w:iCs/>
        </w:rPr>
        <w:t xml:space="preserve"> </w:t>
      </w:r>
      <w:r w:rsidR="00B668BE" w:rsidRPr="007D4A05">
        <w:rPr>
          <w:i/>
          <w:iCs/>
        </w:rPr>
        <w:t>and</w:t>
      </w:r>
      <w:r w:rsidR="00A073EE" w:rsidRPr="007D4A05">
        <w:rPr>
          <w:i/>
          <w:iCs/>
        </w:rPr>
        <w:t xml:space="preserve"> </w:t>
      </w:r>
      <w:r w:rsidR="00B668BE" w:rsidRPr="007D4A05">
        <w:rPr>
          <w:i/>
          <w:iCs/>
        </w:rPr>
        <w:t xml:space="preserve">the </w:t>
      </w:r>
      <w:r w:rsidR="004925B9" w:rsidRPr="007D4A05">
        <w:rPr>
          <w:i/>
          <w:iCs/>
        </w:rPr>
        <w:t>E</w:t>
      </w:r>
      <w:r w:rsidR="00B668BE" w:rsidRPr="007D4A05">
        <w:rPr>
          <w:i/>
          <w:iCs/>
        </w:rPr>
        <w:t xml:space="preserve">nvironment </w:t>
      </w:r>
      <w:r w:rsidR="00A073EE" w:rsidRPr="007D4A05">
        <w:t>requires sites to have a compliant Environmental Radiation</w:t>
      </w:r>
      <w:r w:rsidR="00B668BE" w:rsidRPr="007D4A05">
        <w:t xml:space="preserve"> </w:t>
      </w:r>
      <w:r w:rsidR="00A073EE" w:rsidRPr="007D4A05">
        <w:t>Protection Program (ERPP).  Fermilab’s ERPP constitutes Fermilab's implementation plan for the requirements of</w:t>
      </w:r>
      <w:r w:rsidRPr="007D4A05">
        <w:t xml:space="preserve"> the Order</w:t>
      </w:r>
      <w:r w:rsidR="00A073EE" w:rsidRPr="007D4A05">
        <w:t xml:space="preserve">.  Fermilab maintains and implements several plans and programs (this chapter included) for ensuring that the management of facilities, wastes, effluents, and emissions does not present risk to the public, workers, or the environment. </w:t>
      </w:r>
      <w:r w:rsidR="00600A9D" w:rsidRPr="007D4A05">
        <w:t>ES</w:t>
      </w:r>
      <w:r w:rsidR="007B58F6" w:rsidRPr="007D4A05">
        <w:t>&amp;</w:t>
      </w:r>
      <w:r w:rsidR="00600A9D" w:rsidRPr="007D4A05">
        <w:t>H is also responsible for preparing the reports required in Section 2.g(8) of the Contractor Requirement Document for DOE Order 458.1.</w:t>
      </w:r>
      <w:r w:rsidR="00B97AC2" w:rsidRPr="007D4A05">
        <w:t xml:space="preserve"> </w:t>
      </w:r>
    </w:p>
    <w:p w14:paraId="52DD7C25" w14:textId="77777777" w:rsidR="00532E27" w:rsidRPr="00B668BE" w:rsidRDefault="00532E27" w:rsidP="004D1325">
      <w:pPr>
        <w:rPr>
          <w:color w:val="FF0000"/>
        </w:rPr>
      </w:pPr>
    </w:p>
    <w:p w14:paraId="4824BB90" w14:textId="77777777" w:rsidR="004D1325" w:rsidRPr="004D1325" w:rsidRDefault="004D1325" w:rsidP="004D1325">
      <w:pPr>
        <w:rPr>
          <w:bCs/>
          <w:iCs/>
          <w:color w:val="000000"/>
        </w:rPr>
      </w:pPr>
    </w:p>
    <w:p w14:paraId="443C6C23" w14:textId="77777777" w:rsidR="004D1325" w:rsidRDefault="004D1325" w:rsidP="004D1325">
      <w:pPr>
        <w:pStyle w:val="Heading2"/>
      </w:pPr>
      <w:bookmarkStart w:id="3" w:name="_Toc32571880"/>
      <w:r w:rsidRPr="00994638">
        <w:t>Division/Section/</w:t>
      </w:r>
      <w:r w:rsidR="00532E27">
        <w:t>Project</w:t>
      </w:r>
      <w:r w:rsidRPr="00994638">
        <w:t xml:space="preserve"> </w:t>
      </w:r>
      <w:r w:rsidR="00532E27">
        <w:t>(D/S/P</w:t>
      </w:r>
      <w:r w:rsidR="005C3C2C">
        <w:t xml:space="preserve">) </w:t>
      </w:r>
      <w:r w:rsidRPr="00994638">
        <w:t>Heads</w:t>
      </w:r>
      <w:bookmarkEnd w:id="3"/>
    </w:p>
    <w:p w14:paraId="5D0D58F9" w14:textId="77777777" w:rsidR="00933F3C" w:rsidRDefault="00532E27" w:rsidP="00527DE7">
      <w:r>
        <w:t>D/S/P</w:t>
      </w:r>
      <w:r w:rsidR="00933F3C">
        <w:t>s are responsible for:</w:t>
      </w:r>
    </w:p>
    <w:p w14:paraId="641B35A0" w14:textId="1806E64F" w:rsidR="00527DE7" w:rsidRDefault="00933F3C" w:rsidP="00F0518C">
      <w:pPr>
        <w:pStyle w:val="ListParagraph"/>
        <w:numPr>
          <w:ilvl w:val="0"/>
          <w:numId w:val="10"/>
        </w:numPr>
        <w:rPr>
          <w:color w:val="000000"/>
        </w:rPr>
      </w:pPr>
      <w:r>
        <w:t>i</w:t>
      </w:r>
      <w:r w:rsidR="00527DE7" w:rsidRPr="00933F3C">
        <w:rPr>
          <w:color w:val="000000"/>
        </w:rPr>
        <w:t>mplementing this chapte</w:t>
      </w:r>
      <w:r w:rsidR="000D5FA5">
        <w:rPr>
          <w:color w:val="000000"/>
        </w:rPr>
        <w:t>r (this includes consulting the</w:t>
      </w:r>
      <w:r w:rsidR="00527DE7" w:rsidRPr="00933F3C">
        <w:rPr>
          <w:color w:val="000000"/>
        </w:rPr>
        <w:t xml:space="preserve"> </w:t>
      </w:r>
      <w:r w:rsidR="000D5FA5">
        <w:rPr>
          <w:color w:val="000000"/>
        </w:rPr>
        <w:t>ES</w:t>
      </w:r>
      <w:r w:rsidR="007B58F6">
        <w:rPr>
          <w:color w:val="000000"/>
        </w:rPr>
        <w:t>&amp;</w:t>
      </w:r>
      <w:r w:rsidR="000D5FA5">
        <w:rPr>
          <w:color w:val="000000"/>
        </w:rPr>
        <w:t xml:space="preserve">H </w:t>
      </w:r>
      <w:r w:rsidR="00527DE7" w:rsidRPr="00933F3C">
        <w:rPr>
          <w:color w:val="000000"/>
        </w:rPr>
        <w:t xml:space="preserve">Environmental </w:t>
      </w:r>
      <w:r w:rsidR="000D5FA5">
        <w:rPr>
          <w:color w:val="000000"/>
        </w:rPr>
        <w:t>Protection Group</w:t>
      </w:r>
      <w:r w:rsidR="00527DE7" w:rsidRPr="00933F3C">
        <w:rPr>
          <w:color w:val="000000"/>
        </w:rPr>
        <w:t xml:space="preserve"> to provide advice on means and methods to remain in compliance with applicable standards and this chapter),</w:t>
      </w:r>
    </w:p>
    <w:p w14:paraId="02E52DEB" w14:textId="77777777" w:rsidR="00527DE7" w:rsidRDefault="00527DE7" w:rsidP="00F0518C">
      <w:pPr>
        <w:pStyle w:val="ListParagraph"/>
        <w:numPr>
          <w:ilvl w:val="0"/>
          <w:numId w:val="10"/>
        </w:numPr>
        <w:rPr>
          <w:color w:val="000000"/>
        </w:rPr>
      </w:pPr>
      <w:r w:rsidRPr="00933F3C">
        <w:rPr>
          <w:color w:val="000000"/>
        </w:rPr>
        <w:t>knowledge of the infrastructure into which effluents from their areas are discharged,</w:t>
      </w:r>
      <w:r w:rsidR="00933F3C" w:rsidRPr="00933F3C">
        <w:rPr>
          <w:color w:val="000000"/>
        </w:rPr>
        <w:t xml:space="preserve"> </w:t>
      </w:r>
      <w:r w:rsidRPr="00933F3C">
        <w:rPr>
          <w:color w:val="000000"/>
        </w:rPr>
        <w:t>characterization of their waste streams (</w:t>
      </w:r>
      <w:r w:rsidRPr="00933F3C">
        <w:rPr>
          <w:bCs/>
          <w:color w:val="000000"/>
        </w:rPr>
        <w:t xml:space="preserve">using sampling and analytical methods that conform to </w:t>
      </w:r>
      <w:r w:rsidRPr="00933F3C">
        <w:rPr>
          <w:bCs/>
          <w:color w:val="000000"/>
          <w:u w:val="single"/>
        </w:rPr>
        <w:t>Standard Methods for the Examination of Water and Wastewater</w:t>
      </w:r>
      <w:r w:rsidRPr="00933F3C">
        <w:rPr>
          <w:bCs/>
          <w:color w:val="000000"/>
        </w:rPr>
        <w:t xml:space="preserve"> or an equivalent standard</w:t>
      </w:r>
      <w:r w:rsidRPr="00933F3C">
        <w:rPr>
          <w:color w:val="000000"/>
        </w:rPr>
        <w:t>), and the maintenance of auditable records for all process</w:t>
      </w:r>
      <w:r w:rsidR="00557570">
        <w:rPr>
          <w:color w:val="000000"/>
        </w:rPr>
        <w:t>es</w:t>
      </w:r>
      <w:r w:rsidRPr="00933F3C">
        <w:rPr>
          <w:color w:val="000000"/>
        </w:rPr>
        <w:t xml:space="preserve"> under their control</w:t>
      </w:r>
      <w:r w:rsidR="00A8405A">
        <w:rPr>
          <w:color w:val="000000"/>
        </w:rPr>
        <w:t>,</w:t>
      </w:r>
    </w:p>
    <w:p w14:paraId="2D1F4E57" w14:textId="77777777" w:rsidR="00191B73" w:rsidRDefault="00733988" w:rsidP="00191B73">
      <w:pPr>
        <w:pStyle w:val="ListParagraph"/>
        <w:numPr>
          <w:ilvl w:val="0"/>
          <w:numId w:val="10"/>
        </w:numPr>
        <w:rPr>
          <w:color w:val="000000"/>
        </w:rPr>
      </w:pPr>
      <w:r>
        <w:rPr>
          <w:color w:val="000000"/>
        </w:rPr>
        <w:t>ensuring that</w:t>
      </w:r>
      <w:r w:rsidR="00191B73">
        <w:rPr>
          <w:color w:val="000000"/>
        </w:rPr>
        <w:t xml:space="preserve"> any </w:t>
      </w:r>
      <w:r>
        <w:rPr>
          <w:color w:val="000000"/>
        </w:rPr>
        <w:t xml:space="preserve">planned </w:t>
      </w:r>
      <w:r w:rsidR="00191B73">
        <w:rPr>
          <w:color w:val="000000"/>
        </w:rPr>
        <w:t>modifications to the sewerage system</w:t>
      </w:r>
      <w:r>
        <w:rPr>
          <w:color w:val="000000"/>
        </w:rPr>
        <w:t xml:space="preserve"> are included in the Director’s Policy 18 review process</w:t>
      </w:r>
      <w:r w:rsidR="00191B73">
        <w:rPr>
          <w:color w:val="000000"/>
        </w:rPr>
        <w:t>,</w:t>
      </w:r>
    </w:p>
    <w:p w14:paraId="250D1B67" w14:textId="77777777" w:rsidR="00A8405A" w:rsidRDefault="00A8405A" w:rsidP="00F0518C">
      <w:pPr>
        <w:pStyle w:val="ListParagraph"/>
        <w:numPr>
          <w:ilvl w:val="0"/>
          <w:numId w:val="10"/>
        </w:numPr>
        <w:rPr>
          <w:color w:val="000000"/>
        </w:rPr>
      </w:pPr>
      <w:r>
        <w:rPr>
          <w:color w:val="000000"/>
        </w:rPr>
        <w:t xml:space="preserve">contacting the </w:t>
      </w:r>
      <w:r w:rsidR="001E4825">
        <w:rPr>
          <w:color w:val="000000"/>
        </w:rPr>
        <w:t>ES&amp;H Section</w:t>
      </w:r>
      <w:r>
        <w:rPr>
          <w:color w:val="000000"/>
        </w:rPr>
        <w:t xml:space="preserve"> when a new industrial pretreatment permit is needed,</w:t>
      </w:r>
    </w:p>
    <w:p w14:paraId="02E106F4" w14:textId="77777777" w:rsidR="00A8405A" w:rsidRDefault="00A8405A" w:rsidP="00F0518C">
      <w:pPr>
        <w:pStyle w:val="ListParagraph"/>
        <w:numPr>
          <w:ilvl w:val="0"/>
          <w:numId w:val="10"/>
        </w:numPr>
        <w:rPr>
          <w:color w:val="000000"/>
        </w:rPr>
      </w:pPr>
      <w:r>
        <w:rPr>
          <w:color w:val="000000"/>
        </w:rPr>
        <w:t>sampling and providing all pertinent information needed for permit applications and reports.</w:t>
      </w:r>
    </w:p>
    <w:p w14:paraId="292DC5F4" w14:textId="77777777" w:rsidR="00527DE7" w:rsidRPr="00527DE7" w:rsidRDefault="00527DE7" w:rsidP="00527DE7">
      <w:pPr>
        <w:rPr>
          <w:color w:val="000000"/>
        </w:rPr>
      </w:pPr>
    </w:p>
    <w:p w14:paraId="5C0FFD0D" w14:textId="77777777" w:rsidR="00527DE7" w:rsidRDefault="00527DE7" w:rsidP="00933F3C">
      <w:pPr>
        <w:pStyle w:val="Heading2"/>
      </w:pPr>
      <w:bookmarkStart w:id="4" w:name="_Toc32571881"/>
      <w:r w:rsidRPr="00933F3C">
        <w:t>FESS</w:t>
      </w:r>
      <w:bookmarkEnd w:id="4"/>
      <w:r w:rsidRPr="00933F3C">
        <w:t xml:space="preserve"> </w:t>
      </w:r>
    </w:p>
    <w:p w14:paraId="6C6BCCA3" w14:textId="77777777" w:rsidR="00933F3C" w:rsidRDefault="00933F3C" w:rsidP="00933F3C">
      <w:r>
        <w:t>FESS is responsible for:</w:t>
      </w:r>
    </w:p>
    <w:p w14:paraId="7E967F26" w14:textId="77777777" w:rsidR="00527DE7" w:rsidRPr="00933F3C" w:rsidRDefault="00527DE7" w:rsidP="00F0518C">
      <w:pPr>
        <w:pStyle w:val="ListParagraph"/>
        <w:numPr>
          <w:ilvl w:val="0"/>
          <w:numId w:val="10"/>
        </w:numPr>
        <w:rPr>
          <w:color w:val="000000"/>
        </w:rPr>
      </w:pPr>
      <w:r w:rsidRPr="00933F3C">
        <w:rPr>
          <w:color w:val="000000"/>
        </w:rPr>
        <w:t>maintaining documentation of sewer lines, connections, flows, and the condition of the collection system,</w:t>
      </w:r>
    </w:p>
    <w:p w14:paraId="6E98D168" w14:textId="77777777" w:rsidR="00527DE7" w:rsidRPr="00527DE7" w:rsidRDefault="00527DE7" w:rsidP="00F0518C">
      <w:pPr>
        <w:pStyle w:val="ListParagraph"/>
        <w:numPr>
          <w:ilvl w:val="0"/>
          <w:numId w:val="10"/>
        </w:numPr>
        <w:rPr>
          <w:color w:val="000000"/>
        </w:rPr>
      </w:pPr>
      <w:r w:rsidRPr="00527DE7">
        <w:rPr>
          <w:color w:val="000000"/>
        </w:rPr>
        <w:t xml:space="preserve">operating the </w:t>
      </w:r>
      <w:r w:rsidR="002B2D25">
        <w:rPr>
          <w:rStyle w:val="apple-style-span"/>
          <w:color w:val="000000"/>
        </w:rPr>
        <w:t xml:space="preserve">deionization resin regeneration process </w:t>
      </w:r>
      <w:r w:rsidRPr="00527DE7">
        <w:rPr>
          <w:color w:val="000000"/>
        </w:rPr>
        <w:t xml:space="preserve">located in the Central Utility Building (CUB) and </w:t>
      </w:r>
      <w:r w:rsidR="00A8405A">
        <w:rPr>
          <w:color w:val="000000"/>
        </w:rPr>
        <w:t xml:space="preserve">sampling and </w:t>
      </w:r>
      <w:r w:rsidRPr="00527DE7">
        <w:rPr>
          <w:color w:val="000000"/>
        </w:rPr>
        <w:t>maintaining records needed to satisfy the terms of the pretreatment permit associated with this process,</w:t>
      </w:r>
    </w:p>
    <w:p w14:paraId="77A685AE" w14:textId="59C5D6FB" w:rsidR="00324C2D" w:rsidRDefault="00527DE7" w:rsidP="00FF17FC">
      <w:pPr>
        <w:pStyle w:val="ListParagraph"/>
        <w:numPr>
          <w:ilvl w:val="0"/>
          <w:numId w:val="10"/>
        </w:numPr>
        <w:rPr>
          <w:color w:val="000000"/>
        </w:rPr>
      </w:pPr>
      <w:r w:rsidRPr="00527DE7">
        <w:rPr>
          <w:color w:val="000000"/>
        </w:rPr>
        <w:t>approving the design of additions/modifications to the Fermilab sanitary sewer system, maintaining a liaison with POTW operators in Batavia and Warrenville</w:t>
      </w:r>
      <w:r w:rsidR="00ED3893">
        <w:rPr>
          <w:color w:val="000000"/>
        </w:rPr>
        <w:t>/Naperville</w:t>
      </w:r>
      <w:r w:rsidRPr="00527DE7">
        <w:rPr>
          <w:color w:val="000000"/>
        </w:rPr>
        <w:t>.</w:t>
      </w:r>
    </w:p>
    <w:p w14:paraId="15D537A6" w14:textId="77777777" w:rsidR="00B93D68" w:rsidRPr="00FF17FC" w:rsidRDefault="00B93D68" w:rsidP="00217B2F">
      <w:pPr>
        <w:pStyle w:val="ListParagraph"/>
        <w:ind w:left="780"/>
        <w:rPr>
          <w:color w:val="000000"/>
        </w:rPr>
      </w:pPr>
    </w:p>
    <w:p w14:paraId="4A634AA3" w14:textId="77777777" w:rsidR="00244E31" w:rsidRDefault="00244E31" w:rsidP="00E00D72"/>
    <w:p w14:paraId="5E3334BE" w14:textId="77777777" w:rsidR="00E47427" w:rsidRDefault="00527DE7" w:rsidP="00915995">
      <w:pPr>
        <w:pStyle w:val="Heading1"/>
        <w:ind w:left="90"/>
      </w:pPr>
      <w:bookmarkStart w:id="5" w:name="_Toc32571882"/>
      <w:r>
        <w:t>PROGRAM DESCRIPTION</w:t>
      </w:r>
      <w:bookmarkEnd w:id="5"/>
    </w:p>
    <w:p w14:paraId="6D7B3B95" w14:textId="77777777" w:rsidR="00E47427" w:rsidRDefault="00E47427" w:rsidP="00E00D72"/>
    <w:p w14:paraId="2BA9A5D0" w14:textId="77777777" w:rsidR="00527DE7" w:rsidRPr="00527DE7" w:rsidRDefault="00527DE7" w:rsidP="00527DE7">
      <w:pPr>
        <w:rPr>
          <w:bCs/>
          <w:color w:val="000000"/>
        </w:rPr>
      </w:pPr>
      <w:r w:rsidRPr="00527DE7">
        <w:rPr>
          <w:bCs/>
          <w:color w:val="000000"/>
        </w:rPr>
        <w:t>Two separate sanitary sewer systems serve Fermilab, one of which is connected to the Batavia publicly owned sanitary system, and one to the Warrenville</w:t>
      </w:r>
      <w:r w:rsidR="00ED3893">
        <w:rPr>
          <w:bCs/>
          <w:color w:val="000000"/>
        </w:rPr>
        <w:t xml:space="preserve"> Fox Hollow Collection</w:t>
      </w:r>
      <w:r w:rsidRPr="00527DE7">
        <w:rPr>
          <w:bCs/>
          <w:color w:val="000000"/>
        </w:rPr>
        <w:t xml:space="preserve"> system</w:t>
      </w:r>
      <w:r w:rsidR="00ED3893">
        <w:rPr>
          <w:bCs/>
          <w:color w:val="000000"/>
        </w:rPr>
        <w:t xml:space="preserve"> which is treated at Naperville’s Springbrook Water Reclamation Center</w:t>
      </w:r>
      <w:r w:rsidRPr="00527DE7">
        <w:rPr>
          <w:bCs/>
          <w:color w:val="000000"/>
        </w:rPr>
        <w:t xml:space="preserve"> (see Figure 1 for contributions to the two systems).</w:t>
      </w:r>
    </w:p>
    <w:p w14:paraId="264AD895" w14:textId="77777777" w:rsidR="00324C2D" w:rsidRPr="00527DE7" w:rsidRDefault="00324C2D" w:rsidP="00527DE7">
      <w:pPr>
        <w:rPr>
          <w:bCs/>
          <w:color w:val="000000"/>
        </w:rPr>
      </w:pPr>
    </w:p>
    <w:p w14:paraId="20639290" w14:textId="77777777" w:rsidR="00527DE7" w:rsidRPr="00527DE7" w:rsidRDefault="00527DE7" w:rsidP="00527DE7">
      <w:pPr>
        <w:rPr>
          <w:bCs/>
          <w:color w:val="000000"/>
        </w:rPr>
      </w:pPr>
      <w:r w:rsidRPr="00527DE7">
        <w:rPr>
          <w:bCs/>
          <w:color w:val="000000"/>
        </w:rPr>
        <w:lastRenderedPageBreak/>
        <w:t xml:space="preserve">Decisions on disposal of process wastewater should always be made using </w:t>
      </w:r>
      <w:proofErr w:type="gramStart"/>
      <w:r w:rsidRPr="00527DE7">
        <w:rPr>
          <w:bCs/>
          <w:color w:val="000000"/>
        </w:rPr>
        <w:t>any and all</w:t>
      </w:r>
      <w:proofErr w:type="gramEnd"/>
      <w:r w:rsidRPr="00527DE7">
        <w:rPr>
          <w:bCs/>
          <w:color w:val="000000"/>
        </w:rPr>
        <w:t xml:space="preserve"> potential measures to eliminate or minimize wastes at the process level, including re-using or recycling process chemicals where appropriate.</w:t>
      </w:r>
      <w:r w:rsidR="00ED3893">
        <w:rPr>
          <w:bCs/>
          <w:color w:val="000000"/>
        </w:rPr>
        <w:t xml:space="preserve">  Please see </w:t>
      </w:r>
      <w:r w:rsidR="00ED3893" w:rsidRPr="00540AEA">
        <w:rPr>
          <w:bCs/>
        </w:rPr>
        <w:t xml:space="preserve">FESHM chapter 8022 </w:t>
      </w:r>
      <w:r w:rsidR="00ED3893" w:rsidRPr="00540AEA">
        <w:rPr>
          <w:szCs w:val="20"/>
        </w:rPr>
        <w:t>Waste Minimization and Pollution Prevention Awareness Program.</w:t>
      </w:r>
      <w:r w:rsidR="00ED3893">
        <w:rPr>
          <w:szCs w:val="20"/>
        </w:rPr>
        <w:t xml:space="preserve"> </w:t>
      </w:r>
    </w:p>
    <w:p w14:paraId="26FA6E43" w14:textId="77777777" w:rsidR="00527DE7" w:rsidRPr="00527DE7" w:rsidRDefault="00527DE7" w:rsidP="00527DE7">
      <w:pPr>
        <w:rPr>
          <w:bCs/>
          <w:color w:val="000000"/>
        </w:rPr>
      </w:pPr>
    </w:p>
    <w:p w14:paraId="7064D2E8" w14:textId="26EEA54E" w:rsidR="00527DE7" w:rsidRDefault="00557570" w:rsidP="00527DE7">
      <w:pPr>
        <w:rPr>
          <w:bCs/>
          <w:color w:val="000000"/>
        </w:rPr>
      </w:pPr>
      <w:r w:rsidRPr="00527DE7">
        <w:rPr>
          <w:bCs/>
          <w:color w:val="000000"/>
        </w:rPr>
        <w:t>Fermilab has developed discharge criteria to aid employees in making informed decisions about the release of wastewater onsite.</w:t>
      </w:r>
      <w:r>
        <w:rPr>
          <w:bCs/>
          <w:color w:val="000000"/>
        </w:rPr>
        <w:t xml:space="preserve">  </w:t>
      </w:r>
      <w:r w:rsidR="00527DE7" w:rsidRPr="00527DE7">
        <w:rPr>
          <w:bCs/>
          <w:color w:val="000000"/>
        </w:rPr>
        <w:t>Prohibitions and discharge criteria set in this chapter have been chosen to meet concentration limits set by municipalities and our pre-treatment permit</w:t>
      </w:r>
      <w:r w:rsidR="007B58F6">
        <w:rPr>
          <w:bCs/>
          <w:color w:val="000000"/>
        </w:rPr>
        <w:t>s</w:t>
      </w:r>
      <w:r>
        <w:rPr>
          <w:bCs/>
          <w:color w:val="000000"/>
        </w:rPr>
        <w:t xml:space="preserve">. </w:t>
      </w:r>
      <w:r w:rsidR="00527DE7" w:rsidRPr="00527DE7">
        <w:rPr>
          <w:bCs/>
          <w:color w:val="000000"/>
        </w:rPr>
        <w:t xml:space="preserve"> </w:t>
      </w:r>
      <w:r>
        <w:rPr>
          <w:bCs/>
          <w:color w:val="000000"/>
        </w:rPr>
        <w:t xml:space="preserve">These criteria </w:t>
      </w:r>
      <w:r w:rsidR="00527DE7" w:rsidRPr="00527DE7">
        <w:rPr>
          <w:bCs/>
          <w:color w:val="000000"/>
        </w:rPr>
        <w:t xml:space="preserve">prevent the introduction of any material into sanitary sewers that would interfere with the operation of POTWs, jeopardize equipment or compromise safety.  </w:t>
      </w:r>
    </w:p>
    <w:p w14:paraId="29CDDDE1" w14:textId="77777777" w:rsidR="00B93D68" w:rsidRPr="00527DE7" w:rsidRDefault="00B93D68" w:rsidP="00527DE7">
      <w:pPr>
        <w:rPr>
          <w:bCs/>
          <w:color w:val="000000"/>
        </w:rPr>
      </w:pPr>
    </w:p>
    <w:p w14:paraId="66FC14ED" w14:textId="77777777" w:rsidR="00527DE7" w:rsidRPr="00527DE7" w:rsidRDefault="00527DE7" w:rsidP="00527DE7">
      <w:pPr>
        <w:rPr>
          <w:b/>
          <w:color w:val="000000"/>
        </w:rPr>
      </w:pPr>
    </w:p>
    <w:p w14:paraId="6FBBB1AB" w14:textId="77777777" w:rsidR="00BE0C08" w:rsidRDefault="00527DE7" w:rsidP="00915995">
      <w:pPr>
        <w:pStyle w:val="Heading1"/>
        <w:keepNext w:val="0"/>
        <w:ind w:left="90"/>
      </w:pPr>
      <w:bookmarkStart w:id="6" w:name="_Toc32571883"/>
      <w:r>
        <w:t>PROCEDURES</w:t>
      </w:r>
      <w:bookmarkEnd w:id="6"/>
    </w:p>
    <w:p w14:paraId="0E9BEAB4" w14:textId="77777777" w:rsidR="001E4839" w:rsidRPr="001E4839" w:rsidRDefault="001E4839" w:rsidP="00E00D72"/>
    <w:p w14:paraId="0E87BF5B" w14:textId="18D82020" w:rsidR="00527DE7" w:rsidRPr="00527DE7" w:rsidRDefault="00527DE7" w:rsidP="00527DE7">
      <w:pPr>
        <w:rPr>
          <w:color w:val="000000"/>
        </w:rPr>
      </w:pPr>
      <w:r w:rsidRPr="00527DE7">
        <w:rPr>
          <w:bCs/>
          <w:color w:val="000000"/>
        </w:rPr>
        <w:t xml:space="preserve">When new sewers or modifications to existing sanitary sewers are contemplated, </w:t>
      </w:r>
      <w:r w:rsidR="00D602F0">
        <w:rPr>
          <w:bCs/>
          <w:color w:val="000000"/>
        </w:rPr>
        <w:t>the design must be reviewed through the</w:t>
      </w:r>
      <w:r w:rsidR="009614A0">
        <w:rPr>
          <w:bCs/>
          <w:color w:val="000000"/>
        </w:rPr>
        <w:t xml:space="preserve"> FESS Design Review Process</w:t>
      </w:r>
      <w:r w:rsidR="00D602F0">
        <w:rPr>
          <w:bCs/>
          <w:color w:val="000000"/>
        </w:rPr>
        <w:t xml:space="preserve"> </w:t>
      </w:r>
      <w:r w:rsidR="009614A0">
        <w:rPr>
          <w:bCs/>
          <w:color w:val="000000"/>
        </w:rPr>
        <w:t>(</w:t>
      </w:r>
      <w:r w:rsidR="00D602F0" w:rsidRPr="00540AEA">
        <w:rPr>
          <w:bCs/>
        </w:rPr>
        <w:t>DP-</w:t>
      </w:r>
      <w:r w:rsidR="009614A0">
        <w:rPr>
          <w:bCs/>
        </w:rPr>
        <w:t>18)</w:t>
      </w:r>
      <w:r w:rsidRPr="00527DE7">
        <w:rPr>
          <w:bCs/>
          <w:color w:val="000000"/>
        </w:rPr>
        <w:t>.</w:t>
      </w:r>
      <w:r w:rsidRPr="00527DE7">
        <w:rPr>
          <w:b/>
          <w:color w:val="000000"/>
        </w:rPr>
        <w:t xml:space="preserve"> </w:t>
      </w:r>
      <w:r w:rsidRPr="00527DE7">
        <w:rPr>
          <w:color w:val="000000"/>
        </w:rPr>
        <w:t>No division/section</w:t>
      </w:r>
      <w:r w:rsidR="00600A9D">
        <w:rPr>
          <w:color w:val="000000"/>
        </w:rPr>
        <w:t>/</w:t>
      </w:r>
      <w:r w:rsidR="007B58F6">
        <w:rPr>
          <w:color w:val="000000"/>
        </w:rPr>
        <w:t>project</w:t>
      </w:r>
      <w:r w:rsidRPr="00527DE7">
        <w:rPr>
          <w:color w:val="000000"/>
        </w:rPr>
        <w:t>, employee, or contractor shall establish, or permit to be established any connection between sewerage and potable water supplies.  All modifications to sewers must be done by contractors licensed by the state of Illinois.</w:t>
      </w:r>
    </w:p>
    <w:p w14:paraId="08C4AFDF" w14:textId="77777777" w:rsidR="00527DE7" w:rsidRPr="00527DE7" w:rsidRDefault="00527DE7" w:rsidP="00527DE7">
      <w:pPr>
        <w:rPr>
          <w:bCs/>
          <w:color w:val="000000"/>
        </w:rPr>
      </w:pPr>
    </w:p>
    <w:p w14:paraId="7C9BBF1F" w14:textId="5F41CA7A" w:rsidR="00527DE7" w:rsidRPr="00527DE7" w:rsidRDefault="00527DE7" w:rsidP="00527DE7">
      <w:pPr>
        <w:rPr>
          <w:bCs/>
          <w:color w:val="000000"/>
        </w:rPr>
      </w:pPr>
      <w:r w:rsidRPr="00527DE7">
        <w:rPr>
          <w:bCs/>
          <w:color w:val="000000"/>
        </w:rPr>
        <w:t xml:space="preserve">Discharge of wastewater into the sanitary sewers from processes at Fermilab should proceed only after careful analysis.  </w:t>
      </w:r>
      <w:r w:rsidR="000D5FA5">
        <w:rPr>
          <w:bCs/>
          <w:color w:val="000000"/>
        </w:rPr>
        <w:t>The ES</w:t>
      </w:r>
      <w:r w:rsidR="00557570">
        <w:rPr>
          <w:bCs/>
          <w:color w:val="000000"/>
        </w:rPr>
        <w:t>&amp;</w:t>
      </w:r>
      <w:r w:rsidR="000D5FA5">
        <w:rPr>
          <w:bCs/>
          <w:color w:val="000000"/>
        </w:rPr>
        <w:t>H Environmental Protection Group</w:t>
      </w:r>
      <w:r w:rsidRPr="00527DE7">
        <w:rPr>
          <w:bCs/>
          <w:color w:val="000000"/>
        </w:rPr>
        <w:t xml:space="preserve"> should always be consulted </w:t>
      </w:r>
      <w:r w:rsidRPr="00527DE7">
        <w:rPr>
          <w:bCs/>
          <w:color w:val="000000"/>
          <w:u w:val="single"/>
        </w:rPr>
        <w:t>prior to the discharge</w:t>
      </w:r>
      <w:r w:rsidRPr="00527DE7">
        <w:rPr>
          <w:bCs/>
          <w:color w:val="000000"/>
        </w:rPr>
        <w:t>, to ensure that this chapter is being followed correctly.  The general steps to be taken are as follows:</w:t>
      </w:r>
    </w:p>
    <w:p w14:paraId="7E00028B" w14:textId="77777777" w:rsidR="00527DE7" w:rsidRPr="00527DE7" w:rsidRDefault="00527DE7" w:rsidP="00527DE7">
      <w:pPr>
        <w:rPr>
          <w:bCs/>
          <w:color w:val="000000"/>
        </w:rPr>
      </w:pPr>
    </w:p>
    <w:p w14:paraId="616E791E" w14:textId="77777777" w:rsidR="00527DE7" w:rsidRPr="00527DE7" w:rsidRDefault="00527DE7" w:rsidP="005F4D6B">
      <w:pPr>
        <w:numPr>
          <w:ilvl w:val="0"/>
          <w:numId w:val="9"/>
        </w:numPr>
        <w:rPr>
          <w:bCs/>
          <w:color w:val="000000"/>
        </w:rPr>
      </w:pPr>
      <w:r w:rsidRPr="00527DE7">
        <w:rPr>
          <w:bCs/>
          <w:color w:val="000000"/>
        </w:rPr>
        <w:t xml:space="preserve">Determine if there are further steps that may be available to minimize or prevent the discharge from the process.  Possible steps include use of alternate chemicals that have </w:t>
      </w:r>
      <w:proofErr w:type="gramStart"/>
      <w:r w:rsidRPr="00527DE7">
        <w:rPr>
          <w:bCs/>
          <w:color w:val="000000"/>
        </w:rPr>
        <w:t>less</w:t>
      </w:r>
      <w:proofErr w:type="gramEnd"/>
      <w:r w:rsidRPr="00527DE7">
        <w:rPr>
          <w:bCs/>
          <w:color w:val="000000"/>
        </w:rPr>
        <w:t xml:space="preserve"> </w:t>
      </w:r>
      <w:r w:rsidR="00374671">
        <w:rPr>
          <w:bCs/>
          <w:color w:val="000000"/>
        </w:rPr>
        <w:t>toxic</w:t>
      </w:r>
      <w:r w:rsidR="00374671" w:rsidRPr="00527DE7">
        <w:rPr>
          <w:bCs/>
          <w:color w:val="000000"/>
        </w:rPr>
        <w:t xml:space="preserve"> </w:t>
      </w:r>
      <w:r w:rsidRPr="00527DE7">
        <w:rPr>
          <w:bCs/>
          <w:color w:val="000000"/>
        </w:rPr>
        <w:t>properties, using fewer chemicals, re-capturing discharge to re-use or recycle materials either here or off site.</w:t>
      </w:r>
    </w:p>
    <w:p w14:paraId="66296005" w14:textId="77777777" w:rsidR="00527DE7" w:rsidRPr="00527DE7" w:rsidRDefault="00527DE7" w:rsidP="00527DE7">
      <w:pPr>
        <w:rPr>
          <w:bCs/>
          <w:color w:val="000000"/>
        </w:rPr>
      </w:pPr>
    </w:p>
    <w:p w14:paraId="5C557DC6" w14:textId="77777777" w:rsidR="00527DE7" w:rsidRPr="00527DE7" w:rsidRDefault="00527DE7" w:rsidP="005F4D6B">
      <w:pPr>
        <w:numPr>
          <w:ilvl w:val="0"/>
          <w:numId w:val="9"/>
        </w:numPr>
        <w:rPr>
          <w:bCs/>
          <w:color w:val="000000"/>
        </w:rPr>
      </w:pPr>
      <w:r w:rsidRPr="00527DE7">
        <w:rPr>
          <w:bCs/>
          <w:color w:val="000000"/>
        </w:rPr>
        <w:t xml:space="preserve">Ensure that none of the </w:t>
      </w:r>
      <w:r w:rsidR="00A33BF4">
        <w:rPr>
          <w:bCs/>
          <w:color w:val="000000"/>
        </w:rPr>
        <w:t>p</w:t>
      </w:r>
      <w:r w:rsidRPr="00527DE7">
        <w:rPr>
          <w:bCs/>
          <w:color w:val="000000"/>
        </w:rPr>
        <w:t>rohibitions (see Table 1) would be violated by the proposed discharge.</w:t>
      </w:r>
    </w:p>
    <w:p w14:paraId="56C70C97" w14:textId="77777777" w:rsidR="00527DE7" w:rsidRPr="00527DE7" w:rsidRDefault="00527DE7" w:rsidP="00527DE7">
      <w:pPr>
        <w:rPr>
          <w:bCs/>
          <w:color w:val="000000"/>
        </w:rPr>
      </w:pPr>
    </w:p>
    <w:p w14:paraId="2D3AD9C5" w14:textId="2B7C396D" w:rsidR="00527DE7" w:rsidRPr="00527DE7" w:rsidRDefault="00527DE7" w:rsidP="005F4D6B">
      <w:pPr>
        <w:numPr>
          <w:ilvl w:val="0"/>
          <w:numId w:val="9"/>
        </w:numPr>
        <w:rPr>
          <w:bCs/>
          <w:color w:val="000000"/>
        </w:rPr>
      </w:pPr>
      <w:r w:rsidRPr="00527DE7">
        <w:rPr>
          <w:bCs/>
          <w:color w:val="000000"/>
        </w:rPr>
        <w:t>Verify that the process from which the discharge is planned is not a categorical process.  The only way to assure that this step is completed is to compare the extensive list of categorical processes in the federal regulations</w:t>
      </w:r>
      <w:r w:rsidR="00E43EF6">
        <w:rPr>
          <w:bCs/>
          <w:color w:val="000000"/>
        </w:rPr>
        <w:t xml:space="preserve"> </w:t>
      </w:r>
      <w:r w:rsidR="00E43EF6" w:rsidRPr="00324C2D">
        <w:rPr>
          <w:bCs/>
        </w:rPr>
        <w:t xml:space="preserve">(40 CFR 400-471) </w:t>
      </w:r>
      <w:r w:rsidRPr="00527DE7">
        <w:rPr>
          <w:bCs/>
          <w:color w:val="000000"/>
        </w:rPr>
        <w:t xml:space="preserve">with the process at Fermilab that is producing the discharge.  This step should be done by the </w:t>
      </w:r>
      <w:r w:rsidR="000D5FA5">
        <w:rPr>
          <w:bCs/>
          <w:color w:val="000000"/>
        </w:rPr>
        <w:t>ES</w:t>
      </w:r>
      <w:r w:rsidR="00557570">
        <w:rPr>
          <w:bCs/>
          <w:color w:val="000000"/>
        </w:rPr>
        <w:t>&amp;</w:t>
      </w:r>
      <w:r w:rsidR="000D5FA5">
        <w:rPr>
          <w:bCs/>
          <w:color w:val="000000"/>
        </w:rPr>
        <w:t>H Environmental Protection Group</w:t>
      </w:r>
      <w:r w:rsidR="000223B1">
        <w:rPr>
          <w:bCs/>
          <w:color w:val="000000"/>
        </w:rPr>
        <w:t xml:space="preserve"> in consultation with the </w:t>
      </w:r>
      <w:r w:rsidR="000D5FA5">
        <w:rPr>
          <w:bCs/>
          <w:color w:val="000000"/>
        </w:rPr>
        <w:t>D/S/</w:t>
      </w:r>
      <w:r w:rsidR="007B58F6">
        <w:rPr>
          <w:bCs/>
          <w:color w:val="000000"/>
        </w:rPr>
        <w:t>P</w:t>
      </w:r>
      <w:r w:rsidRPr="00527DE7">
        <w:rPr>
          <w:bCs/>
          <w:color w:val="000000"/>
        </w:rPr>
        <w:t>.</w:t>
      </w:r>
      <w:r w:rsidR="00374671">
        <w:rPr>
          <w:bCs/>
          <w:color w:val="000000"/>
        </w:rPr>
        <w:t xml:space="preserve">  </w:t>
      </w:r>
      <w:r w:rsidR="00D10F95">
        <w:rPr>
          <w:bCs/>
          <w:color w:val="000000"/>
        </w:rPr>
        <w:t>See Appendix A for examples of categorical pretreatment standards.</w:t>
      </w:r>
    </w:p>
    <w:p w14:paraId="45C11709" w14:textId="77777777" w:rsidR="00527DE7" w:rsidRPr="00527DE7" w:rsidRDefault="00527DE7" w:rsidP="00527DE7">
      <w:pPr>
        <w:rPr>
          <w:bCs/>
          <w:color w:val="000000"/>
        </w:rPr>
      </w:pPr>
    </w:p>
    <w:p w14:paraId="1B9D7E27" w14:textId="77777777" w:rsidR="00527DE7" w:rsidRPr="00527DE7" w:rsidRDefault="00527DE7" w:rsidP="005F4D6B">
      <w:pPr>
        <w:numPr>
          <w:ilvl w:val="0"/>
          <w:numId w:val="9"/>
        </w:numPr>
        <w:rPr>
          <w:bCs/>
          <w:color w:val="000000"/>
        </w:rPr>
      </w:pPr>
      <w:r w:rsidRPr="00527DE7">
        <w:rPr>
          <w:bCs/>
          <w:color w:val="000000"/>
        </w:rPr>
        <w:t>Determine the characteristics of the wastewater to be disposed of, including:</w:t>
      </w:r>
    </w:p>
    <w:p w14:paraId="03FD5565" w14:textId="4A2E3D06" w:rsidR="00527DE7" w:rsidRPr="00527DE7" w:rsidRDefault="009614A0" w:rsidP="005F4D6B">
      <w:pPr>
        <w:numPr>
          <w:ilvl w:val="1"/>
          <w:numId w:val="9"/>
        </w:numPr>
        <w:rPr>
          <w:bCs/>
          <w:color w:val="000000"/>
        </w:rPr>
      </w:pPr>
      <w:r>
        <w:rPr>
          <w:bCs/>
          <w:color w:val="000000"/>
        </w:rPr>
        <w:t>V</w:t>
      </w:r>
      <w:r w:rsidR="00527DE7" w:rsidRPr="00527DE7">
        <w:rPr>
          <w:bCs/>
          <w:color w:val="000000"/>
        </w:rPr>
        <w:t>olume (gallons)</w:t>
      </w:r>
      <w:r>
        <w:rPr>
          <w:bCs/>
          <w:color w:val="000000"/>
        </w:rPr>
        <w:t>,</w:t>
      </w:r>
    </w:p>
    <w:p w14:paraId="28C1B226" w14:textId="34F17C61" w:rsidR="00527DE7" w:rsidRPr="00527DE7" w:rsidRDefault="009614A0" w:rsidP="005F4D6B">
      <w:pPr>
        <w:numPr>
          <w:ilvl w:val="1"/>
          <w:numId w:val="9"/>
        </w:numPr>
        <w:rPr>
          <w:bCs/>
          <w:color w:val="000000"/>
        </w:rPr>
      </w:pPr>
      <w:r>
        <w:rPr>
          <w:bCs/>
          <w:color w:val="000000"/>
        </w:rPr>
        <w:t>R</w:t>
      </w:r>
      <w:r w:rsidR="00527DE7" w:rsidRPr="00527DE7">
        <w:rPr>
          <w:bCs/>
          <w:color w:val="000000"/>
        </w:rPr>
        <w:t>elease rate (gallons per day)</w:t>
      </w:r>
      <w:r>
        <w:rPr>
          <w:bCs/>
          <w:color w:val="000000"/>
        </w:rPr>
        <w:t>,</w:t>
      </w:r>
    </w:p>
    <w:p w14:paraId="29DC26F6" w14:textId="6DC3C598" w:rsidR="00527DE7" w:rsidRPr="00527DE7" w:rsidRDefault="009614A0" w:rsidP="005F4D6B">
      <w:pPr>
        <w:numPr>
          <w:ilvl w:val="1"/>
          <w:numId w:val="9"/>
        </w:numPr>
        <w:rPr>
          <w:bCs/>
          <w:color w:val="000000"/>
        </w:rPr>
      </w:pPr>
      <w:r>
        <w:rPr>
          <w:bCs/>
          <w:color w:val="000000"/>
        </w:rPr>
        <w:t>C</w:t>
      </w:r>
      <w:r w:rsidR="00527DE7" w:rsidRPr="00527DE7">
        <w:rPr>
          <w:bCs/>
          <w:color w:val="000000"/>
        </w:rPr>
        <w:t>oncentration of all regulated constituents (milligrams per liter)</w:t>
      </w:r>
      <w:r>
        <w:rPr>
          <w:bCs/>
          <w:color w:val="000000"/>
        </w:rPr>
        <w:t>,</w:t>
      </w:r>
    </w:p>
    <w:p w14:paraId="7DCF65F5" w14:textId="69180865" w:rsidR="00527DE7" w:rsidRPr="00527DE7" w:rsidRDefault="00527DE7" w:rsidP="005F4D6B">
      <w:pPr>
        <w:numPr>
          <w:ilvl w:val="1"/>
          <w:numId w:val="9"/>
        </w:numPr>
        <w:rPr>
          <w:bCs/>
          <w:color w:val="000000"/>
        </w:rPr>
      </w:pPr>
      <w:r w:rsidRPr="00527DE7">
        <w:rPr>
          <w:bCs/>
          <w:color w:val="000000"/>
        </w:rPr>
        <w:t>pH</w:t>
      </w:r>
      <w:r w:rsidR="009614A0">
        <w:rPr>
          <w:bCs/>
          <w:color w:val="000000"/>
        </w:rPr>
        <w:t>,</w:t>
      </w:r>
    </w:p>
    <w:p w14:paraId="188769DB" w14:textId="744324DB" w:rsidR="00527DE7" w:rsidRPr="00013403" w:rsidRDefault="009614A0" w:rsidP="005F4D6B">
      <w:pPr>
        <w:numPr>
          <w:ilvl w:val="1"/>
          <w:numId w:val="9"/>
        </w:numPr>
        <w:rPr>
          <w:bCs/>
          <w:color w:val="000000"/>
        </w:rPr>
      </w:pPr>
      <w:r>
        <w:rPr>
          <w:bCs/>
          <w:color w:val="000000"/>
        </w:rPr>
        <w:lastRenderedPageBreak/>
        <w:t>R</w:t>
      </w:r>
      <w:r w:rsidR="00527DE7" w:rsidRPr="00527DE7">
        <w:rPr>
          <w:bCs/>
          <w:color w:val="000000"/>
        </w:rPr>
        <w:t>adiological constituents and activity (</w:t>
      </w:r>
      <w:r w:rsidR="00B76304">
        <w:rPr>
          <w:bCs/>
          <w:color w:val="000000"/>
        </w:rPr>
        <w:t>pico</w:t>
      </w:r>
      <w:r w:rsidR="007D4A05">
        <w:rPr>
          <w:bCs/>
          <w:color w:val="000000"/>
        </w:rPr>
        <w:t>c</w:t>
      </w:r>
      <w:r w:rsidR="00B76304">
        <w:rPr>
          <w:bCs/>
          <w:color w:val="000000"/>
        </w:rPr>
        <w:t xml:space="preserve">uries per milliliter). </w:t>
      </w:r>
      <w:r w:rsidR="00557570">
        <w:rPr>
          <w:bCs/>
          <w:color w:val="000000"/>
        </w:rPr>
        <w:t xml:space="preserve">See </w:t>
      </w:r>
      <w:r w:rsidR="00557570" w:rsidRPr="00013403">
        <w:rPr>
          <w:bCs/>
          <w:color w:val="000000"/>
        </w:rPr>
        <w:t xml:space="preserve">FRCM </w:t>
      </w:r>
      <w:r w:rsidR="009F45D0" w:rsidRPr="00013403">
        <w:rPr>
          <w:bCs/>
          <w:color w:val="000000"/>
        </w:rPr>
        <w:t>Chapter 11, Article</w:t>
      </w:r>
      <w:r w:rsidR="00606F28" w:rsidRPr="00013403">
        <w:rPr>
          <w:bCs/>
          <w:color w:val="000000"/>
        </w:rPr>
        <w:t xml:space="preserve"> 1106</w:t>
      </w:r>
      <w:r w:rsidR="00B76304" w:rsidRPr="00013403">
        <w:rPr>
          <w:bCs/>
          <w:color w:val="000000"/>
        </w:rPr>
        <w:t>.</w:t>
      </w:r>
    </w:p>
    <w:p w14:paraId="237B16C3" w14:textId="4424EBD0" w:rsidR="00B93D68" w:rsidRDefault="00B93D68" w:rsidP="00B93D68">
      <w:pPr>
        <w:rPr>
          <w:bCs/>
          <w:color w:val="000000"/>
        </w:rPr>
      </w:pPr>
    </w:p>
    <w:p w14:paraId="52AF78F4" w14:textId="77777777" w:rsidR="00527DE7" w:rsidRPr="00527DE7" w:rsidRDefault="00527DE7" w:rsidP="005F4D6B">
      <w:pPr>
        <w:numPr>
          <w:ilvl w:val="0"/>
          <w:numId w:val="9"/>
        </w:numPr>
        <w:rPr>
          <w:bCs/>
          <w:color w:val="000000"/>
        </w:rPr>
      </w:pPr>
      <w:r w:rsidRPr="00527DE7">
        <w:rPr>
          <w:bCs/>
          <w:color w:val="000000"/>
        </w:rPr>
        <w:t xml:space="preserve">Calculate the daily pollutant load(s) </w:t>
      </w:r>
      <w:r w:rsidR="002B2D25">
        <w:rPr>
          <w:bCs/>
          <w:color w:val="000000"/>
        </w:rPr>
        <w:t>b</w:t>
      </w:r>
      <w:r w:rsidRPr="00527DE7">
        <w:rPr>
          <w:bCs/>
          <w:color w:val="000000"/>
        </w:rPr>
        <w:t>y applying the following formula (Note that 1 gallon = 3.784 liters):</w:t>
      </w:r>
    </w:p>
    <w:p w14:paraId="30BFFAFD" w14:textId="77777777" w:rsidR="00527DE7" w:rsidRPr="00527DE7" w:rsidRDefault="00527DE7" w:rsidP="00527DE7">
      <w:pPr>
        <w:rPr>
          <w:bCs/>
          <w:color w:val="000000"/>
        </w:rPr>
      </w:pPr>
    </w:p>
    <w:p w14:paraId="500C874A" w14:textId="77777777" w:rsidR="00527DE7" w:rsidRPr="00527DE7" w:rsidRDefault="00527DE7" w:rsidP="00527DE7">
      <w:pPr>
        <w:rPr>
          <w:bCs/>
          <w:color w:val="000000"/>
        </w:rPr>
      </w:pPr>
      <w:r w:rsidRPr="00527DE7">
        <w:rPr>
          <w:bCs/>
          <w:color w:val="000000"/>
        </w:rPr>
        <w:tab/>
        <w:t>Concentration (mg/l)</w:t>
      </w:r>
      <w:r w:rsidRPr="00527DE7">
        <w:rPr>
          <w:bCs/>
          <w:color w:val="000000"/>
        </w:rPr>
        <w:tab/>
        <w:t>X</w:t>
      </w:r>
      <w:r w:rsidRPr="00527DE7">
        <w:rPr>
          <w:bCs/>
          <w:color w:val="000000"/>
        </w:rPr>
        <w:tab/>
        <w:t>Volume (l)</w:t>
      </w:r>
      <w:r w:rsidRPr="00527DE7">
        <w:rPr>
          <w:bCs/>
          <w:color w:val="000000"/>
        </w:rPr>
        <w:tab/>
        <w:t>= Load (mg)</w:t>
      </w:r>
    </w:p>
    <w:p w14:paraId="0BAEF163" w14:textId="77777777" w:rsidR="00527DE7" w:rsidRPr="00527DE7" w:rsidRDefault="00527DE7" w:rsidP="00527DE7">
      <w:pPr>
        <w:rPr>
          <w:bCs/>
          <w:color w:val="000000"/>
        </w:rPr>
      </w:pPr>
    </w:p>
    <w:p w14:paraId="516F0BBA" w14:textId="30E4B2EE" w:rsidR="00527DE7" w:rsidRDefault="00527DE7" w:rsidP="00527DE7">
      <w:pPr>
        <w:rPr>
          <w:color w:val="000000"/>
        </w:rPr>
      </w:pPr>
      <w:r w:rsidRPr="00527DE7">
        <w:rPr>
          <w:bCs/>
          <w:color w:val="000000"/>
        </w:rPr>
        <w:t>Ex:</w:t>
      </w:r>
      <w:r w:rsidRPr="00527DE7">
        <w:rPr>
          <w:color w:val="000000"/>
        </w:rPr>
        <w:tab/>
        <w:t>164 mg/l of copper</w:t>
      </w:r>
      <w:r w:rsidRPr="00527DE7">
        <w:rPr>
          <w:color w:val="000000"/>
        </w:rPr>
        <w:tab/>
        <w:t>X</w:t>
      </w:r>
      <w:r w:rsidRPr="00527DE7">
        <w:rPr>
          <w:color w:val="000000"/>
        </w:rPr>
        <w:tab/>
        <w:t>(</w:t>
      </w:r>
      <w:proofErr w:type="gramStart"/>
      <w:r w:rsidRPr="00527DE7">
        <w:rPr>
          <w:color w:val="000000"/>
        </w:rPr>
        <w:t>400 gal</w:t>
      </w:r>
      <w:proofErr w:type="gramEnd"/>
      <w:r w:rsidRPr="00527DE7">
        <w:rPr>
          <w:color w:val="000000"/>
        </w:rPr>
        <w:t xml:space="preserve"> x 3.784 liters/gal)</w:t>
      </w:r>
      <w:r w:rsidRPr="00527DE7">
        <w:rPr>
          <w:color w:val="000000"/>
        </w:rPr>
        <w:tab/>
        <w:t>= 248,230 mg Cu</w:t>
      </w:r>
    </w:p>
    <w:p w14:paraId="50B12083" w14:textId="77777777" w:rsidR="00B93D68" w:rsidRPr="00527DE7" w:rsidRDefault="00B93D68" w:rsidP="00527DE7">
      <w:pPr>
        <w:rPr>
          <w:color w:val="000000"/>
        </w:rPr>
      </w:pPr>
    </w:p>
    <w:p w14:paraId="2C21B138" w14:textId="77777777" w:rsidR="00527DE7" w:rsidRPr="00527DE7" w:rsidRDefault="00527DE7" w:rsidP="00217B2F">
      <w:pPr>
        <w:ind w:left="720" w:hanging="720"/>
        <w:rPr>
          <w:color w:val="000000"/>
        </w:rPr>
      </w:pPr>
      <w:r w:rsidRPr="00527DE7">
        <w:rPr>
          <w:color w:val="000000"/>
        </w:rPr>
        <w:tab/>
        <w:t xml:space="preserve">(In this example we want to see if we can discharge daily a </w:t>
      </w:r>
      <w:proofErr w:type="gramStart"/>
      <w:r w:rsidRPr="00527DE7">
        <w:rPr>
          <w:color w:val="000000"/>
        </w:rPr>
        <w:t>400 gallon</w:t>
      </w:r>
      <w:proofErr w:type="gramEnd"/>
      <w:r w:rsidRPr="00527DE7">
        <w:rPr>
          <w:color w:val="000000"/>
        </w:rPr>
        <w:t xml:space="preserve"> solution containing 164 mg/l of copper)</w:t>
      </w:r>
    </w:p>
    <w:p w14:paraId="2398723C" w14:textId="77777777" w:rsidR="00527DE7" w:rsidRPr="00527DE7" w:rsidRDefault="00527DE7" w:rsidP="00527DE7">
      <w:pPr>
        <w:rPr>
          <w:bCs/>
          <w:color w:val="000000"/>
        </w:rPr>
      </w:pPr>
    </w:p>
    <w:p w14:paraId="2A6326D0" w14:textId="77777777" w:rsidR="00527DE7" w:rsidRPr="00527DE7" w:rsidRDefault="00527DE7" w:rsidP="00591CF4">
      <w:pPr>
        <w:numPr>
          <w:ilvl w:val="0"/>
          <w:numId w:val="9"/>
        </w:numPr>
        <w:rPr>
          <w:bCs/>
          <w:color w:val="000000"/>
        </w:rPr>
      </w:pPr>
      <w:r w:rsidRPr="00527DE7">
        <w:rPr>
          <w:bCs/>
          <w:color w:val="000000"/>
        </w:rPr>
        <w:t>Compare the calculated load(s) with discharge criteria in Table 2.  The load must be smaller than the factor in the table for the discharge to be allowable.</w:t>
      </w:r>
    </w:p>
    <w:p w14:paraId="38D4CA30" w14:textId="77777777" w:rsidR="00527DE7" w:rsidRPr="00527DE7" w:rsidRDefault="00527DE7" w:rsidP="00527DE7">
      <w:pPr>
        <w:rPr>
          <w:bCs/>
          <w:color w:val="000000"/>
        </w:rPr>
      </w:pPr>
    </w:p>
    <w:p w14:paraId="565D57FF" w14:textId="72A43684" w:rsidR="00527DE7" w:rsidRPr="00527DE7" w:rsidRDefault="00527DE7" w:rsidP="007D4A05">
      <w:pPr>
        <w:ind w:left="810" w:hanging="90"/>
        <w:rPr>
          <w:bCs/>
          <w:color w:val="000000"/>
        </w:rPr>
      </w:pPr>
      <w:r w:rsidRPr="00527DE7">
        <w:rPr>
          <w:bCs/>
          <w:color w:val="000000"/>
        </w:rPr>
        <w:t>Ex:</w:t>
      </w:r>
      <w:r w:rsidRPr="00527DE7">
        <w:rPr>
          <w:bCs/>
          <w:color w:val="000000"/>
        </w:rPr>
        <w:tab/>
      </w:r>
      <w:r w:rsidR="007D4A05">
        <w:rPr>
          <w:bCs/>
          <w:color w:val="000000"/>
        </w:rPr>
        <w:t xml:space="preserve"> </w:t>
      </w:r>
      <w:r w:rsidRPr="00527DE7">
        <w:rPr>
          <w:bCs/>
          <w:color w:val="000000"/>
        </w:rPr>
        <w:t xml:space="preserve">In our example from above, the daily load from our Cu discharge, 248,230 mg is </w:t>
      </w:r>
      <w:r w:rsidR="002B2D25">
        <w:rPr>
          <w:bCs/>
          <w:color w:val="000000"/>
        </w:rPr>
        <w:t>above</w:t>
      </w:r>
      <w:r w:rsidRPr="00527DE7">
        <w:rPr>
          <w:bCs/>
          <w:color w:val="000000"/>
        </w:rPr>
        <w:t xml:space="preserve"> the limit of </w:t>
      </w:r>
      <w:r w:rsidR="002B2D25">
        <w:rPr>
          <w:bCs/>
          <w:color w:val="000000"/>
        </w:rPr>
        <w:t>2</w:t>
      </w:r>
      <w:r w:rsidR="007D4506">
        <w:rPr>
          <w:bCs/>
          <w:color w:val="000000"/>
        </w:rPr>
        <w:t>42</w:t>
      </w:r>
      <w:r w:rsidR="002B2D25">
        <w:rPr>
          <w:bCs/>
          <w:color w:val="000000"/>
        </w:rPr>
        <w:t>,000 mg, and the discharge is prohibited.</w:t>
      </w:r>
    </w:p>
    <w:p w14:paraId="5605B331" w14:textId="77777777" w:rsidR="00527DE7" w:rsidRPr="00527DE7" w:rsidRDefault="00527DE7" w:rsidP="00527DE7">
      <w:pPr>
        <w:rPr>
          <w:bCs/>
          <w:color w:val="000000"/>
        </w:rPr>
      </w:pPr>
    </w:p>
    <w:p w14:paraId="33B84BAC" w14:textId="77777777" w:rsidR="00527DE7" w:rsidRPr="009B409E" w:rsidRDefault="00527DE7" w:rsidP="009B409E">
      <w:pPr>
        <w:numPr>
          <w:ilvl w:val="0"/>
          <w:numId w:val="9"/>
        </w:numPr>
        <w:rPr>
          <w:bCs/>
          <w:color w:val="000000"/>
        </w:rPr>
      </w:pPr>
      <w:r w:rsidRPr="009B409E">
        <w:rPr>
          <w:color w:val="000000"/>
        </w:rPr>
        <w:t xml:space="preserve">Effluents with a pH </w:t>
      </w:r>
      <w:r w:rsidR="00A33BF4" w:rsidRPr="009B409E">
        <w:rPr>
          <w:color w:val="000000"/>
        </w:rPr>
        <w:t xml:space="preserve">equal to or </w:t>
      </w:r>
      <w:r w:rsidRPr="009B409E">
        <w:rPr>
          <w:color w:val="000000"/>
        </w:rPr>
        <w:t xml:space="preserve">below 2.0 or </w:t>
      </w:r>
      <w:r w:rsidR="00A33BF4" w:rsidRPr="009B409E">
        <w:rPr>
          <w:color w:val="000000"/>
        </w:rPr>
        <w:t xml:space="preserve">equal to or </w:t>
      </w:r>
      <w:r w:rsidRPr="009B409E">
        <w:rPr>
          <w:color w:val="000000"/>
        </w:rPr>
        <w:t xml:space="preserve">above 12.5 are considered Hazardous Wastes under RCRA regulations and may not be discharged without further treatment (i.e., neutralization).  If the pH of a potential discharge falls between 2.0 and 5.5, or between 9.0 and 12.5, and all other discharge criteria are met, the wastewater may be discharged to the sanitary sewer at a rate not to exceed 50 gallons per day.  </w:t>
      </w:r>
      <w:r w:rsidR="009B409E">
        <w:rPr>
          <w:color w:val="000000"/>
        </w:rPr>
        <w:t xml:space="preserve">If discharging more than 50 gallons per day is imperative to the process, </w:t>
      </w:r>
      <w:r w:rsidR="001E4825">
        <w:rPr>
          <w:color w:val="000000"/>
        </w:rPr>
        <w:t>ES&amp;H Section</w:t>
      </w:r>
      <w:r w:rsidR="009B409E">
        <w:rPr>
          <w:color w:val="000000"/>
        </w:rPr>
        <w:t xml:space="preserve"> approval is needed.   </w:t>
      </w:r>
      <w:r w:rsidRPr="009B409E">
        <w:rPr>
          <w:color w:val="000000"/>
        </w:rPr>
        <w:t>Effluents with pH from 5.5 to 9.0 can be released if all other discharge criteria are met.</w:t>
      </w:r>
    </w:p>
    <w:p w14:paraId="403BDC67" w14:textId="77777777" w:rsidR="00527DE7" w:rsidRPr="00527DE7" w:rsidRDefault="00527DE7" w:rsidP="00527DE7">
      <w:pPr>
        <w:rPr>
          <w:bCs/>
          <w:color w:val="000000"/>
        </w:rPr>
      </w:pPr>
    </w:p>
    <w:p w14:paraId="538329DE" w14:textId="092C5870" w:rsidR="00527DE7" w:rsidRPr="00013403" w:rsidRDefault="00527DE7" w:rsidP="00591CF4">
      <w:pPr>
        <w:numPr>
          <w:ilvl w:val="0"/>
          <w:numId w:val="9"/>
        </w:numPr>
        <w:rPr>
          <w:bCs/>
          <w:color w:val="000000"/>
        </w:rPr>
      </w:pPr>
      <w:r w:rsidRPr="00217B2F">
        <w:rPr>
          <w:color w:val="000000"/>
        </w:rPr>
        <w:t xml:space="preserve">Effluents potentially containing radionuclides can be discharged only if they comply with discharge limits specified in DOE Order </w:t>
      </w:r>
      <w:r w:rsidR="00A33BF4" w:rsidRPr="00217B2F">
        <w:rPr>
          <w:color w:val="000000"/>
        </w:rPr>
        <w:t>458.1</w:t>
      </w:r>
      <w:r w:rsidR="00013403">
        <w:rPr>
          <w:color w:val="000000"/>
        </w:rPr>
        <w:t xml:space="preserve"> as</w:t>
      </w:r>
      <w:r w:rsidRPr="00217B2F">
        <w:rPr>
          <w:color w:val="000000"/>
        </w:rPr>
        <w:t xml:space="preserve"> </w:t>
      </w:r>
      <w:r w:rsidR="00600A9D" w:rsidRPr="00217B2F">
        <w:rPr>
          <w:color w:val="000000"/>
        </w:rPr>
        <w:t>summarized</w:t>
      </w:r>
      <w:r w:rsidR="00A33BF4" w:rsidRPr="00217B2F">
        <w:rPr>
          <w:color w:val="000000"/>
        </w:rPr>
        <w:t xml:space="preserve"> in </w:t>
      </w:r>
      <w:r w:rsidR="00A33BF4" w:rsidRPr="00013403">
        <w:rPr>
          <w:color w:val="000000"/>
        </w:rPr>
        <w:t xml:space="preserve">FRCM Chapter </w:t>
      </w:r>
      <w:r w:rsidR="004E6253" w:rsidRPr="00013403">
        <w:rPr>
          <w:color w:val="000000"/>
        </w:rPr>
        <w:t>11</w:t>
      </w:r>
      <w:r w:rsidR="00600A9D" w:rsidRPr="00013403">
        <w:rPr>
          <w:color w:val="000000"/>
        </w:rPr>
        <w:t xml:space="preserve">, </w:t>
      </w:r>
      <w:r w:rsidR="00195AF2" w:rsidRPr="00013403">
        <w:rPr>
          <w:color w:val="000000"/>
        </w:rPr>
        <w:t>A</w:t>
      </w:r>
      <w:r w:rsidR="00600A9D" w:rsidRPr="00013403">
        <w:rPr>
          <w:color w:val="000000"/>
        </w:rPr>
        <w:t xml:space="preserve">rticle </w:t>
      </w:r>
      <w:r w:rsidR="004E6253" w:rsidRPr="00013403">
        <w:rPr>
          <w:color w:val="000000"/>
        </w:rPr>
        <w:t>1106</w:t>
      </w:r>
      <w:r w:rsidR="0053297F" w:rsidRPr="00013403">
        <w:rPr>
          <w:color w:val="000000"/>
        </w:rPr>
        <w:t>.</w:t>
      </w:r>
    </w:p>
    <w:p w14:paraId="69EA0A4E" w14:textId="77777777" w:rsidR="00F86384" w:rsidRDefault="00527DE7" w:rsidP="00527DE7">
      <w:r w:rsidRPr="00527DE7">
        <w:rPr>
          <w:color w:val="000000"/>
        </w:rPr>
        <w:br w:type="page"/>
      </w:r>
    </w:p>
    <w:p w14:paraId="529A3850" w14:textId="77777777" w:rsidR="00527DE7" w:rsidRPr="00B037ED" w:rsidRDefault="00527DE7" w:rsidP="00915995">
      <w:pPr>
        <w:pStyle w:val="Heading1"/>
        <w:ind w:left="90"/>
        <w:rPr>
          <w:rFonts w:ascii="Palatino Linotype" w:hAnsi="Palatino Linotype"/>
          <w:sz w:val="20"/>
        </w:rPr>
      </w:pPr>
      <w:bookmarkStart w:id="7" w:name="_Toc32571884"/>
      <w:r w:rsidRPr="00B037ED">
        <w:lastRenderedPageBreak/>
        <w:t>Table 1</w:t>
      </w:r>
      <w:bookmarkEnd w:id="7"/>
    </w:p>
    <w:p w14:paraId="016F3713" w14:textId="77777777" w:rsidR="00527DE7" w:rsidRPr="00B037ED" w:rsidRDefault="00527DE7" w:rsidP="00527DE7">
      <w:pPr>
        <w:jc w:val="center"/>
        <w:rPr>
          <w:rFonts w:ascii="Palatino Linotype" w:hAnsi="Palatino Linotype"/>
          <w:b/>
          <w:sz w:val="20"/>
        </w:rPr>
      </w:pPr>
    </w:p>
    <w:p w14:paraId="22A0777F" w14:textId="77777777" w:rsidR="00527DE7" w:rsidRPr="00B037ED" w:rsidRDefault="00527DE7" w:rsidP="00527DE7">
      <w:pPr>
        <w:jc w:val="center"/>
        <w:rPr>
          <w:rFonts w:ascii="Palatino Linotype" w:hAnsi="Palatino Linotype"/>
          <w:b/>
        </w:rPr>
      </w:pPr>
      <w:r w:rsidRPr="00B037ED">
        <w:rPr>
          <w:rFonts w:ascii="Palatino Linotype" w:hAnsi="Palatino Linotype"/>
          <w:b/>
        </w:rPr>
        <w:t>MATERIALS PROHIBITED FROM DISCHARGE INTO FERMILAB SEWERAGE</w:t>
      </w:r>
    </w:p>
    <w:p w14:paraId="01150155" w14:textId="77777777" w:rsidR="00527DE7" w:rsidRPr="00B037ED" w:rsidRDefault="00527DE7" w:rsidP="00527DE7">
      <w:pPr>
        <w:jc w:val="center"/>
        <w:rPr>
          <w:rFonts w:ascii="Palatino Linotype" w:hAnsi="Palatino Linotype"/>
          <w:b/>
          <w:sz w:val="20"/>
        </w:rPr>
      </w:pPr>
    </w:p>
    <w:p w14:paraId="1DE0CFB8" w14:textId="77777777" w:rsidR="00527DE7" w:rsidRPr="007D4A05" w:rsidRDefault="00527DE7" w:rsidP="00527DE7">
      <w:pPr>
        <w:rPr>
          <w:rFonts w:ascii="Palatino Linotype" w:hAnsi="Palatino Linotype"/>
          <w:sz w:val="22"/>
          <w:szCs w:val="28"/>
        </w:rPr>
      </w:pPr>
      <w:r w:rsidRPr="007D4A05">
        <w:rPr>
          <w:rFonts w:ascii="Palatino Linotype" w:hAnsi="Palatino Linotype"/>
          <w:sz w:val="22"/>
          <w:szCs w:val="28"/>
        </w:rPr>
        <w:t xml:space="preserve">These requirements apply at the point where the process discharge enters the Fermilab sewerage system, i.e., at the point of generation.  The following substances are </w:t>
      </w:r>
      <w:r w:rsidRPr="007D4A05">
        <w:rPr>
          <w:rFonts w:ascii="Palatino Linotype" w:hAnsi="Palatino Linotype"/>
          <w:b/>
          <w:sz w:val="22"/>
          <w:szCs w:val="28"/>
        </w:rPr>
        <w:t>prohibited</w:t>
      </w:r>
      <w:r w:rsidRPr="007D4A05">
        <w:rPr>
          <w:rFonts w:ascii="Palatino Linotype" w:hAnsi="Palatino Linotype"/>
          <w:sz w:val="22"/>
          <w:szCs w:val="28"/>
        </w:rPr>
        <w:t xml:space="preserve"> </w:t>
      </w:r>
      <w:r w:rsidRPr="007D4A05">
        <w:rPr>
          <w:rFonts w:ascii="Palatino Linotype" w:hAnsi="Palatino Linotype"/>
          <w:b/>
          <w:sz w:val="22"/>
          <w:szCs w:val="28"/>
        </w:rPr>
        <w:t>in any amount</w:t>
      </w:r>
      <w:r w:rsidRPr="007D4A05">
        <w:rPr>
          <w:rFonts w:ascii="Palatino Linotype" w:hAnsi="Palatino Linotype"/>
          <w:sz w:val="22"/>
          <w:szCs w:val="28"/>
        </w:rPr>
        <w:t xml:space="preserve"> from </w:t>
      </w:r>
      <w:proofErr w:type="gramStart"/>
      <w:r w:rsidRPr="007D4A05">
        <w:rPr>
          <w:rFonts w:ascii="Palatino Linotype" w:hAnsi="Palatino Linotype"/>
          <w:sz w:val="22"/>
          <w:szCs w:val="28"/>
        </w:rPr>
        <w:t>entering into</w:t>
      </w:r>
      <w:proofErr w:type="gramEnd"/>
      <w:r w:rsidRPr="007D4A05">
        <w:rPr>
          <w:rFonts w:ascii="Palatino Linotype" w:hAnsi="Palatino Linotype"/>
          <w:sz w:val="22"/>
          <w:szCs w:val="28"/>
        </w:rPr>
        <w:t xml:space="preserve"> the system:</w:t>
      </w:r>
    </w:p>
    <w:p w14:paraId="548D79A8" w14:textId="77777777" w:rsidR="00527DE7" w:rsidRPr="007D4A05" w:rsidRDefault="00527DE7" w:rsidP="00527DE7">
      <w:pPr>
        <w:rPr>
          <w:rFonts w:ascii="Palatino Linotype" w:hAnsi="Palatino Linotype"/>
          <w:sz w:val="22"/>
          <w:szCs w:val="28"/>
        </w:rPr>
      </w:pPr>
    </w:p>
    <w:p w14:paraId="52810B61" w14:textId="77777777" w:rsidR="00527DE7" w:rsidRPr="007D4A05" w:rsidRDefault="00527DE7" w:rsidP="005F4D6B">
      <w:pPr>
        <w:pStyle w:val="ListParagraph"/>
        <w:numPr>
          <w:ilvl w:val="6"/>
          <w:numId w:val="8"/>
        </w:numPr>
        <w:ind w:left="360"/>
        <w:jc w:val="left"/>
        <w:rPr>
          <w:rFonts w:ascii="Palatino Linotype" w:hAnsi="Palatino Linotype"/>
          <w:sz w:val="22"/>
          <w:szCs w:val="28"/>
        </w:rPr>
      </w:pPr>
      <w:r w:rsidRPr="007D4A05">
        <w:rPr>
          <w:rFonts w:ascii="Palatino Linotype" w:hAnsi="Palatino Linotype"/>
          <w:sz w:val="22"/>
          <w:szCs w:val="28"/>
        </w:rPr>
        <w:t>Flammable and/or explosive materials,</w:t>
      </w:r>
    </w:p>
    <w:p w14:paraId="3B9E70EA" w14:textId="77777777" w:rsidR="00527DE7" w:rsidRPr="007D4A05" w:rsidRDefault="00527DE7" w:rsidP="005F4D6B">
      <w:pPr>
        <w:ind w:left="360"/>
        <w:rPr>
          <w:rFonts w:ascii="Palatino Linotype" w:hAnsi="Palatino Linotype"/>
          <w:sz w:val="22"/>
          <w:szCs w:val="28"/>
        </w:rPr>
      </w:pPr>
    </w:p>
    <w:p w14:paraId="485E9155" w14:textId="77777777" w:rsidR="00527DE7" w:rsidRPr="007D4A05" w:rsidRDefault="00527DE7" w:rsidP="005F4D6B">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Any RCRA hazardous waste,</w:t>
      </w:r>
    </w:p>
    <w:p w14:paraId="6EFA38ED" w14:textId="77777777" w:rsidR="00527DE7" w:rsidRPr="007D4A05" w:rsidRDefault="00527DE7" w:rsidP="005F4D6B">
      <w:pPr>
        <w:ind w:left="360"/>
        <w:rPr>
          <w:rFonts w:ascii="Palatino Linotype" w:hAnsi="Palatino Linotype"/>
          <w:sz w:val="22"/>
          <w:szCs w:val="28"/>
        </w:rPr>
      </w:pPr>
    </w:p>
    <w:p w14:paraId="1066CE24" w14:textId="77777777" w:rsidR="00527DE7" w:rsidRPr="007D4A05" w:rsidRDefault="00527DE7" w:rsidP="005F4D6B">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Any solids or highly viscous substances (e.g., garbage, paper, cinders, sand, metal, rags, tar, wood, etc.),</w:t>
      </w:r>
    </w:p>
    <w:p w14:paraId="52FF003C" w14:textId="77777777" w:rsidR="00527DE7" w:rsidRPr="007D4A05" w:rsidRDefault="00527DE7" w:rsidP="005F4D6B">
      <w:pPr>
        <w:ind w:left="360"/>
        <w:rPr>
          <w:rFonts w:ascii="Palatino Linotype" w:hAnsi="Palatino Linotype"/>
          <w:sz w:val="22"/>
          <w:szCs w:val="28"/>
        </w:rPr>
      </w:pPr>
    </w:p>
    <w:p w14:paraId="1BB8F0BD" w14:textId="77777777" w:rsidR="00527DE7" w:rsidRPr="007D4A05" w:rsidRDefault="00527DE7" w:rsidP="005F4D6B">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Biocides (toxins or poisons) in a quantity sufficient to disrupt the sewage treatment process,</w:t>
      </w:r>
    </w:p>
    <w:p w14:paraId="20F84E91" w14:textId="77777777" w:rsidR="00527DE7" w:rsidRPr="007D4A05" w:rsidRDefault="00527DE7" w:rsidP="005F4D6B">
      <w:pPr>
        <w:ind w:left="360"/>
        <w:rPr>
          <w:rFonts w:ascii="Palatino Linotype" w:hAnsi="Palatino Linotype"/>
          <w:sz w:val="22"/>
          <w:szCs w:val="28"/>
        </w:rPr>
      </w:pPr>
    </w:p>
    <w:p w14:paraId="70EAC439" w14:textId="77777777" w:rsidR="00527DE7" w:rsidRPr="007D4A05" w:rsidRDefault="00527DE7" w:rsidP="005F4D6B">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Storm water, surface water, ground water, roof runoff, subsurface drainage, cooling water or unpolluted process water,</w:t>
      </w:r>
    </w:p>
    <w:p w14:paraId="7976BDB5" w14:textId="77777777" w:rsidR="00527DE7" w:rsidRPr="007D4A05" w:rsidRDefault="00527DE7" w:rsidP="005F4D6B">
      <w:pPr>
        <w:ind w:left="360"/>
        <w:rPr>
          <w:rFonts w:ascii="Palatino Linotype" w:hAnsi="Palatino Linotype"/>
          <w:sz w:val="22"/>
          <w:szCs w:val="28"/>
        </w:rPr>
      </w:pPr>
    </w:p>
    <w:p w14:paraId="5B58C476" w14:textId="268CA532" w:rsidR="00527DE7" w:rsidRPr="007D4A05" w:rsidRDefault="00527DE7" w:rsidP="005F4D6B">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 xml:space="preserve">Ethylene glycol.  </w:t>
      </w:r>
      <w:r w:rsidR="00B93D68" w:rsidRPr="007D4A05">
        <w:rPr>
          <w:rFonts w:ascii="Palatino Linotype" w:hAnsi="Palatino Linotype"/>
          <w:sz w:val="22"/>
          <w:szCs w:val="28"/>
        </w:rPr>
        <w:t>However,</w:t>
      </w:r>
      <w:r w:rsidR="00C309B0" w:rsidRPr="007D4A05">
        <w:rPr>
          <w:rFonts w:ascii="Palatino Linotype" w:hAnsi="Palatino Linotype"/>
          <w:sz w:val="22"/>
          <w:szCs w:val="28"/>
        </w:rPr>
        <w:t xml:space="preserve"> a</w:t>
      </w:r>
      <w:r w:rsidRPr="007D4A05">
        <w:rPr>
          <w:rFonts w:ascii="Palatino Linotype" w:hAnsi="Palatino Linotype"/>
          <w:sz w:val="22"/>
          <w:szCs w:val="28"/>
        </w:rPr>
        <w:t xml:space="preserve"> 50% solution of </w:t>
      </w:r>
      <w:r w:rsidRPr="007D4A05">
        <w:rPr>
          <w:rFonts w:ascii="Palatino Linotype" w:hAnsi="Palatino Linotype"/>
          <w:sz w:val="22"/>
          <w:szCs w:val="28"/>
          <w:u w:val="single"/>
        </w:rPr>
        <w:t>propylene</w:t>
      </w:r>
      <w:r w:rsidRPr="007D4A05">
        <w:rPr>
          <w:rFonts w:ascii="Palatino Linotype" w:hAnsi="Palatino Linotype"/>
          <w:sz w:val="22"/>
          <w:szCs w:val="28"/>
        </w:rPr>
        <w:t xml:space="preserve"> glycol may be released at a rate not to exceed 100 gallons per day</w:t>
      </w:r>
      <w:r w:rsidR="00901E3C" w:rsidRPr="007D4A05">
        <w:rPr>
          <w:rFonts w:ascii="Palatino Linotype" w:hAnsi="Palatino Linotype"/>
          <w:sz w:val="22"/>
          <w:szCs w:val="28"/>
        </w:rPr>
        <w:t>,</w:t>
      </w:r>
      <w:r w:rsidR="00901E3C" w:rsidRPr="007D4A05">
        <w:rPr>
          <w:rStyle w:val="FootnoteReference"/>
          <w:rFonts w:ascii="Palatino Linotype" w:hAnsi="Palatino Linotype"/>
          <w:sz w:val="18"/>
          <w:szCs w:val="28"/>
        </w:rPr>
        <w:footnoteReference w:id="1"/>
      </w:r>
    </w:p>
    <w:p w14:paraId="7775B882" w14:textId="77777777" w:rsidR="0053297F" w:rsidRPr="007D4A05" w:rsidRDefault="0053297F" w:rsidP="005F4D6B">
      <w:pPr>
        <w:ind w:left="360"/>
        <w:rPr>
          <w:rFonts w:ascii="Palatino Linotype" w:hAnsi="Palatino Linotype"/>
          <w:sz w:val="22"/>
          <w:szCs w:val="28"/>
        </w:rPr>
      </w:pPr>
    </w:p>
    <w:p w14:paraId="7A3444AA" w14:textId="2EA5CDE2" w:rsidR="0053297F" w:rsidRPr="007D4A05" w:rsidRDefault="0053297F" w:rsidP="005F4D6B">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pH less than 5.</w:t>
      </w:r>
      <w:r w:rsidR="005F4D6B" w:rsidRPr="007D4A05">
        <w:rPr>
          <w:rFonts w:ascii="Palatino Linotype" w:hAnsi="Palatino Linotype"/>
          <w:sz w:val="22"/>
          <w:szCs w:val="28"/>
        </w:rPr>
        <w:t>5</w:t>
      </w:r>
      <w:r w:rsidRPr="007D4A05">
        <w:rPr>
          <w:rFonts w:ascii="Palatino Linotype" w:hAnsi="Palatino Linotype"/>
          <w:sz w:val="22"/>
          <w:szCs w:val="28"/>
        </w:rPr>
        <w:t xml:space="preserve"> and more than </w:t>
      </w:r>
      <w:r w:rsidR="005F4D6B" w:rsidRPr="007D4A05">
        <w:rPr>
          <w:rFonts w:ascii="Palatino Linotype" w:hAnsi="Palatino Linotype"/>
          <w:sz w:val="22"/>
          <w:szCs w:val="28"/>
        </w:rPr>
        <w:t>9</w:t>
      </w:r>
      <w:r w:rsidRPr="007D4A05">
        <w:rPr>
          <w:rFonts w:ascii="Palatino Linotype" w:hAnsi="Palatino Linotype"/>
          <w:sz w:val="22"/>
          <w:szCs w:val="28"/>
        </w:rPr>
        <w:t>.0</w:t>
      </w:r>
      <w:r w:rsidR="001D12DE" w:rsidRPr="007D4A05">
        <w:rPr>
          <w:rFonts w:ascii="Palatino Linotype" w:hAnsi="Palatino Linotype"/>
          <w:sz w:val="22"/>
          <w:szCs w:val="28"/>
        </w:rPr>
        <w:t xml:space="preserve"> (</w:t>
      </w:r>
      <w:r w:rsidR="001D12DE" w:rsidRPr="007D4A05">
        <w:rPr>
          <w:rFonts w:ascii="Palatino Linotype" w:hAnsi="Palatino Linotype"/>
          <w:sz w:val="22"/>
          <w:szCs w:val="22"/>
        </w:rPr>
        <w:t>in accordance with 5.0 Procedures, part 7)</w:t>
      </w:r>
      <w:r w:rsidR="00901E3C" w:rsidRPr="007D4A05">
        <w:rPr>
          <w:rFonts w:ascii="Palatino Linotype" w:hAnsi="Palatino Linotype"/>
          <w:sz w:val="22"/>
          <w:szCs w:val="28"/>
        </w:rPr>
        <w:t>,</w:t>
      </w:r>
    </w:p>
    <w:p w14:paraId="423B2E43" w14:textId="77777777" w:rsidR="00901E3C" w:rsidRPr="007D4A05" w:rsidRDefault="00901E3C" w:rsidP="00901E3C">
      <w:pPr>
        <w:pStyle w:val="ListParagraph"/>
        <w:rPr>
          <w:rFonts w:ascii="Palatino Linotype" w:hAnsi="Palatino Linotype"/>
          <w:sz w:val="22"/>
          <w:szCs w:val="28"/>
        </w:rPr>
      </w:pPr>
    </w:p>
    <w:p w14:paraId="736A8798" w14:textId="5B092133" w:rsidR="00600A9D" w:rsidRPr="007D4A05" w:rsidRDefault="00901E3C" w:rsidP="00901E3C">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 xml:space="preserve">Any other material that would cause any disruption to the wastewater treatment process, such as, levels of chemical oxygen demand, </w:t>
      </w:r>
      <w:proofErr w:type="gramStart"/>
      <w:r w:rsidRPr="007D4A05">
        <w:rPr>
          <w:rFonts w:ascii="Palatino Linotype" w:hAnsi="Palatino Linotype"/>
          <w:sz w:val="22"/>
          <w:szCs w:val="28"/>
        </w:rPr>
        <w:t>oil</w:t>
      </w:r>
      <w:proofErr w:type="gramEnd"/>
      <w:r w:rsidRPr="007D4A05">
        <w:rPr>
          <w:rFonts w:ascii="Palatino Linotype" w:hAnsi="Palatino Linotype"/>
          <w:sz w:val="22"/>
          <w:szCs w:val="28"/>
        </w:rPr>
        <w:t xml:space="preserve"> and grease</w:t>
      </w:r>
      <w:r w:rsidR="009D34BF" w:rsidRPr="007D4A05">
        <w:rPr>
          <w:rFonts w:ascii="Palatino Linotype" w:hAnsi="Palatino Linotype"/>
          <w:sz w:val="22"/>
          <w:szCs w:val="28"/>
        </w:rPr>
        <w:t xml:space="preserve"> (</w:t>
      </w:r>
      <w:r w:rsidR="009D34BF" w:rsidRPr="007D4A05">
        <w:rPr>
          <w:sz w:val="22"/>
          <w:szCs w:val="22"/>
        </w:rPr>
        <w:t>more than one hundred (100) parts per million by weight)</w:t>
      </w:r>
      <w:r w:rsidRPr="007D4A05">
        <w:rPr>
          <w:rFonts w:ascii="Palatino Linotype" w:hAnsi="Palatino Linotype"/>
          <w:sz w:val="22"/>
          <w:szCs w:val="28"/>
        </w:rPr>
        <w:t>, and suspended solids, etc. that will cause an interference with the POTW.  (</w:t>
      </w:r>
      <w:proofErr w:type="gramStart"/>
      <w:r w:rsidR="000726F7" w:rsidRPr="007D4A05">
        <w:rPr>
          <w:rFonts w:ascii="Palatino Linotype" w:hAnsi="Palatino Linotype"/>
          <w:sz w:val="22"/>
          <w:szCs w:val="28"/>
        </w:rPr>
        <w:t>for</w:t>
      </w:r>
      <w:proofErr w:type="gramEnd"/>
      <w:r w:rsidR="000726F7" w:rsidRPr="007D4A05">
        <w:rPr>
          <w:rFonts w:ascii="Palatino Linotype" w:hAnsi="Palatino Linotype"/>
          <w:sz w:val="22"/>
          <w:szCs w:val="28"/>
        </w:rPr>
        <w:t xml:space="preserve"> a comprehensive list, </w:t>
      </w:r>
      <w:r w:rsidRPr="007D4A05">
        <w:rPr>
          <w:rFonts w:ascii="Palatino Linotype" w:hAnsi="Palatino Linotype"/>
          <w:sz w:val="22"/>
          <w:szCs w:val="28"/>
        </w:rPr>
        <w:t xml:space="preserve">see </w:t>
      </w:r>
      <w:r w:rsidR="00540AEA" w:rsidRPr="007D4A05">
        <w:rPr>
          <w:rFonts w:ascii="Palatino Linotype" w:hAnsi="Palatino Linotype"/>
          <w:sz w:val="22"/>
          <w:szCs w:val="28"/>
        </w:rPr>
        <w:t>the</w:t>
      </w:r>
      <w:r w:rsidRPr="007D4A05">
        <w:rPr>
          <w:rFonts w:ascii="Palatino Linotype" w:hAnsi="Palatino Linotype"/>
          <w:sz w:val="22"/>
          <w:szCs w:val="28"/>
        </w:rPr>
        <w:t xml:space="preserve"> </w:t>
      </w:r>
      <w:r w:rsidR="00540AEA" w:rsidRPr="007D4A05">
        <w:rPr>
          <w:rFonts w:ascii="Palatino Linotype" w:hAnsi="Palatino Linotype"/>
          <w:bCs/>
          <w:sz w:val="22"/>
          <w:szCs w:val="28"/>
        </w:rPr>
        <w:t>city c</w:t>
      </w:r>
      <w:r w:rsidRPr="007D4A05">
        <w:rPr>
          <w:rFonts w:ascii="Palatino Linotype" w:hAnsi="Palatino Linotype"/>
          <w:bCs/>
          <w:sz w:val="22"/>
          <w:szCs w:val="28"/>
        </w:rPr>
        <w:t>ode for Batavia</w:t>
      </w:r>
      <w:r w:rsidRPr="007D4A05">
        <w:rPr>
          <w:rFonts w:ascii="Palatino Linotype" w:hAnsi="Palatino Linotype"/>
          <w:sz w:val="22"/>
          <w:szCs w:val="28"/>
        </w:rPr>
        <w:t xml:space="preserve"> and </w:t>
      </w:r>
      <w:r w:rsidR="00540AEA" w:rsidRPr="007D4A05">
        <w:rPr>
          <w:rFonts w:ascii="Palatino Linotype" w:hAnsi="Palatino Linotype"/>
          <w:bCs/>
          <w:sz w:val="22"/>
          <w:szCs w:val="28"/>
        </w:rPr>
        <w:t>city c</w:t>
      </w:r>
      <w:r w:rsidRPr="007D4A05">
        <w:rPr>
          <w:rFonts w:ascii="Palatino Linotype" w:hAnsi="Palatino Linotype"/>
          <w:bCs/>
          <w:sz w:val="22"/>
          <w:szCs w:val="28"/>
        </w:rPr>
        <w:t>ode for Warrenville</w:t>
      </w:r>
      <w:r w:rsidRPr="007D4A05">
        <w:rPr>
          <w:rFonts w:ascii="Palatino Linotype" w:hAnsi="Palatino Linotype"/>
          <w:sz w:val="22"/>
          <w:szCs w:val="28"/>
        </w:rPr>
        <w:t>)</w:t>
      </w:r>
      <w:r w:rsidR="00600A9D" w:rsidRPr="007D4A05">
        <w:rPr>
          <w:rFonts w:ascii="Palatino Linotype" w:hAnsi="Palatino Linotype"/>
          <w:sz w:val="22"/>
          <w:szCs w:val="28"/>
        </w:rPr>
        <w:t>,</w:t>
      </w:r>
    </w:p>
    <w:p w14:paraId="58E0C874" w14:textId="77777777" w:rsidR="00600A9D" w:rsidRPr="007D4A05" w:rsidRDefault="00600A9D" w:rsidP="00600A9D">
      <w:pPr>
        <w:pStyle w:val="ListParagraph"/>
        <w:rPr>
          <w:rFonts w:ascii="Palatino Linotype" w:hAnsi="Palatino Linotype"/>
          <w:sz w:val="22"/>
          <w:szCs w:val="28"/>
        </w:rPr>
      </w:pPr>
    </w:p>
    <w:p w14:paraId="4276FC42" w14:textId="0C4AFB64" w:rsidR="00901E3C" w:rsidRPr="007D4A05" w:rsidRDefault="00600A9D" w:rsidP="00901E3C">
      <w:pPr>
        <w:pStyle w:val="ListParagraph"/>
        <w:numPr>
          <w:ilvl w:val="6"/>
          <w:numId w:val="16"/>
        </w:numPr>
        <w:ind w:left="360"/>
        <w:rPr>
          <w:rFonts w:ascii="Palatino Linotype" w:hAnsi="Palatino Linotype"/>
          <w:sz w:val="22"/>
          <w:szCs w:val="28"/>
        </w:rPr>
      </w:pPr>
      <w:r w:rsidRPr="007D4A05">
        <w:rPr>
          <w:rFonts w:ascii="Palatino Linotype" w:hAnsi="Palatino Linotype"/>
          <w:sz w:val="22"/>
          <w:szCs w:val="28"/>
        </w:rPr>
        <w:t xml:space="preserve">Water containing radionuclide </w:t>
      </w:r>
      <w:r w:rsidR="001450C5" w:rsidRPr="007D4A05">
        <w:rPr>
          <w:rFonts w:ascii="Palatino Linotype" w:hAnsi="Palatino Linotype"/>
          <w:sz w:val="22"/>
          <w:szCs w:val="28"/>
        </w:rPr>
        <w:t>amounts exceeding</w:t>
      </w:r>
      <w:r w:rsidR="00E67C7D" w:rsidRPr="007D4A05">
        <w:rPr>
          <w:rFonts w:ascii="Palatino Linotype" w:hAnsi="Palatino Linotype"/>
          <w:sz w:val="22"/>
          <w:szCs w:val="28"/>
        </w:rPr>
        <w:t xml:space="preserve"> the thresholds established in the Fermilab Radiological Control Manual, </w:t>
      </w:r>
      <w:r w:rsidR="009F45D0" w:rsidRPr="007D4A05">
        <w:rPr>
          <w:rFonts w:ascii="Palatino Linotype" w:hAnsi="Palatino Linotype"/>
          <w:sz w:val="22"/>
          <w:szCs w:val="28"/>
        </w:rPr>
        <w:t>Chapter 11</w:t>
      </w:r>
      <w:r w:rsidR="00606F28" w:rsidRPr="007D4A05">
        <w:rPr>
          <w:rFonts w:ascii="Palatino Linotype" w:hAnsi="Palatino Linotype"/>
          <w:sz w:val="22"/>
          <w:szCs w:val="28"/>
        </w:rPr>
        <w:t xml:space="preserve"> Article</w:t>
      </w:r>
      <w:r w:rsidR="00E67C7D" w:rsidRPr="007D4A05">
        <w:rPr>
          <w:rFonts w:ascii="Palatino Linotype" w:hAnsi="Palatino Linotype"/>
          <w:sz w:val="22"/>
          <w:szCs w:val="28"/>
        </w:rPr>
        <w:t>s</w:t>
      </w:r>
      <w:r w:rsidR="00606F28" w:rsidRPr="007D4A05">
        <w:rPr>
          <w:rFonts w:ascii="Palatino Linotype" w:hAnsi="Palatino Linotype"/>
          <w:sz w:val="22"/>
          <w:szCs w:val="28"/>
        </w:rPr>
        <w:t xml:space="preserve"> </w:t>
      </w:r>
      <w:r w:rsidR="00E67C7D" w:rsidRPr="007D4A05">
        <w:rPr>
          <w:rFonts w:ascii="Palatino Linotype" w:hAnsi="Palatino Linotype"/>
          <w:sz w:val="22"/>
          <w:szCs w:val="28"/>
        </w:rPr>
        <w:t>110</w:t>
      </w:r>
      <w:r w:rsidR="00B93D68" w:rsidRPr="007D4A05">
        <w:rPr>
          <w:rFonts w:ascii="Palatino Linotype" w:hAnsi="Palatino Linotype"/>
          <w:sz w:val="22"/>
          <w:szCs w:val="28"/>
        </w:rPr>
        <w:t>4</w:t>
      </w:r>
      <w:r w:rsidR="00E67C7D" w:rsidRPr="007D4A05">
        <w:rPr>
          <w:rFonts w:ascii="Palatino Linotype" w:hAnsi="Palatino Linotype"/>
          <w:sz w:val="22"/>
          <w:szCs w:val="28"/>
        </w:rPr>
        <w:t xml:space="preserve">, </w:t>
      </w:r>
      <w:r w:rsidR="00B93D68" w:rsidRPr="007D4A05">
        <w:rPr>
          <w:rFonts w:ascii="Palatino Linotype" w:hAnsi="Palatino Linotype"/>
          <w:sz w:val="22"/>
          <w:szCs w:val="28"/>
        </w:rPr>
        <w:t xml:space="preserve">1105, </w:t>
      </w:r>
      <w:r w:rsidR="00606F28" w:rsidRPr="007D4A05">
        <w:rPr>
          <w:rFonts w:ascii="Palatino Linotype" w:hAnsi="Palatino Linotype"/>
          <w:sz w:val="22"/>
          <w:szCs w:val="28"/>
        </w:rPr>
        <w:t>1106</w:t>
      </w:r>
      <w:r w:rsidR="00E67C7D" w:rsidRPr="007D4A05">
        <w:rPr>
          <w:rFonts w:ascii="Palatino Linotype" w:hAnsi="Palatino Linotype"/>
          <w:sz w:val="22"/>
          <w:szCs w:val="28"/>
        </w:rPr>
        <w:t xml:space="preserve"> and</w:t>
      </w:r>
      <w:r w:rsidR="009F45D0" w:rsidRPr="007D4A05">
        <w:rPr>
          <w:rFonts w:ascii="Palatino Linotype" w:hAnsi="Palatino Linotype"/>
          <w:sz w:val="22"/>
          <w:szCs w:val="28"/>
        </w:rPr>
        <w:t xml:space="preserve"> Appendix 11C</w:t>
      </w:r>
      <w:r w:rsidR="00B93D68" w:rsidRPr="007D4A05">
        <w:rPr>
          <w:rFonts w:ascii="Palatino Linotype" w:hAnsi="Palatino Linotype"/>
          <w:sz w:val="22"/>
          <w:szCs w:val="28"/>
        </w:rPr>
        <w:t>.</w:t>
      </w:r>
    </w:p>
    <w:p w14:paraId="69B83BF4" w14:textId="77777777" w:rsidR="00600A9D" w:rsidRPr="007D4A05" w:rsidRDefault="00600A9D" w:rsidP="00600A9D">
      <w:pPr>
        <w:pStyle w:val="ListParagraph"/>
        <w:rPr>
          <w:rFonts w:ascii="Palatino Linotype" w:hAnsi="Palatino Linotype"/>
          <w:sz w:val="22"/>
          <w:szCs w:val="28"/>
        </w:rPr>
      </w:pPr>
    </w:p>
    <w:p w14:paraId="218EFF2C" w14:textId="77777777" w:rsidR="00600A9D" w:rsidRPr="00600A9D" w:rsidRDefault="00600A9D" w:rsidP="00600A9D">
      <w:pPr>
        <w:pStyle w:val="ListParagraph"/>
        <w:ind w:left="5040"/>
        <w:rPr>
          <w:rFonts w:ascii="Palatino Linotype" w:hAnsi="Palatino Linotype"/>
          <w:sz w:val="20"/>
        </w:rPr>
      </w:pPr>
    </w:p>
    <w:p w14:paraId="05E00611" w14:textId="77777777" w:rsidR="0053297F" w:rsidRPr="00B037ED" w:rsidRDefault="0053297F" w:rsidP="00527DE7">
      <w:pPr>
        <w:rPr>
          <w:rFonts w:ascii="Palatino Linotype" w:hAnsi="Palatino Linotype"/>
          <w:sz w:val="20"/>
        </w:rPr>
      </w:pPr>
    </w:p>
    <w:p w14:paraId="7E556DCC" w14:textId="77777777" w:rsidR="001A74A8" w:rsidRDefault="001A74A8" w:rsidP="001A74A8">
      <w:pPr>
        <w:jc w:val="center"/>
      </w:pPr>
    </w:p>
    <w:p w14:paraId="2E623115" w14:textId="77777777" w:rsidR="00527DE7" w:rsidRDefault="00527DE7" w:rsidP="001A74A8">
      <w:pPr>
        <w:jc w:val="center"/>
      </w:pPr>
    </w:p>
    <w:p w14:paraId="0801C3C8" w14:textId="77777777" w:rsidR="00527DE7" w:rsidRDefault="00527DE7" w:rsidP="001A74A8">
      <w:pPr>
        <w:jc w:val="center"/>
      </w:pPr>
    </w:p>
    <w:p w14:paraId="46C07844" w14:textId="77777777" w:rsidR="00527DE7" w:rsidRDefault="00527DE7" w:rsidP="001A74A8">
      <w:pPr>
        <w:jc w:val="center"/>
      </w:pPr>
    </w:p>
    <w:p w14:paraId="60D2B3C6" w14:textId="77777777" w:rsidR="00527DE7" w:rsidRDefault="00527DE7" w:rsidP="001A74A8">
      <w:pPr>
        <w:jc w:val="center"/>
      </w:pPr>
    </w:p>
    <w:p w14:paraId="0E47A26D" w14:textId="77777777" w:rsidR="00527DE7" w:rsidRDefault="00527DE7" w:rsidP="001A74A8">
      <w:pPr>
        <w:jc w:val="center"/>
      </w:pPr>
    </w:p>
    <w:p w14:paraId="0C4C7983" w14:textId="62C5B83A" w:rsidR="001D12DE" w:rsidRPr="00534C21" w:rsidRDefault="001D12DE" w:rsidP="001D12DE">
      <w:pPr>
        <w:jc w:val="left"/>
        <w:rPr>
          <w:rFonts w:ascii="Palatino Linotype" w:hAnsi="Palatino Linotype"/>
          <w:sz w:val="20"/>
          <w:szCs w:val="20"/>
        </w:rPr>
      </w:pPr>
    </w:p>
    <w:p w14:paraId="6D2EEDDC" w14:textId="77777777" w:rsidR="00527DE7" w:rsidRDefault="00527DE7" w:rsidP="00217B2F">
      <w:pPr>
        <w:jc w:val="left"/>
      </w:pPr>
    </w:p>
    <w:p w14:paraId="3C680EF4" w14:textId="77777777" w:rsidR="00527DE7" w:rsidRDefault="00527DE7" w:rsidP="001A74A8">
      <w:pPr>
        <w:jc w:val="center"/>
      </w:pPr>
    </w:p>
    <w:p w14:paraId="011A5FEA" w14:textId="77777777" w:rsidR="00527DE7" w:rsidRPr="00527DE7" w:rsidRDefault="00527DE7" w:rsidP="00B375C0">
      <w:pPr>
        <w:pStyle w:val="Heading1"/>
      </w:pPr>
      <w:bookmarkStart w:id="8" w:name="_Toc32571885"/>
      <w:r w:rsidRPr="00527DE7">
        <w:t>Table 2</w:t>
      </w:r>
      <w:bookmarkEnd w:id="8"/>
    </w:p>
    <w:p w14:paraId="6BDE4F46" w14:textId="77777777" w:rsidR="00527DE7" w:rsidRPr="00527DE7" w:rsidRDefault="00527DE7" w:rsidP="00527DE7">
      <w:pPr>
        <w:jc w:val="center"/>
        <w:rPr>
          <w:b/>
        </w:rPr>
      </w:pPr>
    </w:p>
    <w:p w14:paraId="4A942445" w14:textId="77777777" w:rsidR="00527DE7" w:rsidRPr="00527DE7" w:rsidRDefault="00527DE7" w:rsidP="00527DE7">
      <w:pPr>
        <w:jc w:val="center"/>
        <w:rPr>
          <w:b/>
        </w:rPr>
      </w:pPr>
      <w:r w:rsidRPr="00527DE7">
        <w:rPr>
          <w:b/>
        </w:rPr>
        <w:t>FERMILAB INTERNAL DISCHARGE LIMITS ON WASTEWATER SEWERAGE DISPOSAL</w:t>
      </w:r>
    </w:p>
    <w:p w14:paraId="30404967" w14:textId="77777777" w:rsidR="00527DE7" w:rsidRPr="00527DE7" w:rsidRDefault="00527DE7" w:rsidP="00527DE7">
      <w:pPr>
        <w:jc w:val="center"/>
        <w:rPr>
          <w:b/>
        </w:rPr>
      </w:pPr>
      <w:r w:rsidRPr="00527DE7">
        <w:rPr>
          <w:b/>
        </w:rPr>
        <w:t>(NON-RADIOLOGICAL CONSTITUENTS)</w:t>
      </w:r>
      <w:r w:rsidR="008B2DF5">
        <w:rPr>
          <w:rStyle w:val="FootnoteReference"/>
          <w:b/>
        </w:rPr>
        <w:footnoteReference w:id="2"/>
      </w:r>
    </w:p>
    <w:p w14:paraId="2D4CC232" w14:textId="77777777" w:rsidR="00527DE7" w:rsidRPr="00527DE7" w:rsidRDefault="00527DE7" w:rsidP="00527DE7">
      <w:pPr>
        <w:jc w:val="cente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520"/>
        <w:gridCol w:w="2520"/>
        <w:gridCol w:w="2520"/>
      </w:tblGrid>
      <w:tr w:rsidR="00ED35C6" w:rsidRPr="00527DE7" w14:paraId="7D1351A1" w14:textId="77777777" w:rsidTr="00ED35C6">
        <w:trPr>
          <w:cantSplit/>
          <w:trHeight w:val="320"/>
          <w:jc w:val="center"/>
        </w:trPr>
        <w:tc>
          <w:tcPr>
            <w:tcW w:w="2520" w:type="dxa"/>
          </w:tcPr>
          <w:p w14:paraId="74C2C078" w14:textId="77777777" w:rsidR="00ED35C6" w:rsidRPr="00527DE7" w:rsidRDefault="00ED35C6" w:rsidP="00527DE7">
            <w:pPr>
              <w:jc w:val="center"/>
              <w:rPr>
                <w:b/>
              </w:rPr>
            </w:pPr>
          </w:p>
          <w:p w14:paraId="6E5EA04B" w14:textId="77777777" w:rsidR="00ED35C6" w:rsidRPr="00527DE7" w:rsidRDefault="00ED35C6" w:rsidP="00527DE7">
            <w:pPr>
              <w:jc w:val="center"/>
              <w:rPr>
                <w:b/>
              </w:rPr>
            </w:pPr>
          </w:p>
          <w:p w14:paraId="3F38623F" w14:textId="77777777" w:rsidR="00ED35C6" w:rsidRPr="00527DE7" w:rsidRDefault="00ED35C6" w:rsidP="00527DE7">
            <w:pPr>
              <w:jc w:val="center"/>
              <w:rPr>
                <w:b/>
              </w:rPr>
            </w:pPr>
            <w:r w:rsidRPr="00527DE7">
              <w:rPr>
                <w:b/>
              </w:rPr>
              <w:t>Pollutant</w:t>
            </w:r>
          </w:p>
        </w:tc>
        <w:tc>
          <w:tcPr>
            <w:tcW w:w="2520" w:type="dxa"/>
            <w:vAlign w:val="center"/>
          </w:tcPr>
          <w:p w14:paraId="711DCE3F" w14:textId="77777777" w:rsidR="00ED35C6" w:rsidRPr="00527DE7" w:rsidRDefault="00ED35C6" w:rsidP="00ED35C6">
            <w:pPr>
              <w:jc w:val="center"/>
              <w:rPr>
                <w:b/>
              </w:rPr>
            </w:pPr>
            <w:r>
              <w:rPr>
                <w:b/>
              </w:rPr>
              <w:t>Maximum Concentration (mg/L)</w:t>
            </w:r>
            <w:r>
              <w:rPr>
                <w:rStyle w:val="FootnoteReference"/>
                <w:b/>
              </w:rPr>
              <w:footnoteReference w:id="3"/>
            </w:r>
          </w:p>
        </w:tc>
        <w:tc>
          <w:tcPr>
            <w:tcW w:w="2520" w:type="dxa"/>
          </w:tcPr>
          <w:p w14:paraId="1F7E2C0B" w14:textId="77777777" w:rsidR="00ED35C6" w:rsidRPr="00527DE7" w:rsidRDefault="00ED35C6" w:rsidP="00527DE7">
            <w:pPr>
              <w:jc w:val="center"/>
              <w:rPr>
                <w:b/>
              </w:rPr>
            </w:pPr>
          </w:p>
          <w:p w14:paraId="466C5DDD" w14:textId="77777777" w:rsidR="00ED35C6" w:rsidRPr="00527DE7" w:rsidRDefault="00ED35C6" w:rsidP="00527DE7">
            <w:pPr>
              <w:jc w:val="center"/>
              <w:rPr>
                <w:b/>
              </w:rPr>
            </w:pPr>
            <w:r w:rsidRPr="00527DE7">
              <w:rPr>
                <w:b/>
              </w:rPr>
              <w:t>Maximum Daily Pollutant Load in a Process Effluent</w:t>
            </w:r>
          </w:p>
          <w:p w14:paraId="4659C625" w14:textId="77777777" w:rsidR="00ED35C6" w:rsidRPr="00527DE7" w:rsidRDefault="00ED35C6" w:rsidP="00527DE7">
            <w:pPr>
              <w:jc w:val="center"/>
              <w:rPr>
                <w:b/>
              </w:rPr>
            </w:pPr>
            <w:r w:rsidRPr="00527DE7">
              <w:rPr>
                <w:b/>
              </w:rPr>
              <w:t>(</w:t>
            </w:r>
            <w:proofErr w:type="gramStart"/>
            <w:r w:rsidRPr="00527DE7">
              <w:rPr>
                <w:b/>
              </w:rPr>
              <w:t>in</w:t>
            </w:r>
            <w:proofErr w:type="gramEnd"/>
            <w:r w:rsidRPr="00527DE7">
              <w:rPr>
                <w:b/>
              </w:rPr>
              <w:t xml:space="preserve"> mg)</w:t>
            </w:r>
          </w:p>
        </w:tc>
      </w:tr>
      <w:tr w:rsidR="007D4506" w:rsidRPr="00527DE7" w14:paraId="3ECAC25D" w14:textId="77777777" w:rsidTr="00D34E4A">
        <w:trPr>
          <w:cantSplit/>
          <w:trHeight w:val="260"/>
          <w:jc w:val="center"/>
        </w:trPr>
        <w:tc>
          <w:tcPr>
            <w:tcW w:w="2520" w:type="dxa"/>
            <w:vAlign w:val="center"/>
          </w:tcPr>
          <w:p w14:paraId="692F85AC" w14:textId="77777777" w:rsidR="007D4506" w:rsidRPr="00527DE7" w:rsidRDefault="007D4506" w:rsidP="00527DE7">
            <w:pPr>
              <w:jc w:val="center"/>
            </w:pPr>
            <w:r w:rsidRPr="00527DE7">
              <w:t>As</w:t>
            </w:r>
          </w:p>
        </w:tc>
        <w:tc>
          <w:tcPr>
            <w:tcW w:w="2520" w:type="dxa"/>
          </w:tcPr>
          <w:p w14:paraId="5F27FECF" w14:textId="77777777" w:rsidR="007D4506" w:rsidRPr="00527DE7" w:rsidRDefault="007D4506" w:rsidP="00ED35C6">
            <w:pPr>
              <w:jc w:val="center"/>
            </w:pPr>
            <w:r>
              <w:t>0.50</w:t>
            </w:r>
          </w:p>
        </w:tc>
        <w:tc>
          <w:tcPr>
            <w:tcW w:w="2520" w:type="dxa"/>
            <w:vAlign w:val="bottom"/>
          </w:tcPr>
          <w:p w14:paraId="1C67378C" w14:textId="77777777" w:rsidR="007D4506" w:rsidRPr="007D4506" w:rsidRDefault="007D4506" w:rsidP="007D4506">
            <w:pPr>
              <w:jc w:val="center"/>
            </w:pPr>
            <w:r w:rsidRPr="007D4506">
              <w:rPr>
                <w:color w:val="000000"/>
              </w:rPr>
              <w:t>60000</w:t>
            </w:r>
          </w:p>
        </w:tc>
      </w:tr>
      <w:tr w:rsidR="007D4506" w:rsidRPr="00527DE7" w14:paraId="79832526" w14:textId="77777777" w:rsidTr="00D34E4A">
        <w:trPr>
          <w:cantSplit/>
          <w:trHeight w:val="260"/>
          <w:jc w:val="center"/>
        </w:trPr>
        <w:tc>
          <w:tcPr>
            <w:tcW w:w="2520" w:type="dxa"/>
            <w:vAlign w:val="center"/>
          </w:tcPr>
          <w:p w14:paraId="038F2EB9" w14:textId="77777777" w:rsidR="007D4506" w:rsidRPr="00527DE7" w:rsidRDefault="007D4506" w:rsidP="00527DE7">
            <w:pPr>
              <w:jc w:val="center"/>
            </w:pPr>
            <w:r w:rsidRPr="00527DE7">
              <w:t>Ba</w:t>
            </w:r>
          </w:p>
        </w:tc>
        <w:tc>
          <w:tcPr>
            <w:tcW w:w="2520" w:type="dxa"/>
          </w:tcPr>
          <w:p w14:paraId="270026E1" w14:textId="77777777" w:rsidR="007D4506" w:rsidRPr="00527DE7" w:rsidRDefault="007D4506" w:rsidP="00ED35C6">
            <w:pPr>
              <w:jc w:val="center"/>
            </w:pPr>
            <w:r>
              <w:t>5.00</w:t>
            </w:r>
          </w:p>
        </w:tc>
        <w:tc>
          <w:tcPr>
            <w:tcW w:w="2520" w:type="dxa"/>
            <w:vAlign w:val="bottom"/>
          </w:tcPr>
          <w:p w14:paraId="4BE05E01" w14:textId="77777777" w:rsidR="007D4506" w:rsidRPr="007D4506" w:rsidRDefault="007D4506" w:rsidP="007D4506">
            <w:pPr>
              <w:jc w:val="center"/>
            </w:pPr>
            <w:r w:rsidRPr="007D4506">
              <w:rPr>
                <w:color w:val="000000"/>
              </w:rPr>
              <w:t>605000</w:t>
            </w:r>
          </w:p>
        </w:tc>
      </w:tr>
      <w:tr w:rsidR="007D4506" w:rsidRPr="00527DE7" w14:paraId="7C79A3FB" w14:textId="77777777" w:rsidTr="00D34E4A">
        <w:trPr>
          <w:cantSplit/>
          <w:trHeight w:val="260"/>
          <w:jc w:val="center"/>
        </w:trPr>
        <w:tc>
          <w:tcPr>
            <w:tcW w:w="2520" w:type="dxa"/>
            <w:vAlign w:val="center"/>
          </w:tcPr>
          <w:p w14:paraId="37352C60" w14:textId="77777777" w:rsidR="007D4506" w:rsidRPr="00527DE7" w:rsidRDefault="007D4506" w:rsidP="00527DE7">
            <w:pPr>
              <w:jc w:val="center"/>
            </w:pPr>
            <w:r w:rsidRPr="00527DE7">
              <w:t>Cd</w:t>
            </w:r>
          </w:p>
        </w:tc>
        <w:tc>
          <w:tcPr>
            <w:tcW w:w="2520" w:type="dxa"/>
          </w:tcPr>
          <w:p w14:paraId="0DF4253C" w14:textId="77777777" w:rsidR="007D4506" w:rsidRPr="00527DE7" w:rsidRDefault="007D4506" w:rsidP="00ED35C6">
            <w:pPr>
              <w:jc w:val="center"/>
            </w:pPr>
            <w:r>
              <w:t>0.30</w:t>
            </w:r>
          </w:p>
        </w:tc>
        <w:tc>
          <w:tcPr>
            <w:tcW w:w="2520" w:type="dxa"/>
            <w:vAlign w:val="bottom"/>
          </w:tcPr>
          <w:p w14:paraId="6A4537C6" w14:textId="77777777" w:rsidR="007D4506" w:rsidRPr="007D4506" w:rsidRDefault="007D4506" w:rsidP="007D4506">
            <w:pPr>
              <w:jc w:val="center"/>
            </w:pPr>
            <w:r w:rsidRPr="007D4506">
              <w:rPr>
                <w:color w:val="000000"/>
              </w:rPr>
              <w:t>36000</w:t>
            </w:r>
          </w:p>
        </w:tc>
      </w:tr>
      <w:tr w:rsidR="007D4506" w:rsidRPr="00527DE7" w14:paraId="40C119F5" w14:textId="77777777" w:rsidTr="00D34E4A">
        <w:trPr>
          <w:cantSplit/>
          <w:trHeight w:val="260"/>
          <w:jc w:val="center"/>
        </w:trPr>
        <w:tc>
          <w:tcPr>
            <w:tcW w:w="2520" w:type="dxa"/>
            <w:vAlign w:val="center"/>
          </w:tcPr>
          <w:p w14:paraId="6194DA74" w14:textId="77777777" w:rsidR="007D4506" w:rsidRPr="00527DE7" w:rsidRDefault="007D4506" w:rsidP="00527DE7">
            <w:pPr>
              <w:jc w:val="center"/>
            </w:pPr>
            <w:r w:rsidRPr="00527DE7">
              <w:t>Cr+3</w:t>
            </w:r>
          </w:p>
        </w:tc>
        <w:tc>
          <w:tcPr>
            <w:tcW w:w="2520" w:type="dxa"/>
          </w:tcPr>
          <w:p w14:paraId="268D812A" w14:textId="77777777" w:rsidR="007D4506" w:rsidRDefault="007D4506" w:rsidP="00ED35C6">
            <w:pPr>
              <w:jc w:val="center"/>
            </w:pPr>
            <w:r>
              <w:t>3.00</w:t>
            </w:r>
          </w:p>
        </w:tc>
        <w:tc>
          <w:tcPr>
            <w:tcW w:w="2520" w:type="dxa"/>
            <w:vAlign w:val="bottom"/>
          </w:tcPr>
          <w:p w14:paraId="1DA0E6C0" w14:textId="77777777" w:rsidR="007D4506" w:rsidRPr="007D4506" w:rsidRDefault="007D4506" w:rsidP="007D4506">
            <w:pPr>
              <w:jc w:val="center"/>
            </w:pPr>
            <w:r w:rsidRPr="007D4506">
              <w:rPr>
                <w:color w:val="000000"/>
              </w:rPr>
              <w:t>363000</w:t>
            </w:r>
          </w:p>
        </w:tc>
      </w:tr>
      <w:tr w:rsidR="007D4506" w:rsidRPr="00527DE7" w14:paraId="1525DD4D" w14:textId="77777777" w:rsidTr="00D34E4A">
        <w:trPr>
          <w:cantSplit/>
          <w:trHeight w:val="300"/>
          <w:jc w:val="center"/>
        </w:trPr>
        <w:tc>
          <w:tcPr>
            <w:tcW w:w="2520" w:type="dxa"/>
            <w:vAlign w:val="center"/>
          </w:tcPr>
          <w:p w14:paraId="4B0DAD69" w14:textId="77777777" w:rsidR="007D4506" w:rsidRPr="00527DE7" w:rsidRDefault="007D4506" w:rsidP="00527DE7">
            <w:pPr>
              <w:jc w:val="center"/>
            </w:pPr>
            <w:r w:rsidRPr="00527DE7">
              <w:t>Cr+6</w:t>
            </w:r>
          </w:p>
        </w:tc>
        <w:tc>
          <w:tcPr>
            <w:tcW w:w="2520" w:type="dxa"/>
          </w:tcPr>
          <w:p w14:paraId="66C27414" w14:textId="77777777" w:rsidR="007D4506" w:rsidRPr="00527DE7" w:rsidRDefault="007D4506" w:rsidP="00ED35C6">
            <w:pPr>
              <w:jc w:val="center"/>
            </w:pPr>
            <w:r>
              <w:t>0.60</w:t>
            </w:r>
          </w:p>
        </w:tc>
        <w:tc>
          <w:tcPr>
            <w:tcW w:w="2520" w:type="dxa"/>
            <w:vAlign w:val="bottom"/>
          </w:tcPr>
          <w:p w14:paraId="4CEC026D" w14:textId="77777777" w:rsidR="007D4506" w:rsidRPr="007D4506" w:rsidRDefault="007D4506" w:rsidP="007D4506">
            <w:pPr>
              <w:jc w:val="center"/>
            </w:pPr>
            <w:r w:rsidRPr="007D4506">
              <w:rPr>
                <w:color w:val="000000"/>
              </w:rPr>
              <w:t>72000</w:t>
            </w:r>
          </w:p>
        </w:tc>
      </w:tr>
      <w:tr w:rsidR="007D4506" w:rsidRPr="00527DE7" w14:paraId="596BA982" w14:textId="77777777" w:rsidTr="00D34E4A">
        <w:trPr>
          <w:cantSplit/>
          <w:trHeight w:val="300"/>
          <w:jc w:val="center"/>
        </w:trPr>
        <w:tc>
          <w:tcPr>
            <w:tcW w:w="2520" w:type="dxa"/>
            <w:vAlign w:val="center"/>
          </w:tcPr>
          <w:p w14:paraId="68A7944F" w14:textId="77777777" w:rsidR="007D4506" w:rsidRPr="00527DE7" w:rsidRDefault="007D4506" w:rsidP="00527DE7">
            <w:pPr>
              <w:jc w:val="center"/>
            </w:pPr>
            <w:r w:rsidRPr="00527DE7">
              <w:t>Cu</w:t>
            </w:r>
          </w:p>
        </w:tc>
        <w:tc>
          <w:tcPr>
            <w:tcW w:w="2520" w:type="dxa"/>
          </w:tcPr>
          <w:p w14:paraId="7FF18385" w14:textId="77777777" w:rsidR="007D4506" w:rsidRPr="00527DE7" w:rsidRDefault="007D4506" w:rsidP="00ED35C6">
            <w:pPr>
              <w:jc w:val="center"/>
            </w:pPr>
            <w:r>
              <w:t>2.00</w:t>
            </w:r>
          </w:p>
        </w:tc>
        <w:tc>
          <w:tcPr>
            <w:tcW w:w="2520" w:type="dxa"/>
            <w:vAlign w:val="bottom"/>
          </w:tcPr>
          <w:p w14:paraId="6F4F89F0" w14:textId="77777777" w:rsidR="007D4506" w:rsidRPr="007D4506" w:rsidRDefault="007D4506" w:rsidP="007D4506">
            <w:pPr>
              <w:jc w:val="center"/>
            </w:pPr>
            <w:r w:rsidRPr="007D4506">
              <w:rPr>
                <w:color w:val="000000"/>
              </w:rPr>
              <w:t>242000</w:t>
            </w:r>
          </w:p>
        </w:tc>
      </w:tr>
      <w:tr w:rsidR="007D4506" w:rsidRPr="00527DE7" w14:paraId="158DA78F" w14:textId="77777777" w:rsidTr="00D34E4A">
        <w:trPr>
          <w:cantSplit/>
          <w:trHeight w:val="260"/>
          <w:jc w:val="center"/>
        </w:trPr>
        <w:tc>
          <w:tcPr>
            <w:tcW w:w="2520" w:type="dxa"/>
            <w:vAlign w:val="center"/>
          </w:tcPr>
          <w:p w14:paraId="1252BAAB" w14:textId="77777777" w:rsidR="007D4506" w:rsidRPr="00527DE7" w:rsidRDefault="007D4506" w:rsidP="00527DE7">
            <w:pPr>
              <w:jc w:val="center"/>
            </w:pPr>
            <w:r w:rsidRPr="00527DE7">
              <w:t>CN-</w:t>
            </w:r>
          </w:p>
        </w:tc>
        <w:tc>
          <w:tcPr>
            <w:tcW w:w="2520" w:type="dxa"/>
          </w:tcPr>
          <w:p w14:paraId="0ACFEED1" w14:textId="77777777" w:rsidR="007D4506" w:rsidRPr="00527DE7" w:rsidRDefault="007D4506" w:rsidP="00ED35C6">
            <w:pPr>
              <w:jc w:val="center"/>
            </w:pPr>
            <w:r>
              <w:t>0.50</w:t>
            </w:r>
          </w:p>
        </w:tc>
        <w:tc>
          <w:tcPr>
            <w:tcW w:w="2520" w:type="dxa"/>
            <w:vAlign w:val="bottom"/>
          </w:tcPr>
          <w:p w14:paraId="66098058" w14:textId="77777777" w:rsidR="007D4506" w:rsidRPr="007D4506" w:rsidRDefault="007D4506" w:rsidP="007D4506">
            <w:pPr>
              <w:jc w:val="center"/>
            </w:pPr>
            <w:r w:rsidRPr="007D4506">
              <w:rPr>
                <w:color w:val="000000"/>
              </w:rPr>
              <w:t>60000</w:t>
            </w:r>
          </w:p>
        </w:tc>
      </w:tr>
      <w:tr w:rsidR="007D4506" w:rsidRPr="00527DE7" w14:paraId="7C27D6EC" w14:textId="77777777" w:rsidTr="00D34E4A">
        <w:trPr>
          <w:cantSplit/>
          <w:trHeight w:val="300"/>
          <w:jc w:val="center"/>
        </w:trPr>
        <w:tc>
          <w:tcPr>
            <w:tcW w:w="2520" w:type="dxa"/>
            <w:vAlign w:val="center"/>
          </w:tcPr>
          <w:p w14:paraId="7661C887" w14:textId="77777777" w:rsidR="007D4506" w:rsidRPr="00527DE7" w:rsidRDefault="007D4506" w:rsidP="00527DE7">
            <w:pPr>
              <w:jc w:val="center"/>
            </w:pPr>
            <w:r w:rsidRPr="00527DE7">
              <w:t>Fe</w:t>
            </w:r>
          </w:p>
        </w:tc>
        <w:tc>
          <w:tcPr>
            <w:tcW w:w="2520" w:type="dxa"/>
          </w:tcPr>
          <w:p w14:paraId="2056C9FF" w14:textId="77777777" w:rsidR="007D4506" w:rsidRPr="00527DE7" w:rsidRDefault="007D4506" w:rsidP="00ED35C6">
            <w:pPr>
              <w:jc w:val="center"/>
            </w:pPr>
            <w:r>
              <w:t>5.00</w:t>
            </w:r>
          </w:p>
        </w:tc>
        <w:tc>
          <w:tcPr>
            <w:tcW w:w="2520" w:type="dxa"/>
            <w:vAlign w:val="bottom"/>
          </w:tcPr>
          <w:p w14:paraId="3C90054B" w14:textId="77777777" w:rsidR="007D4506" w:rsidRPr="007D4506" w:rsidRDefault="007D4506" w:rsidP="007D4506">
            <w:pPr>
              <w:jc w:val="center"/>
            </w:pPr>
            <w:r w:rsidRPr="007D4506">
              <w:rPr>
                <w:color w:val="000000"/>
              </w:rPr>
              <w:t>605000</w:t>
            </w:r>
          </w:p>
        </w:tc>
      </w:tr>
      <w:tr w:rsidR="007D4506" w:rsidRPr="00527DE7" w14:paraId="296F650D" w14:textId="77777777" w:rsidTr="00D34E4A">
        <w:trPr>
          <w:cantSplit/>
          <w:trHeight w:val="260"/>
          <w:jc w:val="center"/>
        </w:trPr>
        <w:tc>
          <w:tcPr>
            <w:tcW w:w="2520" w:type="dxa"/>
            <w:vAlign w:val="center"/>
          </w:tcPr>
          <w:p w14:paraId="1F6D2348" w14:textId="77777777" w:rsidR="007D4506" w:rsidRPr="00527DE7" w:rsidRDefault="007D4506" w:rsidP="00527DE7">
            <w:pPr>
              <w:jc w:val="center"/>
            </w:pPr>
            <w:r w:rsidRPr="00527DE7">
              <w:t>Pb</w:t>
            </w:r>
          </w:p>
        </w:tc>
        <w:tc>
          <w:tcPr>
            <w:tcW w:w="2520" w:type="dxa"/>
          </w:tcPr>
          <w:p w14:paraId="38EF4B43" w14:textId="77777777" w:rsidR="007D4506" w:rsidRPr="00527DE7" w:rsidRDefault="007D4506" w:rsidP="00ED35C6">
            <w:pPr>
              <w:jc w:val="center"/>
            </w:pPr>
            <w:r>
              <w:t>0.25</w:t>
            </w:r>
          </w:p>
        </w:tc>
        <w:tc>
          <w:tcPr>
            <w:tcW w:w="2520" w:type="dxa"/>
            <w:vAlign w:val="bottom"/>
          </w:tcPr>
          <w:p w14:paraId="4F271577" w14:textId="77777777" w:rsidR="007D4506" w:rsidRPr="007D4506" w:rsidRDefault="007D4506" w:rsidP="007D4506">
            <w:pPr>
              <w:jc w:val="center"/>
            </w:pPr>
            <w:r w:rsidRPr="007D4506">
              <w:rPr>
                <w:color w:val="000000"/>
              </w:rPr>
              <w:t>30000</w:t>
            </w:r>
          </w:p>
        </w:tc>
      </w:tr>
      <w:tr w:rsidR="007D4506" w:rsidRPr="00527DE7" w14:paraId="38977AB6" w14:textId="77777777" w:rsidTr="00D34E4A">
        <w:trPr>
          <w:cantSplit/>
          <w:trHeight w:val="260"/>
          <w:jc w:val="center"/>
        </w:trPr>
        <w:tc>
          <w:tcPr>
            <w:tcW w:w="2520" w:type="dxa"/>
            <w:vAlign w:val="center"/>
          </w:tcPr>
          <w:p w14:paraId="31847000" w14:textId="77777777" w:rsidR="007D4506" w:rsidRPr="00527DE7" w:rsidRDefault="007D4506" w:rsidP="00527DE7">
            <w:pPr>
              <w:jc w:val="center"/>
            </w:pPr>
            <w:r w:rsidRPr="00527DE7">
              <w:t>Mn</w:t>
            </w:r>
          </w:p>
        </w:tc>
        <w:tc>
          <w:tcPr>
            <w:tcW w:w="2520" w:type="dxa"/>
          </w:tcPr>
          <w:p w14:paraId="40C98665" w14:textId="77777777" w:rsidR="007D4506" w:rsidRPr="00527DE7" w:rsidRDefault="007D4506" w:rsidP="00ED35C6">
            <w:pPr>
              <w:jc w:val="center"/>
            </w:pPr>
            <w:r>
              <w:t>2.00</w:t>
            </w:r>
          </w:p>
        </w:tc>
        <w:tc>
          <w:tcPr>
            <w:tcW w:w="2520" w:type="dxa"/>
            <w:vAlign w:val="bottom"/>
          </w:tcPr>
          <w:p w14:paraId="0E3594BB" w14:textId="77777777" w:rsidR="007D4506" w:rsidRPr="007D4506" w:rsidRDefault="007D4506" w:rsidP="007D4506">
            <w:pPr>
              <w:jc w:val="center"/>
            </w:pPr>
            <w:r w:rsidRPr="007D4506">
              <w:rPr>
                <w:color w:val="000000"/>
              </w:rPr>
              <w:t>242000</w:t>
            </w:r>
          </w:p>
        </w:tc>
      </w:tr>
      <w:tr w:rsidR="007D4506" w:rsidRPr="00527DE7" w14:paraId="1278A724" w14:textId="77777777" w:rsidTr="00D34E4A">
        <w:trPr>
          <w:cantSplit/>
          <w:trHeight w:val="260"/>
          <w:jc w:val="center"/>
        </w:trPr>
        <w:tc>
          <w:tcPr>
            <w:tcW w:w="2520" w:type="dxa"/>
            <w:vAlign w:val="center"/>
          </w:tcPr>
          <w:p w14:paraId="264B7B79" w14:textId="77777777" w:rsidR="007D4506" w:rsidRPr="00527DE7" w:rsidRDefault="007D4506" w:rsidP="00527DE7">
            <w:pPr>
              <w:jc w:val="center"/>
            </w:pPr>
            <w:r w:rsidRPr="00527DE7">
              <w:t>Hg</w:t>
            </w:r>
          </w:p>
        </w:tc>
        <w:tc>
          <w:tcPr>
            <w:tcW w:w="2520" w:type="dxa"/>
          </w:tcPr>
          <w:p w14:paraId="38CCA541" w14:textId="77777777" w:rsidR="007D4506" w:rsidRPr="00527DE7" w:rsidRDefault="007D4506" w:rsidP="00ED35C6">
            <w:pPr>
              <w:jc w:val="center"/>
            </w:pPr>
            <w:r>
              <w:t>0.0005</w:t>
            </w:r>
          </w:p>
        </w:tc>
        <w:tc>
          <w:tcPr>
            <w:tcW w:w="2520" w:type="dxa"/>
            <w:vAlign w:val="bottom"/>
          </w:tcPr>
          <w:p w14:paraId="1DEC6F5B" w14:textId="77777777" w:rsidR="007D4506" w:rsidRPr="007D4506" w:rsidRDefault="007D4506" w:rsidP="007D4506">
            <w:pPr>
              <w:jc w:val="center"/>
            </w:pPr>
            <w:r w:rsidRPr="007D4506">
              <w:rPr>
                <w:color w:val="000000"/>
              </w:rPr>
              <w:t>60</w:t>
            </w:r>
          </w:p>
        </w:tc>
      </w:tr>
      <w:tr w:rsidR="007D4506" w:rsidRPr="00527DE7" w14:paraId="3A91EABD" w14:textId="77777777" w:rsidTr="00D34E4A">
        <w:trPr>
          <w:cantSplit/>
          <w:trHeight w:val="260"/>
          <w:jc w:val="center"/>
        </w:trPr>
        <w:tc>
          <w:tcPr>
            <w:tcW w:w="2520" w:type="dxa"/>
            <w:vAlign w:val="center"/>
          </w:tcPr>
          <w:p w14:paraId="39B0C295" w14:textId="77777777" w:rsidR="007D4506" w:rsidRPr="00527DE7" w:rsidRDefault="007D4506" w:rsidP="00527DE7">
            <w:pPr>
              <w:jc w:val="center"/>
            </w:pPr>
            <w:r w:rsidRPr="00527DE7">
              <w:t>Ni</w:t>
            </w:r>
          </w:p>
        </w:tc>
        <w:tc>
          <w:tcPr>
            <w:tcW w:w="2520" w:type="dxa"/>
          </w:tcPr>
          <w:p w14:paraId="4D2591F0" w14:textId="77777777" w:rsidR="007D4506" w:rsidRPr="00527DE7" w:rsidRDefault="007D4506" w:rsidP="00ED35C6">
            <w:pPr>
              <w:jc w:val="center"/>
            </w:pPr>
            <w:r>
              <w:t>2.00</w:t>
            </w:r>
          </w:p>
        </w:tc>
        <w:tc>
          <w:tcPr>
            <w:tcW w:w="2520" w:type="dxa"/>
            <w:vAlign w:val="bottom"/>
          </w:tcPr>
          <w:p w14:paraId="355C8CCA" w14:textId="77777777" w:rsidR="007D4506" w:rsidRPr="007D4506" w:rsidRDefault="007D4506" w:rsidP="007D4506">
            <w:pPr>
              <w:jc w:val="center"/>
            </w:pPr>
            <w:r w:rsidRPr="007D4506">
              <w:rPr>
                <w:color w:val="000000"/>
              </w:rPr>
              <w:t>242000</w:t>
            </w:r>
          </w:p>
        </w:tc>
      </w:tr>
      <w:tr w:rsidR="007D4506" w:rsidRPr="00527DE7" w14:paraId="56FD420E" w14:textId="77777777" w:rsidTr="00D34E4A">
        <w:trPr>
          <w:cantSplit/>
          <w:trHeight w:val="260"/>
          <w:jc w:val="center"/>
        </w:trPr>
        <w:tc>
          <w:tcPr>
            <w:tcW w:w="2520" w:type="dxa"/>
            <w:vAlign w:val="center"/>
          </w:tcPr>
          <w:p w14:paraId="0AE727D6" w14:textId="77777777" w:rsidR="007D4506" w:rsidRPr="00527DE7" w:rsidRDefault="007D4506" w:rsidP="00527DE7">
            <w:pPr>
              <w:jc w:val="center"/>
            </w:pPr>
            <w:r w:rsidRPr="00527DE7">
              <w:t>Phenols</w:t>
            </w:r>
          </w:p>
        </w:tc>
        <w:tc>
          <w:tcPr>
            <w:tcW w:w="2520" w:type="dxa"/>
          </w:tcPr>
          <w:p w14:paraId="60EFE1AE" w14:textId="77777777" w:rsidR="007D4506" w:rsidRPr="00527DE7" w:rsidRDefault="007D4506" w:rsidP="00ED35C6">
            <w:pPr>
              <w:jc w:val="center"/>
            </w:pPr>
            <w:r>
              <w:t>0.60</w:t>
            </w:r>
          </w:p>
        </w:tc>
        <w:tc>
          <w:tcPr>
            <w:tcW w:w="2520" w:type="dxa"/>
            <w:vAlign w:val="bottom"/>
          </w:tcPr>
          <w:p w14:paraId="6DB1BF1A" w14:textId="77777777" w:rsidR="007D4506" w:rsidRPr="007D4506" w:rsidRDefault="007D4506" w:rsidP="007D4506">
            <w:pPr>
              <w:jc w:val="center"/>
            </w:pPr>
            <w:r w:rsidRPr="007D4506">
              <w:rPr>
                <w:color w:val="000000"/>
              </w:rPr>
              <w:t>72000</w:t>
            </w:r>
          </w:p>
        </w:tc>
      </w:tr>
      <w:tr w:rsidR="007D4506" w:rsidRPr="00527DE7" w14:paraId="4119AFF4" w14:textId="77777777" w:rsidTr="00D34E4A">
        <w:trPr>
          <w:cantSplit/>
          <w:trHeight w:val="260"/>
          <w:jc w:val="center"/>
        </w:trPr>
        <w:tc>
          <w:tcPr>
            <w:tcW w:w="2520" w:type="dxa"/>
            <w:vAlign w:val="center"/>
          </w:tcPr>
          <w:p w14:paraId="4CDBE56F" w14:textId="77777777" w:rsidR="007D4506" w:rsidRPr="00527DE7" w:rsidRDefault="007D4506" w:rsidP="00527DE7">
            <w:pPr>
              <w:jc w:val="center"/>
            </w:pPr>
            <w:r w:rsidRPr="00527DE7">
              <w:t>Se</w:t>
            </w:r>
          </w:p>
        </w:tc>
        <w:tc>
          <w:tcPr>
            <w:tcW w:w="2520" w:type="dxa"/>
          </w:tcPr>
          <w:p w14:paraId="2AFD9EB4" w14:textId="77777777" w:rsidR="007D4506" w:rsidRPr="00527DE7" w:rsidRDefault="007D4506" w:rsidP="00ED35C6">
            <w:pPr>
              <w:jc w:val="center"/>
            </w:pPr>
            <w:r>
              <w:t>2.00</w:t>
            </w:r>
          </w:p>
        </w:tc>
        <w:tc>
          <w:tcPr>
            <w:tcW w:w="2520" w:type="dxa"/>
            <w:vAlign w:val="bottom"/>
          </w:tcPr>
          <w:p w14:paraId="5EBE2EE3" w14:textId="77777777" w:rsidR="007D4506" w:rsidRPr="007D4506" w:rsidRDefault="007D4506" w:rsidP="007D4506">
            <w:pPr>
              <w:jc w:val="center"/>
            </w:pPr>
            <w:r w:rsidRPr="007D4506">
              <w:rPr>
                <w:color w:val="000000"/>
              </w:rPr>
              <w:t>242000</w:t>
            </w:r>
          </w:p>
        </w:tc>
      </w:tr>
      <w:tr w:rsidR="007D4506" w:rsidRPr="00527DE7" w14:paraId="1F78339D" w14:textId="77777777" w:rsidTr="00D34E4A">
        <w:trPr>
          <w:cantSplit/>
          <w:trHeight w:val="260"/>
          <w:jc w:val="center"/>
        </w:trPr>
        <w:tc>
          <w:tcPr>
            <w:tcW w:w="2520" w:type="dxa"/>
            <w:vAlign w:val="center"/>
          </w:tcPr>
          <w:p w14:paraId="117FF64A" w14:textId="77777777" w:rsidR="007D4506" w:rsidRPr="00527DE7" w:rsidRDefault="007D4506" w:rsidP="00527DE7">
            <w:pPr>
              <w:jc w:val="center"/>
            </w:pPr>
            <w:r w:rsidRPr="00527DE7">
              <w:t>Ag</w:t>
            </w:r>
          </w:p>
        </w:tc>
        <w:tc>
          <w:tcPr>
            <w:tcW w:w="2520" w:type="dxa"/>
          </w:tcPr>
          <w:p w14:paraId="751835C5" w14:textId="77777777" w:rsidR="007D4506" w:rsidRPr="00527DE7" w:rsidRDefault="007D4506" w:rsidP="00ED35C6">
            <w:pPr>
              <w:jc w:val="center"/>
            </w:pPr>
            <w:r>
              <w:t>0.10</w:t>
            </w:r>
          </w:p>
        </w:tc>
        <w:tc>
          <w:tcPr>
            <w:tcW w:w="2520" w:type="dxa"/>
            <w:vAlign w:val="bottom"/>
          </w:tcPr>
          <w:p w14:paraId="3CD3ABF2" w14:textId="77777777" w:rsidR="007D4506" w:rsidRPr="007D4506" w:rsidRDefault="007D4506" w:rsidP="007D4506">
            <w:pPr>
              <w:jc w:val="center"/>
            </w:pPr>
            <w:r w:rsidRPr="007D4506">
              <w:rPr>
                <w:color w:val="000000"/>
              </w:rPr>
              <w:t>12000</w:t>
            </w:r>
          </w:p>
        </w:tc>
      </w:tr>
      <w:tr w:rsidR="007D4506" w:rsidRPr="00527DE7" w14:paraId="19E8EC40" w14:textId="77777777" w:rsidTr="00D34E4A">
        <w:trPr>
          <w:cantSplit/>
          <w:trHeight w:val="260"/>
          <w:jc w:val="center"/>
        </w:trPr>
        <w:tc>
          <w:tcPr>
            <w:tcW w:w="2520" w:type="dxa"/>
            <w:vAlign w:val="center"/>
          </w:tcPr>
          <w:p w14:paraId="6160D990" w14:textId="77777777" w:rsidR="007D4506" w:rsidRPr="00527DE7" w:rsidRDefault="007D4506" w:rsidP="00527DE7">
            <w:pPr>
              <w:jc w:val="center"/>
            </w:pPr>
            <w:r w:rsidRPr="00527DE7">
              <w:t>Zn</w:t>
            </w:r>
          </w:p>
        </w:tc>
        <w:tc>
          <w:tcPr>
            <w:tcW w:w="2520" w:type="dxa"/>
          </w:tcPr>
          <w:p w14:paraId="5B8746BF" w14:textId="77777777" w:rsidR="007D4506" w:rsidRPr="00527DE7" w:rsidRDefault="007D4506" w:rsidP="00ED35C6">
            <w:pPr>
              <w:jc w:val="center"/>
            </w:pPr>
            <w:r>
              <w:t>2.00</w:t>
            </w:r>
          </w:p>
        </w:tc>
        <w:tc>
          <w:tcPr>
            <w:tcW w:w="2520" w:type="dxa"/>
            <w:vAlign w:val="bottom"/>
          </w:tcPr>
          <w:p w14:paraId="6FB1FAA1" w14:textId="77777777" w:rsidR="007D4506" w:rsidRPr="007D4506" w:rsidRDefault="007D4506" w:rsidP="007D4506">
            <w:pPr>
              <w:jc w:val="center"/>
            </w:pPr>
            <w:r w:rsidRPr="007D4506">
              <w:rPr>
                <w:color w:val="000000"/>
              </w:rPr>
              <w:t>242000</w:t>
            </w:r>
          </w:p>
        </w:tc>
      </w:tr>
      <w:tr w:rsidR="00ED35C6" w:rsidRPr="00527DE7" w14:paraId="110B9EAD" w14:textId="77777777" w:rsidTr="00D34E4A">
        <w:trPr>
          <w:cantSplit/>
          <w:trHeight w:val="260"/>
          <w:jc w:val="center"/>
        </w:trPr>
        <w:tc>
          <w:tcPr>
            <w:tcW w:w="2520" w:type="dxa"/>
            <w:vAlign w:val="center"/>
          </w:tcPr>
          <w:p w14:paraId="17BC0D2C" w14:textId="77777777" w:rsidR="00ED35C6" w:rsidRPr="00527DE7" w:rsidRDefault="00ED35C6" w:rsidP="00527DE7">
            <w:pPr>
              <w:jc w:val="center"/>
            </w:pPr>
            <w:r w:rsidRPr="00527DE7">
              <w:t>Propylene glycol</w:t>
            </w:r>
          </w:p>
        </w:tc>
        <w:tc>
          <w:tcPr>
            <w:tcW w:w="2520" w:type="dxa"/>
          </w:tcPr>
          <w:p w14:paraId="2452141F" w14:textId="77777777" w:rsidR="00ED35C6" w:rsidRPr="00527DE7" w:rsidRDefault="00ED35C6" w:rsidP="00ED35C6">
            <w:pPr>
              <w:jc w:val="center"/>
            </w:pPr>
            <w:r>
              <w:t>n/a</w:t>
            </w:r>
          </w:p>
        </w:tc>
        <w:tc>
          <w:tcPr>
            <w:tcW w:w="2520" w:type="dxa"/>
            <w:vAlign w:val="center"/>
          </w:tcPr>
          <w:p w14:paraId="7BDAB982" w14:textId="77777777" w:rsidR="00ED35C6" w:rsidRPr="007D4506" w:rsidRDefault="00ED35C6" w:rsidP="007D4506">
            <w:pPr>
              <w:jc w:val="center"/>
            </w:pPr>
            <w:r w:rsidRPr="007D4506">
              <w:t>100 gal (50/50 mix)</w:t>
            </w:r>
          </w:p>
        </w:tc>
      </w:tr>
    </w:tbl>
    <w:p w14:paraId="05D2FC70" w14:textId="77777777" w:rsidR="00527DE7" w:rsidRPr="00527DE7" w:rsidRDefault="00527DE7" w:rsidP="00A05CCC">
      <w:pPr>
        <w:jc w:val="center"/>
        <w:rPr>
          <w:bCs/>
        </w:rPr>
      </w:pPr>
      <w:r w:rsidRPr="00527DE7">
        <w:rPr>
          <w:b/>
        </w:rPr>
        <w:br w:type="page"/>
      </w:r>
    </w:p>
    <w:p w14:paraId="0A2B00E6" w14:textId="77777777" w:rsidR="00527DE7" w:rsidRPr="00527DE7" w:rsidRDefault="00527DE7" w:rsidP="00915995">
      <w:pPr>
        <w:pStyle w:val="Heading1"/>
        <w:ind w:left="0"/>
      </w:pPr>
      <w:bookmarkStart w:id="9" w:name="_Toc32571886"/>
      <w:r w:rsidRPr="00527DE7">
        <w:lastRenderedPageBreak/>
        <w:t>Figure 1</w:t>
      </w:r>
      <w:bookmarkEnd w:id="9"/>
    </w:p>
    <w:p w14:paraId="2ECE317A" w14:textId="77777777" w:rsidR="00527DE7" w:rsidRPr="00527DE7" w:rsidRDefault="00527DE7" w:rsidP="00527DE7">
      <w:pPr>
        <w:jc w:val="center"/>
        <w:rPr>
          <w:b/>
        </w:rPr>
      </w:pPr>
    </w:p>
    <w:p w14:paraId="374CD875" w14:textId="77777777" w:rsidR="00527DE7" w:rsidRPr="00527DE7" w:rsidRDefault="00527DE7" w:rsidP="00527DE7">
      <w:pPr>
        <w:jc w:val="center"/>
        <w:rPr>
          <w:bCs/>
        </w:rPr>
      </w:pPr>
      <w:r w:rsidRPr="00527DE7">
        <w:rPr>
          <w:b/>
        </w:rPr>
        <w:t>FERMILAB SEWER SYSTEMS</w:t>
      </w:r>
    </w:p>
    <w:p w14:paraId="1A18D0C1" w14:textId="77777777" w:rsidR="00527DE7" w:rsidRPr="00527DE7" w:rsidRDefault="00527DE7" w:rsidP="00527DE7">
      <w:pPr>
        <w:jc w:val="center"/>
        <w:rPr>
          <w:b/>
        </w:rPr>
      </w:pPr>
    </w:p>
    <w:p w14:paraId="450D4432" w14:textId="1710EE9E" w:rsidR="00527DE7" w:rsidRPr="00527DE7" w:rsidRDefault="00527DE7" w:rsidP="00527DE7">
      <w:pPr>
        <w:jc w:val="center"/>
        <w:rPr>
          <w:b/>
        </w:rPr>
      </w:pPr>
      <w:r w:rsidRPr="00527DE7">
        <w:rPr>
          <w:b/>
        </w:rPr>
        <w:t>Note:  Sanitary sewerage within the shaded areas generally runs to the indicated municipal systems.  It is the responsibility of Fermilab personnel to insure through their Division/Section</w:t>
      </w:r>
      <w:r w:rsidR="00B93D68">
        <w:rPr>
          <w:b/>
        </w:rPr>
        <w:t xml:space="preserve"> </w:t>
      </w:r>
      <w:r w:rsidR="00E67C7D">
        <w:rPr>
          <w:b/>
        </w:rPr>
        <w:t>safety officer</w:t>
      </w:r>
      <w:r w:rsidRPr="00527DE7">
        <w:rPr>
          <w:b/>
        </w:rPr>
        <w:t xml:space="preserve"> that the connection for each </w:t>
      </w:r>
      <w:r w:rsidRPr="00527DE7">
        <w:rPr>
          <w:b/>
          <w:u w:val="single"/>
        </w:rPr>
        <w:t>individual</w:t>
      </w:r>
      <w:r w:rsidRPr="00527DE7">
        <w:rPr>
          <w:b/>
        </w:rPr>
        <w:t xml:space="preserve"> drain is known.</w:t>
      </w:r>
    </w:p>
    <w:p w14:paraId="28FE01F7" w14:textId="77777777" w:rsidR="00527DE7" w:rsidRPr="00527DE7" w:rsidRDefault="00527DE7" w:rsidP="00527DE7">
      <w:pPr>
        <w:jc w:val="center"/>
        <w:rPr>
          <w:b/>
        </w:rPr>
      </w:pPr>
    </w:p>
    <w:p w14:paraId="339E255E" w14:textId="77777777" w:rsidR="00527DE7" w:rsidRPr="00527DE7" w:rsidRDefault="00527DE7" w:rsidP="00527DE7">
      <w:pPr>
        <w:jc w:val="center"/>
        <w:rPr>
          <w:b/>
        </w:rPr>
      </w:pPr>
    </w:p>
    <w:p w14:paraId="550C494F" w14:textId="77777777" w:rsidR="00527DE7" w:rsidRPr="00527DE7" w:rsidRDefault="00527DE7" w:rsidP="00527DE7">
      <w:pPr>
        <w:jc w:val="center"/>
        <w:rPr>
          <w:b/>
        </w:rPr>
      </w:pPr>
    </w:p>
    <w:p w14:paraId="53654473" w14:textId="77777777" w:rsidR="00527DE7" w:rsidRPr="00527DE7" w:rsidRDefault="00527DE7" w:rsidP="00527DE7">
      <w:pPr>
        <w:jc w:val="center"/>
        <w:rPr>
          <w:b/>
        </w:rPr>
      </w:pPr>
    </w:p>
    <w:p w14:paraId="6EFFC711" w14:textId="77777777" w:rsidR="00527DE7" w:rsidRPr="00527DE7" w:rsidRDefault="00527DE7" w:rsidP="00527DE7">
      <w:pPr>
        <w:jc w:val="center"/>
        <w:rPr>
          <w:b/>
        </w:rPr>
      </w:pPr>
    </w:p>
    <w:p w14:paraId="6584C877" w14:textId="77777777" w:rsidR="00527DE7" w:rsidRPr="00527DE7" w:rsidRDefault="00527DE7" w:rsidP="00527DE7">
      <w:pPr>
        <w:jc w:val="center"/>
        <w:rPr>
          <w:b/>
        </w:rPr>
      </w:pPr>
      <w:r w:rsidRPr="00527DE7">
        <w:rPr>
          <w:b/>
          <w:noProof/>
        </w:rPr>
        <w:drawing>
          <wp:inline distT="0" distB="0" distL="0" distR="0" wp14:anchorId="56EF5F49" wp14:editId="382764D0">
            <wp:extent cx="6483350" cy="4984750"/>
            <wp:effectExtent l="0" t="0" r="0" b="6350"/>
            <wp:docPr id="3" name="Picture 3" descr="sanitaryse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itarysew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3350" cy="4984750"/>
                    </a:xfrm>
                    <a:prstGeom prst="rect">
                      <a:avLst/>
                    </a:prstGeom>
                    <a:noFill/>
                    <a:ln>
                      <a:noFill/>
                    </a:ln>
                  </pic:spPr>
                </pic:pic>
              </a:graphicData>
            </a:graphic>
          </wp:inline>
        </w:drawing>
      </w:r>
    </w:p>
    <w:p w14:paraId="320B6FA6" w14:textId="77777777" w:rsidR="00527DE7" w:rsidRPr="00527DE7" w:rsidRDefault="00527DE7" w:rsidP="00527DE7">
      <w:pPr>
        <w:jc w:val="center"/>
        <w:rPr>
          <w:b/>
          <w:bCs/>
        </w:rPr>
      </w:pPr>
    </w:p>
    <w:p w14:paraId="7BC6F4CA" w14:textId="77777777" w:rsidR="00527DE7" w:rsidRPr="00527DE7" w:rsidRDefault="00527DE7" w:rsidP="003B7963">
      <w:pPr>
        <w:pStyle w:val="Heading1"/>
        <w:numPr>
          <w:ilvl w:val="0"/>
          <w:numId w:val="0"/>
        </w:numPr>
        <w:ind w:left="360" w:hanging="72"/>
        <w:rPr>
          <w:b w:val="0"/>
        </w:rPr>
      </w:pPr>
      <w:r w:rsidRPr="00527DE7">
        <w:br w:type="page"/>
      </w:r>
    </w:p>
    <w:p w14:paraId="1AA9E026" w14:textId="77777777" w:rsidR="00527DE7" w:rsidRPr="00527DE7" w:rsidRDefault="00527DE7" w:rsidP="00915995">
      <w:pPr>
        <w:pStyle w:val="Heading1"/>
        <w:ind w:left="90"/>
      </w:pPr>
      <w:bookmarkStart w:id="10" w:name="_Toc32571887"/>
      <w:r w:rsidRPr="00527DE7">
        <w:lastRenderedPageBreak/>
        <w:t xml:space="preserve">Appendix </w:t>
      </w:r>
      <w:r w:rsidR="003B7963">
        <w:t>A</w:t>
      </w:r>
      <w:bookmarkEnd w:id="10"/>
    </w:p>
    <w:p w14:paraId="0208C18A" w14:textId="77777777" w:rsidR="00527DE7" w:rsidRPr="00527DE7" w:rsidRDefault="00527DE7" w:rsidP="00527DE7">
      <w:pPr>
        <w:jc w:val="center"/>
        <w:rPr>
          <w:b/>
        </w:rPr>
      </w:pPr>
    </w:p>
    <w:p w14:paraId="24F5734C" w14:textId="77777777" w:rsidR="00527DE7" w:rsidRPr="00527DE7" w:rsidRDefault="00527DE7" w:rsidP="00527DE7">
      <w:pPr>
        <w:jc w:val="center"/>
        <w:rPr>
          <w:b/>
        </w:rPr>
      </w:pPr>
      <w:r w:rsidRPr="00527DE7">
        <w:rPr>
          <w:b/>
        </w:rPr>
        <w:t>EXAMPLES OF INDUSTRIAL CATEGORIES SUBJECT TO NATIONAL CATEGORICAL PRETREATMENT STANDARDS</w:t>
      </w:r>
      <w:r w:rsidRPr="00527DE7">
        <w:footnoteReference w:id="4"/>
      </w:r>
    </w:p>
    <w:p w14:paraId="7754EBDF" w14:textId="77777777" w:rsidR="00527DE7" w:rsidRPr="00527DE7" w:rsidRDefault="00527DE7" w:rsidP="00527DE7">
      <w:pPr>
        <w:jc w:val="center"/>
        <w:rPr>
          <w:b/>
        </w:rPr>
      </w:pPr>
    </w:p>
    <w:tbl>
      <w:tblPr>
        <w:tblW w:w="0" w:type="auto"/>
        <w:tblLayout w:type="fixed"/>
        <w:tblLook w:val="0000" w:firstRow="0" w:lastRow="0" w:firstColumn="0" w:lastColumn="0" w:noHBand="0" w:noVBand="0"/>
      </w:tblPr>
      <w:tblGrid>
        <w:gridCol w:w="5760"/>
        <w:gridCol w:w="2880"/>
      </w:tblGrid>
      <w:tr w:rsidR="00527DE7" w:rsidRPr="00527DE7" w14:paraId="29C643A5" w14:textId="77777777" w:rsidTr="00E43EF6">
        <w:tc>
          <w:tcPr>
            <w:tcW w:w="5760" w:type="dxa"/>
          </w:tcPr>
          <w:p w14:paraId="0FE9C2E0" w14:textId="77777777" w:rsidR="00527DE7" w:rsidRPr="00527DE7" w:rsidRDefault="00527DE7" w:rsidP="00527DE7">
            <w:pPr>
              <w:jc w:val="center"/>
              <w:rPr>
                <w:b/>
              </w:rPr>
            </w:pPr>
            <w:r w:rsidRPr="00527DE7">
              <w:rPr>
                <w:b/>
              </w:rPr>
              <w:t>Industry 40</w:t>
            </w:r>
          </w:p>
        </w:tc>
        <w:tc>
          <w:tcPr>
            <w:tcW w:w="2880" w:type="dxa"/>
          </w:tcPr>
          <w:p w14:paraId="15E5BE67" w14:textId="77777777" w:rsidR="00527DE7" w:rsidRPr="00527DE7" w:rsidRDefault="00527DE7" w:rsidP="00527DE7">
            <w:pPr>
              <w:jc w:val="center"/>
              <w:rPr>
                <w:b/>
              </w:rPr>
            </w:pPr>
            <w:r w:rsidRPr="00527DE7">
              <w:rPr>
                <w:b/>
              </w:rPr>
              <w:t>CFR Section</w:t>
            </w:r>
          </w:p>
        </w:tc>
      </w:tr>
      <w:tr w:rsidR="00527DE7" w:rsidRPr="00527DE7" w14:paraId="0129C877" w14:textId="77777777" w:rsidTr="00E43EF6">
        <w:tc>
          <w:tcPr>
            <w:tcW w:w="5760" w:type="dxa"/>
            <w:vAlign w:val="center"/>
          </w:tcPr>
          <w:p w14:paraId="361DDCB2" w14:textId="77777777" w:rsidR="00527DE7" w:rsidRPr="00527DE7" w:rsidRDefault="00527DE7" w:rsidP="00527DE7">
            <w:pPr>
              <w:jc w:val="center"/>
            </w:pPr>
            <w:r w:rsidRPr="00527DE7">
              <w:t>Coil Coating</w:t>
            </w:r>
          </w:p>
        </w:tc>
        <w:tc>
          <w:tcPr>
            <w:tcW w:w="2880" w:type="dxa"/>
            <w:vAlign w:val="center"/>
          </w:tcPr>
          <w:p w14:paraId="32A864A4" w14:textId="77777777" w:rsidR="00527DE7" w:rsidRPr="00527DE7" w:rsidRDefault="00527DE7" w:rsidP="00527DE7">
            <w:pPr>
              <w:jc w:val="center"/>
            </w:pPr>
            <w:r w:rsidRPr="00527DE7">
              <w:t>467</w:t>
            </w:r>
          </w:p>
        </w:tc>
      </w:tr>
      <w:tr w:rsidR="00527DE7" w:rsidRPr="00527DE7" w14:paraId="20501937" w14:textId="77777777" w:rsidTr="00E43EF6">
        <w:tc>
          <w:tcPr>
            <w:tcW w:w="5760" w:type="dxa"/>
            <w:vAlign w:val="center"/>
          </w:tcPr>
          <w:p w14:paraId="3AFC2B63" w14:textId="77777777" w:rsidR="00527DE7" w:rsidRPr="00527DE7" w:rsidRDefault="00527DE7" w:rsidP="00527DE7">
            <w:pPr>
              <w:jc w:val="center"/>
            </w:pPr>
            <w:r w:rsidRPr="00527DE7">
              <w:t>Electrical and electronic components manufacturing</w:t>
            </w:r>
          </w:p>
        </w:tc>
        <w:tc>
          <w:tcPr>
            <w:tcW w:w="2880" w:type="dxa"/>
            <w:vAlign w:val="center"/>
          </w:tcPr>
          <w:p w14:paraId="77194A9B" w14:textId="77777777" w:rsidR="00527DE7" w:rsidRPr="00527DE7" w:rsidRDefault="00527DE7" w:rsidP="00527DE7">
            <w:pPr>
              <w:jc w:val="center"/>
            </w:pPr>
            <w:r w:rsidRPr="00527DE7">
              <w:t>469</w:t>
            </w:r>
          </w:p>
        </w:tc>
      </w:tr>
      <w:tr w:rsidR="00527DE7" w:rsidRPr="00527DE7" w14:paraId="0F25C322" w14:textId="77777777" w:rsidTr="00E43EF6">
        <w:tc>
          <w:tcPr>
            <w:tcW w:w="5760" w:type="dxa"/>
            <w:vAlign w:val="center"/>
          </w:tcPr>
          <w:p w14:paraId="3BE42507" w14:textId="77777777" w:rsidR="00527DE7" w:rsidRPr="00527DE7" w:rsidRDefault="00527DE7" w:rsidP="00527DE7">
            <w:pPr>
              <w:jc w:val="center"/>
            </w:pPr>
            <w:r w:rsidRPr="00527DE7">
              <w:t>Electroplating</w:t>
            </w:r>
          </w:p>
        </w:tc>
        <w:tc>
          <w:tcPr>
            <w:tcW w:w="2880" w:type="dxa"/>
            <w:vAlign w:val="center"/>
          </w:tcPr>
          <w:p w14:paraId="3A6D5369" w14:textId="77777777" w:rsidR="00527DE7" w:rsidRPr="00527DE7" w:rsidRDefault="00527DE7" w:rsidP="00527DE7">
            <w:pPr>
              <w:jc w:val="center"/>
            </w:pPr>
            <w:r w:rsidRPr="00527DE7">
              <w:t>413</w:t>
            </w:r>
          </w:p>
        </w:tc>
      </w:tr>
      <w:tr w:rsidR="00527DE7" w:rsidRPr="00527DE7" w14:paraId="3FB47D26" w14:textId="77777777" w:rsidTr="00E43EF6">
        <w:tc>
          <w:tcPr>
            <w:tcW w:w="5760" w:type="dxa"/>
            <w:vAlign w:val="center"/>
          </w:tcPr>
          <w:p w14:paraId="36BB969D" w14:textId="77777777" w:rsidR="00527DE7" w:rsidRPr="00527DE7" w:rsidRDefault="00527DE7" w:rsidP="00527DE7">
            <w:pPr>
              <w:jc w:val="center"/>
            </w:pPr>
            <w:r w:rsidRPr="00527DE7">
              <w:t>Metal finishing</w:t>
            </w:r>
          </w:p>
        </w:tc>
        <w:tc>
          <w:tcPr>
            <w:tcW w:w="2880" w:type="dxa"/>
            <w:vAlign w:val="center"/>
          </w:tcPr>
          <w:p w14:paraId="558DE5C4" w14:textId="77777777" w:rsidR="00527DE7" w:rsidRPr="00527DE7" w:rsidRDefault="00527DE7" w:rsidP="00527DE7">
            <w:pPr>
              <w:jc w:val="center"/>
            </w:pPr>
            <w:r w:rsidRPr="00527DE7">
              <w:t>433</w:t>
            </w:r>
          </w:p>
        </w:tc>
      </w:tr>
      <w:tr w:rsidR="00527DE7" w:rsidRPr="00527DE7" w14:paraId="3BA0C985" w14:textId="77777777" w:rsidTr="00E43EF6">
        <w:tc>
          <w:tcPr>
            <w:tcW w:w="5760" w:type="dxa"/>
            <w:vAlign w:val="center"/>
          </w:tcPr>
          <w:p w14:paraId="0A31F8B2" w14:textId="77777777" w:rsidR="00527DE7" w:rsidRPr="00527DE7" w:rsidRDefault="00527DE7" w:rsidP="00527DE7">
            <w:pPr>
              <w:jc w:val="center"/>
            </w:pPr>
            <w:r w:rsidRPr="00527DE7">
              <w:t>Photographic processing</w:t>
            </w:r>
          </w:p>
        </w:tc>
        <w:tc>
          <w:tcPr>
            <w:tcW w:w="2880" w:type="dxa"/>
            <w:vAlign w:val="center"/>
          </w:tcPr>
          <w:p w14:paraId="3A1E68A1" w14:textId="77777777" w:rsidR="00527DE7" w:rsidRPr="00527DE7" w:rsidRDefault="00527DE7" w:rsidP="00527DE7">
            <w:pPr>
              <w:jc w:val="center"/>
              <w:rPr>
                <w:b/>
              </w:rPr>
            </w:pPr>
            <w:r w:rsidRPr="00527DE7">
              <w:t>459</w:t>
            </w:r>
          </w:p>
        </w:tc>
      </w:tr>
    </w:tbl>
    <w:p w14:paraId="225FD5C6" w14:textId="77777777" w:rsidR="00527DE7" w:rsidRPr="00527DE7" w:rsidRDefault="00527DE7" w:rsidP="00527DE7">
      <w:pPr>
        <w:jc w:val="center"/>
        <w:rPr>
          <w:b/>
        </w:rPr>
      </w:pPr>
    </w:p>
    <w:p w14:paraId="5198DA54" w14:textId="77777777" w:rsidR="00527DE7" w:rsidRPr="00527DE7" w:rsidRDefault="00527DE7" w:rsidP="00527DE7">
      <w:pPr>
        <w:jc w:val="center"/>
        <w:rPr>
          <w:b/>
        </w:rPr>
      </w:pPr>
    </w:p>
    <w:p w14:paraId="6FFCBAB4" w14:textId="77777777" w:rsidR="00527DE7" w:rsidRPr="00527DE7" w:rsidRDefault="00527DE7" w:rsidP="00527DE7">
      <w:pPr>
        <w:jc w:val="center"/>
        <w:rPr>
          <w:b/>
        </w:rPr>
      </w:pPr>
      <w:r w:rsidRPr="00527DE7">
        <w:rPr>
          <w:b/>
        </w:rPr>
        <w:t>OPERATIONS THAT ARE INCLUDED IN THE METAL FINISHING CATEGORY</w:t>
      </w:r>
    </w:p>
    <w:p w14:paraId="4D9384B3" w14:textId="77777777" w:rsidR="00527DE7" w:rsidRPr="00527DE7" w:rsidRDefault="00527DE7" w:rsidP="00527DE7">
      <w:pPr>
        <w:jc w:val="center"/>
        <w:rPr>
          <w:b/>
        </w:rPr>
      </w:pPr>
      <w:r w:rsidRPr="00527DE7">
        <w:rPr>
          <w:b/>
        </w:rPr>
        <w:t>(The six key metal-finishing operations are in boldface type)</w:t>
      </w:r>
      <w:r w:rsidRPr="00527DE7">
        <w:footnoteReference w:id="5"/>
      </w:r>
    </w:p>
    <w:p w14:paraId="2F56A3DD" w14:textId="77777777" w:rsidR="00527DE7" w:rsidRPr="00527DE7" w:rsidRDefault="00527DE7" w:rsidP="00527DE7">
      <w:pPr>
        <w:jc w:val="center"/>
        <w:rPr>
          <w:b/>
        </w:rPr>
      </w:pPr>
    </w:p>
    <w:tbl>
      <w:tblPr>
        <w:tblW w:w="0" w:type="auto"/>
        <w:tblLayout w:type="fixed"/>
        <w:tblLook w:val="0000" w:firstRow="0" w:lastRow="0" w:firstColumn="0" w:lastColumn="0" w:noHBand="0" w:noVBand="0"/>
      </w:tblPr>
      <w:tblGrid>
        <w:gridCol w:w="5040"/>
        <w:gridCol w:w="5040"/>
      </w:tblGrid>
      <w:tr w:rsidR="00527DE7" w:rsidRPr="00527DE7" w14:paraId="7372580B" w14:textId="77777777" w:rsidTr="00E43EF6">
        <w:tc>
          <w:tcPr>
            <w:tcW w:w="5040" w:type="dxa"/>
            <w:vAlign w:val="center"/>
          </w:tcPr>
          <w:p w14:paraId="29D93126" w14:textId="77777777" w:rsidR="00527DE7" w:rsidRPr="00527DE7" w:rsidRDefault="00527DE7" w:rsidP="00527DE7">
            <w:pPr>
              <w:jc w:val="center"/>
              <w:rPr>
                <w:b/>
              </w:rPr>
            </w:pPr>
            <w:r w:rsidRPr="00527DE7">
              <w:rPr>
                <w:b/>
              </w:rPr>
              <w:t>Electroplating</w:t>
            </w:r>
          </w:p>
        </w:tc>
        <w:tc>
          <w:tcPr>
            <w:tcW w:w="5040" w:type="dxa"/>
            <w:vAlign w:val="center"/>
          </w:tcPr>
          <w:p w14:paraId="0C3F4CCF" w14:textId="77777777" w:rsidR="00527DE7" w:rsidRPr="00527DE7" w:rsidRDefault="00527DE7" w:rsidP="00527DE7">
            <w:pPr>
              <w:jc w:val="center"/>
            </w:pPr>
            <w:r w:rsidRPr="00527DE7">
              <w:t>Vapor plating</w:t>
            </w:r>
          </w:p>
        </w:tc>
      </w:tr>
      <w:tr w:rsidR="00527DE7" w:rsidRPr="00527DE7" w14:paraId="649403F9" w14:textId="77777777" w:rsidTr="00E43EF6">
        <w:tc>
          <w:tcPr>
            <w:tcW w:w="5040" w:type="dxa"/>
            <w:vAlign w:val="center"/>
          </w:tcPr>
          <w:p w14:paraId="04A89CB4" w14:textId="77777777" w:rsidR="00527DE7" w:rsidRPr="00527DE7" w:rsidRDefault="00527DE7" w:rsidP="00527DE7">
            <w:pPr>
              <w:jc w:val="center"/>
              <w:rPr>
                <w:b/>
              </w:rPr>
            </w:pPr>
            <w:r w:rsidRPr="00527DE7">
              <w:rPr>
                <w:b/>
              </w:rPr>
              <w:t>Electroless plating</w:t>
            </w:r>
          </w:p>
        </w:tc>
        <w:tc>
          <w:tcPr>
            <w:tcW w:w="5040" w:type="dxa"/>
            <w:vAlign w:val="center"/>
          </w:tcPr>
          <w:p w14:paraId="53905EDC" w14:textId="77777777" w:rsidR="00527DE7" w:rsidRPr="00527DE7" w:rsidRDefault="00527DE7" w:rsidP="00527DE7">
            <w:pPr>
              <w:jc w:val="center"/>
            </w:pPr>
            <w:r w:rsidRPr="00527DE7">
              <w:t xml:space="preserve">Sputtering </w:t>
            </w:r>
          </w:p>
        </w:tc>
      </w:tr>
      <w:tr w:rsidR="00527DE7" w:rsidRPr="00527DE7" w14:paraId="59F17B75" w14:textId="77777777" w:rsidTr="00E43EF6">
        <w:tc>
          <w:tcPr>
            <w:tcW w:w="5040" w:type="dxa"/>
            <w:vAlign w:val="center"/>
          </w:tcPr>
          <w:p w14:paraId="1D69506F" w14:textId="77777777" w:rsidR="00527DE7" w:rsidRPr="00527DE7" w:rsidRDefault="00527DE7" w:rsidP="00527DE7">
            <w:pPr>
              <w:jc w:val="center"/>
            </w:pPr>
            <w:r w:rsidRPr="00527DE7">
              <w:t>Thermal infusion</w:t>
            </w:r>
          </w:p>
        </w:tc>
        <w:tc>
          <w:tcPr>
            <w:tcW w:w="5040" w:type="dxa"/>
            <w:vAlign w:val="center"/>
          </w:tcPr>
          <w:p w14:paraId="6C3F7828" w14:textId="77777777" w:rsidR="00527DE7" w:rsidRPr="00527DE7" w:rsidRDefault="00527DE7" w:rsidP="00527DE7">
            <w:pPr>
              <w:jc w:val="center"/>
            </w:pPr>
            <w:r w:rsidRPr="00527DE7">
              <w:t>Salt Bath descaling</w:t>
            </w:r>
          </w:p>
        </w:tc>
      </w:tr>
      <w:tr w:rsidR="00527DE7" w:rsidRPr="00527DE7" w14:paraId="20606D5C" w14:textId="77777777" w:rsidTr="00E43EF6">
        <w:tc>
          <w:tcPr>
            <w:tcW w:w="5040" w:type="dxa"/>
            <w:vAlign w:val="center"/>
          </w:tcPr>
          <w:p w14:paraId="201A2B1F" w14:textId="77777777" w:rsidR="00527DE7" w:rsidRPr="00527DE7" w:rsidRDefault="00527DE7" w:rsidP="00527DE7">
            <w:pPr>
              <w:jc w:val="center"/>
            </w:pPr>
            <w:r w:rsidRPr="00527DE7">
              <w:t>Solvent degreasing</w:t>
            </w:r>
          </w:p>
        </w:tc>
        <w:tc>
          <w:tcPr>
            <w:tcW w:w="5040" w:type="dxa"/>
            <w:vAlign w:val="center"/>
          </w:tcPr>
          <w:p w14:paraId="26F50228" w14:textId="77777777" w:rsidR="00527DE7" w:rsidRPr="00527DE7" w:rsidRDefault="00527DE7" w:rsidP="00527DE7">
            <w:pPr>
              <w:jc w:val="center"/>
            </w:pPr>
            <w:r w:rsidRPr="00527DE7">
              <w:t>Electrostatic painting</w:t>
            </w:r>
          </w:p>
        </w:tc>
      </w:tr>
      <w:tr w:rsidR="00527DE7" w:rsidRPr="00527DE7" w14:paraId="25748B4A" w14:textId="77777777" w:rsidTr="00E43EF6">
        <w:tc>
          <w:tcPr>
            <w:tcW w:w="5040" w:type="dxa"/>
            <w:vAlign w:val="center"/>
          </w:tcPr>
          <w:p w14:paraId="2E501812" w14:textId="77777777" w:rsidR="00527DE7" w:rsidRPr="00527DE7" w:rsidRDefault="00527DE7" w:rsidP="00527DE7">
            <w:pPr>
              <w:jc w:val="center"/>
            </w:pPr>
            <w:r w:rsidRPr="00527DE7">
              <w:t>Paint stripping</w:t>
            </w:r>
          </w:p>
        </w:tc>
        <w:tc>
          <w:tcPr>
            <w:tcW w:w="5040" w:type="dxa"/>
            <w:vAlign w:val="center"/>
          </w:tcPr>
          <w:p w14:paraId="51B8467A" w14:textId="77777777" w:rsidR="00527DE7" w:rsidRPr="00527DE7" w:rsidRDefault="00527DE7" w:rsidP="00527DE7">
            <w:pPr>
              <w:jc w:val="center"/>
            </w:pPr>
            <w:r w:rsidRPr="00527DE7">
              <w:t>Painting</w:t>
            </w:r>
          </w:p>
        </w:tc>
      </w:tr>
      <w:tr w:rsidR="00527DE7" w:rsidRPr="00527DE7" w14:paraId="097EB73A" w14:textId="77777777" w:rsidTr="00E43EF6">
        <w:tc>
          <w:tcPr>
            <w:tcW w:w="5040" w:type="dxa"/>
            <w:vAlign w:val="center"/>
          </w:tcPr>
          <w:p w14:paraId="03106EFA" w14:textId="77777777" w:rsidR="00527DE7" w:rsidRPr="00527DE7" w:rsidRDefault="00527DE7" w:rsidP="00527DE7">
            <w:pPr>
              <w:jc w:val="center"/>
            </w:pPr>
            <w:r w:rsidRPr="00527DE7">
              <w:t>Vacuum metallizing</w:t>
            </w:r>
          </w:p>
        </w:tc>
        <w:tc>
          <w:tcPr>
            <w:tcW w:w="5040" w:type="dxa"/>
            <w:vAlign w:val="center"/>
          </w:tcPr>
          <w:p w14:paraId="287E1F2D" w14:textId="77777777" w:rsidR="00527DE7" w:rsidRPr="00527DE7" w:rsidRDefault="00527DE7" w:rsidP="00527DE7">
            <w:pPr>
              <w:jc w:val="center"/>
            </w:pPr>
            <w:r w:rsidRPr="00527DE7">
              <w:t>Electropainting</w:t>
            </w:r>
          </w:p>
        </w:tc>
      </w:tr>
      <w:tr w:rsidR="00527DE7" w:rsidRPr="00527DE7" w14:paraId="18CF9EA5" w14:textId="77777777" w:rsidTr="00E43EF6">
        <w:tc>
          <w:tcPr>
            <w:tcW w:w="5040" w:type="dxa"/>
            <w:vAlign w:val="center"/>
          </w:tcPr>
          <w:p w14:paraId="5D47E730" w14:textId="77777777" w:rsidR="00527DE7" w:rsidRPr="00527DE7" w:rsidRDefault="00527DE7" w:rsidP="00527DE7">
            <w:pPr>
              <w:jc w:val="center"/>
            </w:pPr>
            <w:r w:rsidRPr="00527DE7">
              <w:t>Assembly</w:t>
            </w:r>
          </w:p>
        </w:tc>
        <w:tc>
          <w:tcPr>
            <w:tcW w:w="5040" w:type="dxa"/>
            <w:vAlign w:val="center"/>
          </w:tcPr>
          <w:p w14:paraId="2A7D0257" w14:textId="77777777" w:rsidR="00527DE7" w:rsidRPr="00527DE7" w:rsidRDefault="00527DE7" w:rsidP="00527DE7">
            <w:pPr>
              <w:jc w:val="center"/>
            </w:pPr>
            <w:r w:rsidRPr="00527DE7">
              <w:t>Calibration</w:t>
            </w:r>
          </w:p>
        </w:tc>
      </w:tr>
      <w:tr w:rsidR="00527DE7" w:rsidRPr="00527DE7" w14:paraId="56F76225" w14:textId="77777777" w:rsidTr="00E43EF6">
        <w:tc>
          <w:tcPr>
            <w:tcW w:w="5040" w:type="dxa"/>
            <w:vAlign w:val="center"/>
          </w:tcPr>
          <w:p w14:paraId="7005EE04" w14:textId="77777777" w:rsidR="00527DE7" w:rsidRPr="00527DE7" w:rsidRDefault="00527DE7" w:rsidP="00527DE7">
            <w:pPr>
              <w:jc w:val="center"/>
            </w:pPr>
            <w:r w:rsidRPr="00527DE7">
              <w:t>Testing</w:t>
            </w:r>
          </w:p>
        </w:tc>
        <w:tc>
          <w:tcPr>
            <w:tcW w:w="5040" w:type="dxa"/>
            <w:vAlign w:val="center"/>
          </w:tcPr>
          <w:p w14:paraId="2E88F3A2" w14:textId="77777777" w:rsidR="00527DE7" w:rsidRPr="00527DE7" w:rsidRDefault="00527DE7" w:rsidP="00527DE7">
            <w:pPr>
              <w:jc w:val="center"/>
            </w:pPr>
            <w:r w:rsidRPr="00527DE7">
              <w:t>Mechanical plating</w:t>
            </w:r>
          </w:p>
        </w:tc>
      </w:tr>
      <w:tr w:rsidR="00527DE7" w:rsidRPr="00527DE7" w14:paraId="20D85B21" w14:textId="77777777" w:rsidTr="00E43EF6">
        <w:tc>
          <w:tcPr>
            <w:tcW w:w="5040" w:type="dxa"/>
            <w:vAlign w:val="center"/>
          </w:tcPr>
          <w:p w14:paraId="6B7D0C8A" w14:textId="77777777" w:rsidR="00527DE7" w:rsidRPr="00527DE7" w:rsidRDefault="00527DE7" w:rsidP="00527DE7">
            <w:pPr>
              <w:jc w:val="center"/>
              <w:rPr>
                <w:b/>
              </w:rPr>
            </w:pPr>
            <w:r w:rsidRPr="00527DE7">
              <w:rPr>
                <w:b/>
              </w:rPr>
              <w:t>Conversion coating</w:t>
            </w:r>
          </w:p>
        </w:tc>
        <w:tc>
          <w:tcPr>
            <w:tcW w:w="5040" w:type="dxa"/>
            <w:vAlign w:val="center"/>
          </w:tcPr>
          <w:p w14:paraId="375707F0" w14:textId="77777777" w:rsidR="00527DE7" w:rsidRPr="00527DE7" w:rsidRDefault="00527DE7" w:rsidP="00527DE7">
            <w:pPr>
              <w:jc w:val="center"/>
            </w:pPr>
            <w:r w:rsidRPr="00527DE7">
              <w:rPr>
                <w:b/>
              </w:rPr>
              <w:t>Etching (chemical milling)</w:t>
            </w:r>
          </w:p>
        </w:tc>
      </w:tr>
      <w:tr w:rsidR="00527DE7" w:rsidRPr="00527DE7" w14:paraId="087DBD4F" w14:textId="77777777" w:rsidTr="00E43EF6">
        <w:tc>
          <w:tcPr>
            <w:tcW w:w="5040" w:type="dxa"/>
            <w:vAlign w:val="center"/>
          </w:tcPr>
          <w:p w14:paraId="272CCBC5" w14:textId="77777777" w:rsidR="00527DE7" w:rsidRPr="00527DE7" w:rsidRDefault="00527DE7" w:rsidP="00527DE7">
            <w:pPr>
              <w:jc w:val="center"/>
              <w:rPr>
                <w:b/>
              </w:rPr>
            </w:pPr>
            <w:r w:rsidRPr="00527DE7">
              <w:rPr>
                <w:b/>
              </w:rPr>
              <w:t>Printed circuit board manufacturing</w:t>
            </w:r>
          </w:p>
        </w:tc>
        <w:tc>
          <w:tcPr>
            <w:tcW w:w="5040" w:type="dxa"/>
            <w:vAlign w:val="center"/>
          </w:tcPr>
          <w:p w14:paraId="7C9202AE" w14:textId="77777777" w:rsidR="00527DE7" w:rsidRPr="00527DE7" w:rsidRDefault="00527DE7" w:rsidP="00527DE7">
            <w:pPr>
              <w:jc w:val="center"/>
            </w:pPr>
            <w:r w:rsidRPr="00527DE7">
              <w:t>Cleaning</w:t>
            </w:r>
          </w:p>
        </w:tc>
      </w:tr>
      <w:tr w:rsidR="00527DE7" w:rsidRPr="00527DE7" w14:paraId="4A63B313" w14:textId="77777777" w:rsidTr="00E43EF6">
        <w:tc>
          <w:tcPr>
            <w:tcW w:w="5040" w:type="dxa"/>
            <w:vAlign w:val="center"/>
          </w:tcPr>
          <w:p w14:paraId="5AD428FC" w14:textId="77777777" w:rsidR="00527DE7" w:rsidRPr="00527DE7" w:rsidRDefault="00527DE7" w:rsidP="00527DE7">
            <w:pPr>
              <w:jc w:val="center"/>
            </w:pPr>
            <w:r w:rsidRPr="00527DE7">
              <w:t>Machining</w:t>
            </w:r>
          </w:p>
        </w:tc>
        <w:tc>
          <w:tcPr>
            <w:tcW w:w="5040" w:type="dxa"/>
            <w:vAlign w:val="center"/>
          </w:tcPr>
          <w:p w14:paraId="1835289C" w14:textId="77777777" w:rsidR="00527DE7" w:rsidRPr="00527DE7" w:rsidRDefault="00527DE7" w:rsidP="00527DE7">
            <w:pPr>
              <w:jc w:val="center"/>
            </w:pPr>
            <w:r w:rsidRPr="00527DE7">
              <w:t>Grinding</w:t>
            </w:r>
          </w:p>
        </w:tc>
      </w:tr>
      <w:tr w:rsidR="00527DE7" w:rsidRPr="00527DE7" w14:paraId="08A6D678" w14:textId="77777777" w:rsidTr="00E43EF6">
        <w:tc>
          <w:tcPr>
            <w:tcW w:w="5040" w:type="dxa"/>
            <w:vAlign w:val="center"/>
          </w:tcPr>
          <w:p w14:paraId="6DD9C7E6" w14:textId="77777777" w:rsidR="00527DE7" w:rsidRPr="00527DE7" w:rsidRDefault="00527DE7" w:rsidP="00527DE7">
            <w:pPr>
              <w:jc w:val="center"/>
            </w:pPr>
            <w:r w:rsidRPr="00527DE7">
              <w:t>Polishing</w:t>
            </w:r>
          </w:p>
        </w:tc>
        <w:tc>
          <w:tcPr>
            <w:tcW w:w="5040" w:type="dxa"/>
            <w:vAlign w:val="center"/>
          </w:tcPr>
          <w:p w14:paraId="56D6C740" w14:textId="77777777" w:rsidR="00527DE7" w:rsidRPr="00527DE7" w:rsidRDefault="00527DE7" w:rsidP="00527DE7">
            <w:pPr>
              <w:jc w:val="center"/>
            </w:pPr>
            <w:r w:rsidRPr="00527DE7">
              <w:t>Barrel finishing (tumbling)</w:t>
            </w:r>
          </w:p>
        </w:tc>
      </w:tr>
      <w:tr w:rsidR="00527DE7" w:rsidRPr="00527DE7" w14:paraId="6844276C" w14:textId="77777777" w:rsidTr="00E43EF6">
        <w:tc>
          <w:tcPr>
            <w:tcW w:w="5040" w:type="dxa"/>
            <w:vAlign w:val="center"/>
          </w:tcPr>
          <w:p w14:paraId="037E6282" w14:textId="77777777" w:rsidR="00527DE7" w:rsidRPr="00527DE7" w:rsidRDefault="00527DE7" w:rsidP="00527DE7">
            <w:pPr>
              <w:jc w:val="center"/>
            </w:pPr>
            <w:r w:rsidRPr="00527DE7">
              <w:t>Burnishing</w:t>
            </w:r>
          </w:p>
        </w:tc>
        <w:tc>
          <w:tcPr>
            <w:tcW w:w="5040" w:type="dxa"/>
            <w:vAlign w:val="center"/>
          </w:tcPr>
          <w:p w14:paraId="2295CF73" w14:textId="77777777" w:rsidR="00527DE7" w:rsidRPr="00527DE7" w:rsidRDefault="00527DE7" w:rsidP="00527DE7">
            <w:pPr>
              <w:jc w:val="center"/>
            </w:pPr>
            <w:r w:rsidRPr="00527DE7">
              <w:t>Impact deformation</w:t>
            </w:r>
          </w:p>
        </w:tc>
      </w:tr>
      <w:tr w:rsidR="00527DE7" w:rsidRPr="00527DE7" w14:paraId="45694CDC" w14:textId="77777777" w:rsidTr="00E43EF6">
        <w:tc>
          <w:tcPr>
            <w:tcW w:w="5040" w:type="dxa"/>
            <w:vAlign w:val="center"/>
          </w:tcPr>
          <w:p w14:paraId="19A9405D" w14:textId="77777777" w:rsidR="00527DE7" w:rsidRPr="00527DE7" w:rsidRDefault="00527DE7" w:rsidP="00527DE7">
            <w:pPr>
              <w:jc w:val="center"/>
            </w:pPr>
            <w:r w:rsidRPr="00527DE7">
              <w:t>Pressure deformation</w:t>
            </w:r>
          </w:p>
        </w:tc>
        <w:tc>
          <w:tcPr>
            <w:tcW w:w="5040" w:type="dxa"/>
            <w:vAlign w:val="center"/>
          </w:tcPr>
          <w:p w14:paraId="0D16F95E" w14:textId="77777777" w:rsidR="00527DE7" w:rsidRPr="00527DE7" w:rsidRDefault="00527DE7" w:rsidP="00527DE7">
            <w:pPr>
              <w:jc w:val="center"/>
            </w:pPr>
            <w:r w:rsidRPr="00527DE7">
              <w:t>Shearing</w:t>
            </w:r>
          </w:p>
        </w:tc>
      </w:tr>
      <w:tr w:rsidR="00527DE7" w:rsidRPr="00527DE7" w14:paraId="7AABFB53" w14:textId="77777777" w:rsidTr="00E43EF6">
        <w:tc>
          <w:tcPr>
            <w:tcW w:w="5040" w:type="dxa"/>
            <w:vAlign w:val="center"/>
          </w:tcPr>
          <w:p w14:paraId="73B67939" w14:textId="77777777" w:rsidR="00527DE7" w:rsidRPr="00527DE7" w:rsidRDefault="00527DE7" w:rsidP="00527DE7">
            <w:pPr>
              <w:jc w:val="center"/>
            </w:pPr>
            <w:r w:rsidRPr="00527DE7">
              <w:t>Heat treating</w:t>
            </w:r>
          </w:p>
        </w:tc>
        <w:tc>
          <w:tcPr>
            <w:tcW w:w="5040" w:type="dxa"/>
            <w:vAlign w:val="center"/>
          </w:tcPr>
          <w:p w14:paraId="3A556FBA" w14:textId="77777777" w:rsidR="00527DE7" w:rsidRPr="00527DE7" w:rsidRDefault="00527DE7" w:rsidP="00527DE7">
            <w:pPr>
              <w:jc w:val="center"/>
            </w:pPr>
            <w:r w:rsidRPr="00527DE7">
              <w:t>Thermal cutting</w:t>
            </w:r>
          </w:p>
        </w:tc>
      </w:tr>
      <w:tr w:rsidR="00527DE7" w:rsidRPr="00527DE7" w14:paraId="5BD4D329" w14:textId="77777777" w:rsidTr="00E43EF6">
        <w:tc>
          <w:tcPr>
            <w:tcW w:w="5040" w:type="dxa"/>
            <w:vAlign w:val="center"/>
          </w:tcPr>
          <w:p w14:paraId="32D5874E" w14:textId="77777777" w:rsidR="00527DE7" w:rsidRPr="00527DE7" w:rsidRDefault="00527DE7" w:rsidP="00527DE7">
            <w:pPr>
              <w:jc w:val="center"/>
            </w:pPr>
            <w:r w:rsidRPr="00527DE7">
              <w:t>Welding</w:t>
            </w:r>
          </w:p>
        </w:tc>
        <w:tc>
          <w:tcPr>
            <w:tcW w:w="5040" w:type="dxa"/>
            <w:vAlign w:val="center"/>
          </w:tcPr>
          <w:p w14:paraId="44B48165" w14:textId="77777777" w:rsidR="00527DE7" w:rsidRPr="00527DE7" w:rsidRDefault="00527DE7" w:rsidP="00527DE7">
            <w:pPr>
              <w:jc w:val="center"/>
            </w:pPr>
            <w:r w:rsidRPr="00527DE7">
              <w:t>Brazing</w:t>
            </w:r>
          </w:p>
        </w:tc>
      </w:tr>
      <w:tr w:rsidR="00527DE7" w:rsidRPr="00527DE7" w14:paraId="7E091A05" w14:textId="77777777" w:rsidTr="00E43EF6">
        <w:tc>
          <w:tcPr>
            <w:tcW w:w="5040" w:type="dxa"/>
            <w:vAlign w:val="center"/>
          </w:tcPr>
          <w:p w14:paraId="0EB5B313" w14:textId="77777777" w:rsidR="00527DE7" w:rsidRPr="00527DE7" w:rsidRDefault="00527DE7" w:rsidP="00527DE7">
            <w:pPr>
              <w:jc w:val="center"/>
            </w:pPr>
            <w:r w:rsidRPr="00527DE7">
              <w:t>Soldering</w:t>
            </w:r>
          </w:p>
        </w:tc>
        <w:tc>
          <w:tcPr>
            <w:tcW w:w="5040" w:type="dxa"/>
            <w:vAlign w:val="center"/>
          </w:tcPr>
          <w:p w14:paraId="6BA397F2" w14:textId="77777777" w:rsidR="00527DE7" w:rsidRPr="00527DE7" w:rsidRDefault="00527DE7" w:rsidP="00527DE7">
            <w:pPr>
              <w:jc w:val="center"/>
            </w:pPr>
            <w:r w:rsidRPr="00527DE7">
              <w:t>Flame spraying</w:t>
            </w:r>
          </w:p>
        </w:tc>
      </w:tr>
      <w:tr w:rsidR="00527DE7" w:rsidRPr="00527DE7" w14:paraId="0868432A" w14:textId="77777777" w:rsidTr="00E43EF6">
        <w:tc>
          <w:tcPr>
            <w:tcW w:w="5040" w:type="dxa"/>
            <w:vAlign w:val="center"/>
          </w:tcPr>
          <w:p w14:paraId="3E381C71" w14:textId="77777777" w:rsidR="00527DE7" w:rsidRPr="00527DE7" w:rsidRDefault="00527DE7" w:rsidP="00527DE7">
            <w:pPr>
              <w:jc w:val="center"/>
            </w:pPr>
            <w:r w:rsidRPr="00527DE7">
              <w:t>Sand blasting</w:t>
            </w:r>
          </w:p>
        </w:tc>
        <w:tc>
          <w:tcPr>
            <w:tcW w:w="5040" w:type="dxa"/>
            <w:vAlign w:val="center"/>
          </w:tcPr>
          <w:p w14:paraId="09A7E0D0" w14:textId="77777777" w:rsidR="00527DE7" w:rsidRPr="00527DE7" w:rsidRDefault="00527DE7" w:rsidP="00527DE7">
            <w:pPr>
              <w:jc w:val="center"/>
            </w:pPr>
            <w:r w:rsidRPr="00527DE7">
              <w:t>Other abrasive jet machining</w:t>
            </w:r>
          </w:p>
        </w:tc>
      </w:tr>
      <w:tr w:rsidR="00527DE7" w:rsidRPr="00527DE7" w14:paraId="141981F3" w14:textId="77777777" w:rsidTr="00E43EF6">
        <w:tc>
          <w:tcPr>
            <w:tcW w:w="5040" w:type="dxa"/>
            <w:vAlign w:val="center"/>
          </w:tcPr>
          <w:p w14:paraId="22E54D32" w14:textId="77777777" w:rsidR="00527DE7" w:rsidRPr="00527DE7" w:rsidRDefault="00527DE7" w:rsidP="00527DE7">
            <w:pPr>
              <w:jc w:val="center"/>
            </w:pPr>
            <w:r w:rsidRPr="00527DE7">
              <w:t>Electronic discharge machining</w:t>
            </w:r>
          </w:p>
        </w:tc>
        <w:tc>
          <w:tcPr>
            <w:tcW w:w="5040" w:type="dxa"/>
            <w:vAlign w:val="center"/>
          </w:tcPr>
          <w:p w14:paraId="51CF2DB6" w14:textId="77777777" w:rsidR="00527DE7" w:rsidRPr="00527DE7" w:rsidRDefault="00527DE7" w:rsidP="00527DE7">
            <w:pPr>
              <w:jc w:val="center"/>
            </w:pPr>
            <w:r w:rsidRPr="00527DE7">
              <w:t>Electrochemical machining</w:t>
            </w:r>
          </w:p>
        </w:tc>
      </w:tr>
      <w:tr w:rsidR="00527DE7" w:rsidRPr="00527DE7" w14:paraId="5AE098B7" w14:textId="77777777" w:rsidTr="00E43EF6">
        <w:tc>
          <w:tcPr>
            <w:tcW w:w="5040" w:type="dxa"/>
            <w:vAlign w:val="center"/>
          </w:tcPr>
          <w:p w14:paraId="319B1128" w14:textId="77777777" w:rsidR="00527DE7" w:rsidRPr="00527DE7" w:rsidRDefault="00527DE7" w:rsidP="00527DE7">
            <w:pPr>
              <w:jc w:val="center"/>
            </w:pPr>
            <w:r w:rsidRPr="00527DE7">
              <w:t>Electron beam machining</w:t>
            </w:r>
          </w:p>
        </w:tc>
        <w:tc>
          <w:tcPr>
            <w:tcW w:w="5040" w:type="dxa"/>
            <w:vAlign w:val="center"/>
          </w:tcPr>
          <w:p w14:paraId="24EE091E" w14:textId="77777777" w:rsidR="00527DE7" w:rsidRPr="00527DE7" w:rsidRDefault="00527DE7" w:rsidP="00527DE7">
            <w:pPr>
              <w:jc w:val="center"/>
            </w:pPr>
            <w:r w:rsidRPr="00527DE7">
              <w:t>Laser beam machining</w:t>
            </w:r>
          </w:p>
        </w:tc>
      </w:tr>
      <w:tr w:rsidR="00527DE7" w:rsidRPr="00527DE7" w14:paraId="1999FADC" w14:textId="77777777" w:rsidTr="00E43EF6">
        <w:tc>
          <w:tcPr>
            <w:tcW w:w="5040" w:type="dxa"/>
            <w:vAlign w:val="center"/>
          </w:tcPr>
          <w:p w14:paraId="754F95FE" w14:textId="77777777" w:rsidR="00527DE7" w:rsidRPr="00527DE7" w:rsidRDefault="00527DE7" w:rsidP="00527DE7">
            <w:pPr>
              <w:jc w:val="center"/>
            </w:pPr>
            <w:r w:rsidRPr="00527DE7">
              <w:t>Plasma arc machining</w:t>
            </w:r>
          </w:p>
        </w:tc>
        <w:tc>
          <w:tcPr>
            <w:tcW w:w="5040" w:type="dxa"/>
            <w:vAlign w:val="center"/>
          </w:tcPr>
          <w:p w14:paraId="093A3899" w14:textId="77777777" w:rsidR="00527DE7" w:rsidRPr="00527DE7" w:rsidRDefault="00527DE7" w:rsidP="00527DE7">
            <w:pPr>
              <w:jc w:val="center"/>
            </w:pPr>
            <w:r w:rsidRPr="00527DE7">
              <w:t>Ultrasonic machining</w:t>
            </w:r>
          </w:p>
        </w:tc>
      </w:tr>
      <w:tr w:rsidR="00527DE7" w:rsidRPr="00527DE7" w14:paraId="6B4755C2" w14:textId="77777777" w:rsidTr="00E43EF6">
        <w:tc>
          <w:tcPr>
            <w:tcW w:w="5040" w:type="dxa"/>
            <w:vAlign w:val="center"/>
          </w:tcPr>
          <w:p w14:paraId="43398304" w14:textId="77777777" w:rsidR="00527DE7" w:rsidRPr="00527DE7" w:rsidRDefault="00527DE7" w:rsidP="00527DE7">
            <w:pPr>
              <w:jc w:val="center"/>
            </w:pPr>
            <w:r w:rsidRPr="00527DE7">
              <w:t>Sintering</w:t>
            </w:r>
          </w:p>
        </w:tc>
        <w:tc>
          <w:tcPr>
            <w:tcW w:w="5040" w:type="dxa"/>
            <w:vAlign w:val="center"/>
          </w:tcPr>
          <w:p w14:paraId="10641A08" w14:textId="77777777" w:rsidR="00527DE7" w:rsidRPr="00527DE7" w:rsidRDefault="00527DE7" w:rsidP="00527DE7">
            <w:pPr>
              <w:jc w:val="center"/>
            </w:pPr>
            <w:r w:rsidRPr="00527DE7">
              <w:t>Laminating</w:t>
            </w:r>
          </w:p>
        </w:tc>
      </w:tr>
      <w:tr w:rsidR="00527DE7" w:rsidRPr="00527DE7" w14:paraId="28F86E4A" w14:textId="77777777" w:rsidTr="00E43EF6">
        <w:tc>
          <w:tcPr>
            <w:tcW w:w="5040" w:type="dxa"/>
            <w:vAlign w:val="center"/>
          </w:tcPr>
          <w:p w14:paraId="2AB1DDCD" w14:textId="77777777" w:rsidR="00527DE7" w:rsidRPr="00527DE7" w:rsidRDefault="00527DE7" w:rsidP="00527DE7">
            <w:pPr>
              <w:jc w:val="center"/>
            </w:pPr>
            <w:r w:rsidRPr="00527DE7">
              <w:t>Hot dip coating</w:t>
            </w:r>
          </w:p>
        </w:tc>
        <w:tc>
          <w:tcPr>
            <w:tcW w:w="5040" w:type="dxa"/>
            <w:vAlign w:val="center"/>
          </w:tcPr>
          <w:p w14:paraId="0496D1BA" w14:textId="77777777" w:rsidR="00527DE7" w:rsidRPr="00527DE7" w:rsidRDefault="00527DE7" w:rsidP="00527DE7">
            <w:pPr>
              <w:jc w:val="center"/>
            </w:pPr>
            <w:r w:rsidRPr="00527DE7">
              <w:t>Thermal infusion</w:t>
            </w:r>
          </w:p>
        </w:tc>
      </w:tr>
      <w:tr w:rsidR="00527DE7" w:rsidRPr="00527DE7" w14:paraId="534EDBC7" w14:textId="77777777" w:rsidTr="00E43EF6">
        <w:tc>
          <w:tcPr>
            <w:tcW w:w="5040" w:type="dxa"/>
            <w:vAlign w:val="center"/>
          </w:tcPr>
          <w:p w14:paraId="5DABDCAE" w14:textId="77777777" w:rsidR="00527DE7" w:rsidRPr="00527DE7" w:rsidRDefault="00527DE7" w:rsidP="00527DE7">
            <w:pPr>
              <w:jc w:val="center"/>
              <w:rPr>
                <w:b/>
              </w:rPr>
            </w:pPr>
            <w:r w:rsidRPr="00527DE7">
              <w:rPr>
                <w:b/>
              </w:rPr>
              <w:t>Anodizing</w:t>
            </w:r>
          </w:p>
        </w:tc>
        <w:tc>
          <w:tcPr>
            <w:tcW w:w="5040" w:type="dxa"/>
            <w:vAlign w:val="center"/>
          </w:tcPr>
          <w:p w14:paraId="253DEA36" w14:textId="77777777" w:rsidR="00527DE7" w:rsidRPr="00527DE7" w:rsidRDefault="00527DE7" w:rsidP="00527DE7">
            <w:pPr>
              <w:jc w:val="center"/>
            </w:pPr>
          </w:p>
        </w:tc>
      </w:tr>
    </w:tbl>
    <w:p w14:paraId="13524A0C" w14:textId="77777777" w:rsidR="00527DE7" w:rsidRPr="00527DE7" w:rsidRDefault="00527DE7" w:rsidP="00527DE7">
      <w:pPr>
        <w:jc w:val="center"/>
      </w:pPr>
    </w:p>
    <w:sectPr w:rsidR="00527DE7" w:rsidRPr="00527DE7" w:rsidSect="00915995">
      <w:headerReference w:type="default" r:id="rId11"/>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180E" w14:textId="77777777" w:rsidR="00250458" w:rsidRDefault="00250458" w:rsidP="00CB66DF">
      <w:r>
        <w:separator/>
      </w:r>
    </w:p>
  </w:endnote>
  <w:endnote w:type="continuationSeparator" w:id="0">
    <w:p w14:paraId="7E86F9A6" w14:textId="77777777" w:rsidR="00250458" w:rsidRDefault="00250458"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153E" w14:textId="46F0520A" w:rsidR="00D34E4A" w:rsidRDefault="00D34E4A"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r>
  </w:p>
  <w:p w14:paraId="0DABE13D" w14:textId="7FDD2938" w:rsidR="00D34E4A" w:rsidRDefault="00D34E4A" w:rsidP="00A71082">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972B50">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 xml:space="preserve">Rev. </w:t>
    </w:r>
    <w:r w:rsidR="007D4A05">
      <w:rPr>
        <w:sz w:val="18"/>
        <w:szCs w:val="18"/>
      </w:rPr>
      <w:t>8/2022</w:t>
    </w:r>
  </w:p>
  <w:p w14:paraId="15ECA25A" w14:textId="77777777" w:rsidR="00D34E4A" w:rsidRDefault="00D34E4A"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21D0B39" w14:textId="0056AC61" w:rsidR="00D34E4A" w:rsidRPr="00DB5D5A" w:rsidRDefault="00D34E4A" w:rsidP="00422923">
    <w:pPr>
      <w:pStyle w:val="Header"/>
      <w:jc w:val="right"/>
      <w:rPr>
        <w:rStyle w:val="PageNumber"/>
        <w:i/>
        <w:sz w:val="20"/>
        <w:szCs w:val="20"/>
        <w:lang w:val="es-ES_tradnl"/>
      </w:rPr>
    </w:pPr>
    <w:r w:rsidRPr="00DB5D5A">
      <w:rPr>
        <w:rStyle w:val="PageNumber"/>
        <w:i/>
        <w:sz w:val="20"/>
        <w:szCs w:val="20"/>
        <w:lang w:val="es-SV"/>
      </w:rPr>
      <w:tab/>
    </w:r>
    <w:r w:rsidR="00422923">
      <w:rPr>
        <w:rStyle w:val="PageNumber"/>
        <w:i/>
        <w:sz w:val="20"/>
        <w:szCs w:val="20"/>
        <w:lang w:val="es-SV"/>
      </w:rPr>
      <w:t xml:space="preserve">Page </w:t>
    </w:r>
    <w:r w:rsidR="00422923" w:rsidRPr="00B375C0">
      <w:rPr>
        <w:rFonts w:ascii="Palatino" w:hAnsi="Palatino"/>
        <w:sz w:val="18"/>
      </w:rPr>
      <w:fldChar w:fldCharType="begin"/>
    </w:r>
    <w:r w:rsidR="00422923" w:rsidRPr="00B375C0">
      <w:rPr>
        <w:rFonts w:ascii="Palatino" w:hAnsi="Palatino"/>
        <w:sz w:val="18"/>
      </w:rPr>
      <w:instrText xml:space="preserve"> PAGE   \* MERGEFORMAT </w:instrText>
    </w:r>
    <w:r w:rsidR="00422923" w:rsidRPr="00B375C0">
      <w:rPr>
        <w:rFonts w:ascii="Palatino" w:hAnsi="Palatino"/>
        <w:sz w:val="18"/>
      </w:rPr>
      <w:fldChar w:fldCharType="separate"/>
    </w:r>
    <w:r w:rsidR="00422923">
      <w:rPr>
        <w:rFonts w:ascii="Palatino" w:hAnsi="Palatino"/>
        <w:sz w:val="18"/>
      </w:rPr>
      <w:t>1</w:t>
    </w:r>
    <w:r w:rsidR="00422923" w:rsidRPr="00B375C0">
      <w:rPr>
        <w:rFonts w:ascii="Palatino" w:hAnsi="Palatino"/>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55B5" w14:textId="77777777" w:rsidR="00250458" w:rsidRDefault="00250458" w:rsidP="00CB66DF">
      <w:r>
        <w:separator/>
      </w:r>
    </w:p>
  </w:footnote>
  <w:footnote w:type="continuationSeparator" w:id="0">
    <w:p w14:paraId="3FA61053" w14:textId="77777777" w:rsidR="00250458" w:rsidRDefault="00250458" w:rsidP="00CB66DF">
      <w:r>
        <w:continuationSeparator/>
      </w:r>
    </w:p>
  </w:footnote>
  <w:footnote w:id="1">
    <w:p w14:paraId="2E43A019" w14:textId="5539066C" w:rsidR="00D34E4A" w:rsidRDefault="00D34E4A">
      <w:pPr>
        <w:pStyle w:val="FootnoteText"/>
      </w:pPr>
      <w:r>
        <w:rPr>
          <w:rStyle w:val="FootnoteReference"/>
        </w:rPr>
        <w:footnoteRef/>
      </w:r>
      <w:r>
        <w:t xml:space="preserve"> </w:t>
      </w:r>
      <w:r w:rsidR="00280BE2">
        <w:t xml:space="preserve">Agreement with </w:t>
      </w:r>
      <w:r>
        <w:t>City of Batavia Wastewater Treatment</w:t>
      </w:r>
      <w:r w:rsidR="00280BE2">
        <w:t xml:space="preserve"> Facility,</w:t>
      </w:r>
      <w:r>
        <w:t xml:space="preserve"> Byron Ritchason</w:t>
      </w:r>
      <w:r w:rsidR="00280BE2">
        <w:t>, Superintendent (</w:t>
      </w:r>
      <w:r>
        <w:t xml:space="preserve"> 1/12/12</w:t>
      </w:r>
      <w:r w:rsidR="00280BE2">
        <w:t xml:space="preserve"> via phone).</w:t>
      </w:r>
    </w:p>
  </w:footnote>
  <w:footnote w:id="2">
    <w:p w14:paraId="7361B971" w14:textId="77777777" w:rsidR="00D34E4A" w:rsidRDefault="00D34E4A">
      <w:pPr>
        <w:pStyle w:val="FootnoteText"/>
      </w:pPr>
      <w:r>
        <w:rPr>
          <w:rStyle w:val="FootnoteReference"/>
        </w:rPr>
        <w:footnoteRef/>
      </w:r>
      <w:r>
        <w:t xml:space="preserve"> From 2001-2011, the average daily flow was 99,000 gallons per day to the Warrenville/Naperville system and 95,000 gallons per day to Batavia.  As a conservative measure and because the flow varies, one third, of the average daily flow or 32,000 gallons per day is the mean daily flow used in calculating the maximum daily pollutant load.  The maximum daily pollutant load is calculated by multiplying the mean daily flow by the maximum allowed concentration and rounding down to the nearest thousand.     </w:t>
      </w:r>
    </w:p>
  </w:footnote>
  <w:footnote w:id="3">
    <w:p w14:paraId="2B15DF7B" w14:textId="5F5C65A0" w:rsidR="00D34E4A" w:rsidRDefault="00D34E4A">
      <w:pPr>
        <w:pStyle w:val="FootnoteText"/>
      </w:pPr>
      <w:r>
        <w:rPr>
          <w:rStyle w:val="FootnoteReference"/>
        </w:rPr>
        <w:footnoteRef/>
      </w:r>
      <w:r>
        <w:t xml:space="preserve"> </w:t>
      </w:r>
      <w:r w:rsidRPr="00540AEA">
        <w:t>City Code of Batavia</w:t>
      </w:r>
      <w:r w:rsidR="00344AD7">
        <w:t xml:space="preserve"> </w:t>
      </w:r>
      <w:r w:rsidR="00C01F8B">
        <w:t>and</w:t>
      </w:r>
      <w:r w:rsidRPr="00540AEA">
        <w:rPr>
          <w:bCs/>
        </w:rPr>
        <w:t xml:space="preserve"> Warrenville</w:t>
      </w:r>
    </w:p>
  </w:footnote>
  <w:footnote w:id="4">
    <w:p w14:paraId="74AF88D7" w14:textId="77777777" w:rsidR="00D34E4A" w:rsidRDefault="00D34E4A" w:rsidP="00527DE7">
      <w:pPr>
        <w:pStyle w:val="FootnoteText"/>
      </w:pPr>
      <w:r>
        <w:rPr>
          <w:rStyle w:val="FootnoteReference"/>
        </w:rPr>
        <w:footnoteRef/>
      </w:r>
      <w:r>
        <w:t>For federal regulations applicable to specific industries see 40 CFR Sections 405-471.</w:t>
      </w:r>
    </w:p>
  </w:footnote>
  <w:footnote w:id="5">
    <w:p w14:paraId="0D219C0B" w14:textId="77777777" w:rsidR="00D34E4A" w:rsidRDefault="00D34E4A" w:rsidP="00527DE7">
      <w:pPr>
        <w:pStyle w:val="FootnoteText"/>
        <w:ind w:right="-270"/>
      </w:pPr>
      <w:r>
        <w:rPr>
          <w:rStyle w:val="FootnoteReference"/>
        </w:rPr>
        <w:footnoteRef/>
      </w:r>
      <w:r>
        <w:t>Federal regulations state that if a facility conducts any of six key metal-finishing operations, discharges from those six and from the remaining 40 processes included in the category are covered by federal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032C04" w:rsidRPr="00423E3B" w14:paraId="5C75C794" w14:textId="77777777" w:rsidTr="000B06DA">
      <w:trPr>
        <w:trHeight w:val="611"/>
      </w:trPr>
      <w:tc>
        <w:tcPr>
          <w:tcW w:w="1490" w:type="dxa"/>
        </w:tcPr>
        <w:p w14:paraId="707F9AF1" w14:textId="77777777" w:rsidR="005C3C2C" w:rsidRDefault="005C3C2C" w:rsidP="005C3C2C">
          <w:r w:rsidRPr="00684839">
            <w:rPr>
              <w:noProof/>
            </w:rPr>
            <w:drawing>
              <wp:anchor distT="0" distB="0" distL="114300" distR="114300" simplePos="0" relativeHeight="251659264" behindDoc="0" locked="0" layoutInCell="1" allowOverlap="0" wp14:anchorId="1E2318F9" wp14:editId="4381C227">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A68081C" w14:textId="77777777" w:rsidR="005C3C2C" w:rsidRDefault="005C3C2C" w:rsidP="005C3C2C">
          <w:pPr>
            <w:jc w:val="center"/>
          </w:pPr>
          <w:r>
            <w:t>ES&amp;H Manual</w:t>
          </w:r>
        </w:p>
      </w:tc>
      <w:tc>
        <w:tcPr>
          <w:tcW w:w="3188" w:type="dxa"/>
          <w:vAlign w:val="center"/>
        </w:tcPr>
        <w:p w14:paraId="340BFE0D" w14:textId="77777777" w:rsidR="005C3C2C" w:rsidRPr="00423E3B" w:rsidRDefault="005C3C2C" w:rsidP="005C3C2C">
          <w:pPr>
            <w:jc w:val="center"/>
          </w:pPr>
          <w:r>
            <w:t>FESHM 8025</w:t>
          </w:r>
        </w:p>
        <w:p w14:paraId="4B1E176F" w14:textId="4BF3A430" w:rsidR="005C3C2C" w:rsidRPr="00423E3B" w:rsidRDefault="007D4A05" w:rsidP="005C3C2C">
          <w:pPr>
            <w:jc w:val="center"/>
          </w:pPr>
          <w:r w:rsidRPr="007D4A05">
            <w:t>August</w:t>
          </w:r>
          <w:r w:rsidR="00032C04" w:rsidRPr="007D4A05">
            <w:t xml:space="preserve"> 202</w:t>
          </w:r>
          <w:r w:rsidRPr="007D4A05">
            <w:t>2</w:t>
          </w:r>
        </w:p>
      </w:tc>
    </w:tr>
  </w:tbl>
  <w:p w14:paraId="2D7652D5" w14:textId="77777777" w:rsidR="00D34E4A" w:rsidRDefault="00D34E4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5C3C2C" w:rsidRPr="00423E3B" w14:paraId="3CEB48B5" w14:textId="77777777" w:rsidTr="000B06DA">
      <w:trPr>
        <w:trHeight w:val="611"/>
      </w:trPr>
      <w:tc>
        <w:tcPr>
          <w:tcW w:w="1490" w:type="dxa"/>
        </w:tcPr>
        <w:p w14:paraId="19D1CFE5" w14:textId="77777777" w:rsidR="005C3C2C" w:rsidRDefault="005C3C2C" w:rsidP="005C3C2C">
          <w:r w:rsidRPr="00684839">
            <w:rPr>
              <w:noProof/>
            </w:rPr>
            <w:drawing>
              <wp:anchor distT="0" distB="0" distL="114300" distR="114300" simplePos="0" relativeHeight="251661312" behindDoc="0" locked="0" layoutInCell="1" allowOverlap="0" wp14:anchorId="640226C3" wp14:editId="4195E374">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121314D" w14:textId="77777777" w:rsidR="005C3C2C" w:rsidRDefault="005C3C2C" w:rsidP="005C3C2C">
          <w:pPr>
            <w:jc w:val="center"/>
          </w:pPr>
          <w:r>
            <w:t>ES&amp;H Manual</w:t>
          </w:r>
        </w:p>
      </w:tc>
      <w:tc>
        <w:tcPr>
          <w:tcW w:w="3188" w:type="dxa"/>
          <w:vAlign w:val="center"/>
        </w:tcPr>
        <w:p w14:paraId="116D17CA" w14:textId="77777777" w:rsidR="005C3C2C" w:rsidRPr="00423E3B" w:rsidRDefault="005C3C2C" w:rsidP="005C3C2C">
          <w:pPr>
            <w:jc w:val="center"/>
          </w:pPr>
          <w:r>
            <w:t>FESHM 8025</w:t>
          </w:r>
        </w:p>
        <w:p w14:paraId="2136586E" w14:textId="39F57A45" w:rsidR="005C3C2C" w:rsidRPr="00423E3B" w:rsidRDefault="007D4A05" w:rsidP="005C3C2C">
          <w:pPr>
            <w:jc w:val="center"/>
          </w:pPr>
          <w:r>
            <w:t>August 2022</w:t>
          </w:r>
        </w:p>
      </w:tc>
    </w:tr>
  </w:tbl>
  <w:p w14:paraId="29510BF1" w14:textId="77777777" w:rsidR="00D34E4A" w:rsidRDefault="00D34E4A"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242F1"/>
    <w:multiLevelType w:val="hybridMultilevel"/>
    <w:tmpl w:val="A42CC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4E7983"/>
    <w:multiLevelType w:val="hybridMultilevel"/>
    <w:tmpl w:val="C49A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94513"/>
    <w:multiLevelType w:val="hybridMultilevel"/>
    <w:tmpl w:val="9A74D36A"/>
    <w:lvl w:ilvl="0" w:tplc="2028F128">
      <w:start w:val="1"/>
      <w:numFmt w:val="decimal"/>
      <w:lvlText w:val="%1."/>
      <w:lvlJc w:val="left"/>
      <w:pPr>
        <w:tabs>
          <w:tab w:val="num" w:pos="810"/>
        </w:tabs>
        <w:ind w:left="810" w:hanging="360"/>
      </w:pPr>
      <w:rPr>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56004E"/>
    <w:multiLevelType w:val="hybridMultilevel"/>
    <w:tmpl w:val="15140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26012D9"/>
    <w:multiLevelType w:val="multilevel"/>
    <w:tmpl w:val="36FA73FC"/>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4A921E3"/>
    <w:multiLevelType w:val="hybridMultilevel"/>
    <w:tmpl w:val="2342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B2A90"/>
    <w:multiLevelType w:val="hybridMultilevel"/>
    <w:tmpl w:val="678272C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4" w15:restartNumberingAfterBreak="0">
    <w:nsid w:val="7ABD6C8D"/>
    <w:multiLevelType w:val="hybridMultilevel"/>
    <w:tmpl w:val="655E4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0241D4"/>
    <w:multiLevelType w:val="multilevel"/>
    <w:tmpl w:val="2A0ED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9"/>
  </w:num>
  <w:num w:numId="3">
    <w:abstractNumId w:val="8"/>
  </w:num>
  <w:num w:numId="4">
    <w:abstractNumId w:val="3"/>
  </w:num>
  <w:num w:numId="5">
    <w:abstractNumId w:val="10"/>
  </w:num>
  <w:num w:numId="6">
    <w:abstractNumId w:val="1"/>
  </w:num>
  <w:num w:numId="7">
    <w:abstractNumId w:val="0"/>
  </w:num>
  <w:num w:numId="8">
    <w:abstractNumId w:val="7"/>
  </w:num>
  <w:num w:numId="9">
    <w:abstractNumId w:val="5"/>
  </w:num>
  <w:num w:numId="10">
    <w:abstractNumId w:val="6"/>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num>
  <w:num w:numId="16">
    <w:abstractNumId w:val="11"/>
  </w:num>
  <w:num w:numId="17">
    <w:abstractNumId w:val="14"/>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5E7A"/>
    <w:rsid w:val="0000707A"/>
    <w:rsid w:val="0000745E"/>
    <w:rsid w:val="000116E7"/>
    <w:rsid w:val="00011BF7"/>
    <w:rsid w:val="00013403"/>
    <w:rsid w:val="000151E7"/>
    <w:rsid w:val="0001715A"/>
    <w:rsid w:val="00021BF3"/>
    <w:rsid w:val="000223B1"/>
    <w:rsid w:val="00023346"/>
    <w:rsid w:val="00023D05"/>
    <w:rsid w:val="00025437"/>
    <w:rsid w:val="00025547"/>
    <w:rsid w:val="0002606F"/>
    <w:rsid w:val="00026D89"/>
    <w:rsid w:val="00026EB9"/>
    <w:rsid w:val="000272AF"/>
    <w:rsid w:val="00030BD7"/>
    <w:rsid w:val="000315E2"/>
    <w:rsid w:val="000324A4"/>
    <w:rsid w:val="00032C0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56B"/>
    <w:rsid w:val="00071B76"/>
    <w:rsid w:val="00071D86"/>
    <w:rsid w:val="000726F7"/>
    <w:rsid w:val="000753FB"/>
    <w:rsid w:val="00077A12"/>
    <w:rsid w:val="00077CC7"/>
    <w:rsid w:val="0008004A"/>
    <w:rsid w:val="0008360F"/>
    <w:rsid w:val="000843FD"/>
    <w:rsid w:val="00084E8E"/>
    <w:rsid w:val="00086BAA"/>
    <w:rsid w:val="00087098"/>
    <w:rsid w:val="00087650"/>
    <w:rsid w:val="000903AC"/>
    <w:rsid w:val="0009048F"/>
    <w:rsid w:val="00092162"/>
    <w:rsid w:val="00092598"/>
    <w:rsid w:val="0009599A"/>
    <w:rsid w:val="00095A16"/>
    <w:rsid w:val="00096281"/>
    <w:rsid w:val="000967BA"/>
    <w:rsid w:val="000A3E0D"/>
    <w:rsid w:val="000A425D"/>
    <w:rsid w:val="000A511B"/>
    <w:rsid w:val="000A5E66"/>
    <w:rsid w:val="000B0965"/>
    <w:rsid w:val="000B0E2E"/>
    <w:rsid w:val="000B1B47"/>
    <w:rsid w:val="000B6364"/>
    <w:rsid w:val="000B6567"/>
    <w:rsid w:val="000B6B6E"/>
    <w:rsid w:val="000C0F6D"/>
    <w:rsid w:val="000C218E"/>
    <w:rsid w:val="000C4FB0"/>
    <w:rsid w:val="000C5636"/>
    <w:rsid w:val="000C6331"/>
    <w:rsid w:val="000C71AD"/>
    <w:rsid w:val="000C7994"/>
    <w:rsid w:val="000D046F"/>
    <w:rsid w:val="000D19A3"/>
    <w:rsid w:val="000D30D7"/>
    <w:rsid w:val="000D4910"/>
    <w:rsid w:val="000D5FA5"/>
    <w:rsid w:val="000D7497"/>
    <w:rsid w:val="000D7FF2"/>
    <w:rsid w:val="000E2AF0"/>
    <w:rsid w:val="000E5A98"/>
    <w:rsid w:val="000E6833"/>
    <w:rsid w:val="000E76A4"/>
    <w:rsid w:val="000F433B"/>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2F44"/>
    <w:rsid w:val="00124813"/>
    <w:rsid w:val="00130521"/>
    <w:rsid w:val="00131A6B"/>
    <w:rsid w:val="00134F2E"/>
    <w:rsid w:val="001358C6"/>
    <w:rsid w:val="0013713C"/>
    <w:rsid w:val="001377F4"/>
    <w:rsid w:val="001413CF"/>
    <w:rsid w:val="00141A7B"/>
    <w:rsid w:val="00141E0D"/>
    <w:rsid w:val="00142414"/>
    <w:rsid w:val="00142C80"/>
    <w:rsid w:val="001435A9"/>
    <w:rsid w:val="001450C5"/>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1B73"/>
    <w:rsid w:val="001922D5"/>
    <w:rsid w:val="0019249C"/>
    <w:rsid w:val="001929C8"/>
    <w:rsid w:val="00192D5D"/>
    <w:rsid w:val="00194594"/>
    <w:rsid w:val="001951AE"/>
    <w:rsid w:val="00195AF2"/>
    <w:rsid w:val="00195AF3"/>
    <w:rsid w:val="001A2707"/>
    <w:rsid w:val="001A2CF3"/>
    <w:rsid w:val="001A2D45"/>
    <w:rsid w:val="001A3403"/>
    <w:rsid w:val="001A74A8"/>
    <w:rsid w:val="001B33CF"/>
    <w:rsid w:val="001B5668"/>
    <w:rsid w:val="001B623B"/>
    <w:rsid w:val="001B6A20"/>
    <w:rsid w:val="001B6A72"/>
    <w:rsid w:val="001C167C"/>
    <w:rsid w:val="001D12DE"/>
    <w:rsid w:val="001D4317"/>
    <w:rsid w:val="001D435E"/>
    <w:rsid w:val="001D6C19"/>
    <w:rsid w:val="001D7801"/>
    <w:rsid w:val="001E20EF"/>
    <w:rsid w:val="001E3FC1"/>
    <w:rsid w:val="001E4825"/>
    <w:rsid w:val="001E4839"/>
    <w:rsid w:val="001E4A8A"/>
    <w:rsid w:val="001E506A"/>
    <w:rsid w:val="001E7609"/>
    <w:rsid w:val="001F0772"/>
    <w:rsid w:val="001F1994"/>
    <w:rsid w:val="001F1FA5"/>
    <w:rsid w:val="001F36C2"/>
    <w:rsid w:val="001F38CB"/>
    <w:rsid w:val="001F3CEC"/>
    <w:rsid w:val="001F6F81"/>
    <w:rsid w:val="001F6FCA"/>
    <w:rsid w:val="002024AE"/>
    <w:rsid w:val="002028EB"/>
    <w:rsid w:val="00203E01"/>
    <w:rsid w:val="0020676C"/>
    <w:rsid w:val="002070AE"/>
    <w:rsid w:val="002078BB"/>
    <w:rsid w:val="00207EAC"/>
    <w:rsid w:val="00210CB6"/>
    <w:rsid w:val="0021159E"/>
    <w:rsid w:val="002149DE"/>
    <w:rsid w:val="00217B2F"/>
    <w:rsid w:val="0022039C"/>
    <w:rsid w:val="00221181"/>
    <w:rsid w:val="00223D25"/>
    <w:rsid w:val="00224423"/>
    <w:rsid w:val="002308AA"/>
    <w:rsid w:val="00230C9C"/>
    <w:rsid w:val="00231245"/>
    <w:rsid w:val="00235091"/>
    <w:rsid w:val="0023604C"/>
    <w:rsid w:val="00237834"/>
    <w:rsid w:val="00240A0C"/>
    <w:rsid w:val="00241C70"/>
    <w:rsid w:val="002423A5"/>
    <w:rsid w:val="002441F5"/>
    <w:rsid w:val="0024447E"/>
    <w:rsid w:val="00244E31"/>
    <w:rsid w:val="002452C2"/>
    <w:rsid w:val="00250458"/>
    <w:rsid w:val="002537CB"/>
    <w:rsid w:val="00256813"/>
    <w:rsid w:val="00263F3B"/>
    <w:rsid w:val="00265ED9"/>
    <w:rsid w:val="00266C7B"/>
    <w:rsid w:val="00267A46"/>
    <w:rsid w:val="00271F9C"/>
    <w:rsid w:val="0027397C"/>
    <w:rsid w:val="0027613C"/>
    <w:rsid w:val="00276AB1"/>
    <w:rsid w:val="00280BE2"/>
    <w:rsid w:val="0028562B"/>
    <w:rsid w:val="00285A6D"/>
    <w:rsid w:val="00285CFC"/>
    <w:rsid w:val="002900AF"/>
    <w:rsid w:val="00295187"/>
    <w:rsid w:val="00295D6F"/>
    <w:rsid w:val="0029668C"/>
    <w:rsid w:val="002A6EDC"/>
    <w:rsid w:val="002A71D3"/>
    <w:rsid w:val="002B0B0A"/>
    <w:rsid w:val="002B107E"/>
    <w:rsid w:val="002B2D25"/>
    <w:rsid w:val="002B2D45"/>
    <w:rsid w:val="002B5B37"/>
    <w:rsid w:val="002C2CF5"/>
    <w:rsid w:val="002D175B"/>
    <w:rsid w:val="002D19E5"/>
    <w:rsid w:val="002D22DC"/>
    <w:rsid w:val="002D2A16"/>
    <w:rsid w:val="002D59DB"/>
    <w:rsid w:val="002D6569"/>
    <w:rsid w:val="002D7124"/>
    <w:rsid w:val="002E2986"/>
    <w:rsid w:val="002E3E18"/>
    <w:rsid w:val="002E47B2"/>
    <w:rsid w:val="002E5369"/>
    <w:rsid w:val="002E59FA"/>
    <w:rsid w:val="002E7240"/>
    <w:rsid w:val="002F0968"/>
    <w:rsid w:val="002F0C68"/>
    <w:rsid w:val="002F1773"/>
    <w:rsid w:val="002F2503"/>
    <w:rsid w:val="002F2AA2"/>
    <w:rsid w:val="002F3164"/>
    <w:rsid w:val="002F56F7"/>
    <w:rsid w:val="002F6595"/>
    <w:rsid w:val="003048EB"/>
    <w:rsid w:val="003064C6"/>
    <w:rsid w:val="003108FF"/>
    <w:rsid w:val="003129BC"/>
    <w:rsid w:val="00320751"/>
    <w:rsid w:val="00320BE0"/>
    <w:rsid w:val="00321CC4"/>
    <w:rsid w:val="00324707"/>
    <w:rsid w:val="00324C2D"/>
    <w:rsid w:val="003314AE"/>
    <w:rsid w:val="00331B7E"/>
    <w:rsid w:val="00332CE2"/>
    <w:rsid w:val="00333547"/>
    <w:rsid w:val="0033452E"/>
    <w:rsid w:val="00334D1F"/>
    <w:rsid w:val="00336470"/>
    <w:rsid w:val="00337B75"/>
    <w:rsid w:val="003413F8"/>
    <w:rsid w:val="00341753"/>
    <w:rsid w:val="00342FDF"/>
    <w:rsid w:val="003447F8"/>
    <w:rsid w:val="0034499D"/>
    <w:rsid w:val="00344AD7"/>
    <w:rsid w:val="003477BB"/>
    <w:rsid w:val="00352848"/>
    <w:rsid w:val="0035433D"/>
    <w:rsid w:val="003559A3"/>
    <w:rsid w:val="00355F6A"/>
    <w:rsid w:val="00361AC4"/>
    <w:rsid w:val="00365CB6"/>
    <w:rsid w:val="00366ED2"/>
    <w:rsid w:val="0036718E"/>
    <w:rsid w:val="00370122"/>
    <w:rsid w:val="00371A11"/>
    <w:rsid w:val="0037314D"/>
    <w:rsid w:val="00373B2D"/>
    <w:rsid w:val="00374671"/>
    <w:rsid w:val="00375FF1"/>
    <w:rsid w:val="00380ED8"/>
    <w:rsid w:val="00384B57"/>
    <w:rsid w:val="00385171"/>
    <w:rsid w:val="00385246"/>
    <w:rsid w:val="00385787"/>
    <w:rsid w:val="0039062C"/>
    <w:rsid w:val="00391326"/>
    <w:rsid w:val="003913FD"/>
    <w:rsid w:val="00394948"/>
    <w:rsid w:val="00394C03"/>
    <w:rsid w:val="003A2C85"/>
    <w:rsid w:val="003A531C"/>
    <w:rsid w:val="003A5AC0"/>
    <w:rsid w:val="003A7A38"/>
    <w:rsid w:val="003B04C6"/>
    <w:rsid w:val="003B0790"/>
    <w:rsid w:val="003B2E9B"/>
    <w:rsid w:val="003B4D3D"/>
    <w:rsid w:val="003B55B0"/>
    <w:rsid w:val="003B5E43"/>
    <w:rsid w:val="003B62C9"/>
    <w:rsid w:val="003B6782"/>
    <w:rsid w:val="003B6862"/>
    <w:rsid w:val="003B7963"/>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3B0E"/>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2923"/>
    <w:rsid w:val="004253EE"/>
    <w:rsid w:val="0042555C"/>
    <w:rsid w:val="0042586B"/>
    <w:rsid w:val="00430A76"/>
    <w:rsid w:val="00430F28"/>
    <w:rsid w:val="0043512A"/>
    <w:rsid w:val="00436D22"/>
    <w:rsid w:val="00443162"/>
    <w:rsid w:val="004509BD"/>
    <w:rsid w:val="00450E63"/>
    <w:rsid w:val="00451757"/>
    <w:rsid w:val="00451BA9"/>
    <w:rsid w:val="004534A4"/>
    <w:rsid w:val="00454ED4"/>
    <w:rsid w:val="00456364"/>
    <w:rsid w:val="00456B16"/>
    <w:rsid w:val="00460BB2"/>
    <w:rsid w:val="00463335"/>
    <w:rsid w:val="004649AF"/>
    <w:rsid w:val="00471E8E"/>
    <w:rsid w:val="00471FD4"/>
    <w:rsid w:val="004721F8"/>
    <w:rsid w:val="00472AD8"/>
    <w:rsid w:val="00477270"/>
    <w:rsid w:val="00477ADE"/>
    <w:rsid w:val="00481569"/>
    <w:rsid w:val="00481741"/>
    <w:rsid w:val="00482C2A"/>
    <w:rsid w:val="00483B5D"/>
    <w:rsid w:val="00483D63"/>
    <w:rsid w:val="004843C8"/>
    <w:rsid w:val="00485293"/>
    <w:rsid w:val="00487A7F"/>
    <w:rsid w:val="004925B9"/>
    <w:rsid w:val="00492BF5"/>
    <w:rsid w:val="00494DE2"/>
    <w:rsid w:val="00494EF9"/>
    <w:rsid w:val="00496229"/>
    <w:rsid w:val="00496595"/>
    <w:rsid w:val="00496FF0"/>
    <w:rsid w:val="004979D8"/>
    <w:rsid w:val="004A31B8"/>
    <w:rsid w:val="004A6C6B"/>
    <w:rsid w:val="004A6E56"/>
    <w:rsid w:val="004B077E"/>
    <w:rsid w:val="004B078A"/>
    <w:rsid w:val="004B094D"/>
    <w:rsid w:val="004B1826"/>
    <w:rsid w:val="004B4172"/>
    <w:rsid w:val="004B6E3D"/>
    <w:rsid w:val="004C3431"/>
    <w:rsid w:val="004C3C32"/>
    <w:rsid w:val="004D0ADB"/>
    <w:rsid w:val="004D1325"/>
    <w:rsid w:val="004E061F"/>
    <w:rsid w:val="004E0DEC"/>
    <w:rsid w:val="004E2ADE"/>
    <w:rsid w:val="004E39E4"/>
    <w:rsid w:val="004E3FFF"/>
    <w:rsid w:val="004E4E33"/>
    <w:rsid w:val="004E561F"/>
    <w:rsid w:val="004E6253"/>
    <w:rsid w:val="004E767D"/>
    <w:rsid w:val="004F0A28"/>
    <w:rsid w:val="004F1370"/>
    <w:rsid w:val="004F254C"/>
    <w:rsid w:val="004F26A5"/>
    <w:rsid w:val="004F4540"/>
    <w:rsid w:val="004F69E5"/>
    <w:rsid w:val="005006F2"/>
    <w:rsid w:val="00500D7F"/>
    <w:rsid w:val="0050301A"/>
    <w:rsid w:val="0050529C"/>
    <w:rsid w:val="00507CCC"/>
    <w:rsid w:val="00510511"/>
    <w:rsid w:val="00514461"/>
    <w:rsid w:val="00520642"/>
    <w:rsid w:val="005218E9"/>
    <w:rsid w:val="00524569"/>
    <w:rsid w:val="005248D9"/>
    <w:rsid w:val="00525ABA"/>
    <w:rsid w:val="00527DE7"/>
    <w:rsid w:val="00531918"/>
    <w:rsid w:val="0053297F"/>
    <w:rsid w:val="00532E27"/>
    <w:rsid w:val="00533AE2"/>
    <w:rsid w:val="00534C21"/>
    <w:rsid w:val="00535396"/>
    <w:rsid w:val="00535BA0"/>
    <w:rsid w:val="00537EF1"/>
    <w:rsid w:val="0054060D"/>
    <w:rsid w:val="00540AEA"/>
    <w:rsid w:val="00541AB8"/>
    <w:rsid w:val="00541B15"/>
    <w:rsid w:val="0054296B"/>
    <w:rsid w:val="005444B9"/>
    <w:rsid w:val="00544901"/>
    <w:rsid w:val="00545A8B"/>
    <w:rsid w:val="00550959"/>
    <w:rsid w:val="005516FE"/>
    <w:rsid w:val="00551F17"/>
    <w:rsid w:val="00554664"/>
    <w:rsid w:val="005561CE"/>
    <w:rsid w:val="00556C8F"/>
    <w:rsid w:val="00557570"/>
    <w:rsid w:val="00557D8C"/>
    <w:rsid w:val="0056397B"/>
    <w:rsid w:val="0056700E"/>
    <w:rsid w:val="00567C3E"/>
    <w:rsid w:val="0057080E"/>
    <w:rsid w:val="00570923"/>
    <w:rsid w:val="005719B9"/>
    <w:rsid w:val="0057470D"/>
    <w:rsid w:val="005753AB"/>
    <w:rsid w:val="005756F9"/>
    <w:rsid w:val="00576174"/>
    <w:rsid w:val="005766C2"/>
    <w:rsid w:val="00580564"/>
    <w:rsid w:val="0058188E"/>
    <w:rsid w:val="0058507D"/>
    <w:rsid w:val="00587C3E"/>
    <w:rsid w:val="00591CF4"/>
    <w:rsid w:val="005955E8"/>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1A08"/>
    <w:rsid w:val="005C3C2C"/>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4D6B"/>
    <w:rsid w:val="005F52F0"/>
    <w:rsid w:val="005F7078"/>
    <w:rsid w:val="00600A9D"/>
    <w:rsid w:val="00606F28"/>
    <w:rsid w:val="006078FB"/>
    <w:rsid w:val="00610220"/>
    <w:rsid w:val="006104CF"/>
    <w:rsid w:val="00612F85"/>
    <w:rsid w:val="006162B3"/>
    <w:rsid w:val="00616CEB"/>
    <w:rsid w:val="0062521B"/>
    <w:rsid w:val="0062566D"/>
    <w:rsid w:val="00626A77"/>
    <w:rsid w:val="00627DBD"/>
    <w:rsid w:val="00630A38"/>
    <w:rsid w:val="00631C53"/>
    <w:rsid w:val="00634122"/>
    <w:rsid w:val="00635911"/>
    <w:rsid w:val="00635BAF"/>
    <w:rsid w:val="00636BFB"/>
    <w:rsid w:val="00640557"/>
    <w:rsid w:val="0064112C"/>
    <w:rsid w:val="00644AD5"/>
    <w:rsid w:val="006461BB"/>
    <w:rsid w:val="00646948"/>
    <w:rsid w:val="00646BE6"/>
    <w:rsid w:val="00647011"/>
    <w:rsid w:val="0065200B"/>
    <w:rsid w:val="00653192"/>
    <w:rsid w:val="00653442"/>
    <w:rsid w:val="00654BE4"/>
    <w:rsid w:val="0065504D"/>
    <w:rsid w:val="00656302"/>
    <w:rsid w:val="00657386"/>
    <w:rsid w:val="00660EE5"/>
    <w:rsid w:val="00661088"/>
    <w:rsid w:val="0066173C"/>
    <w:rsid w:val="00661C2A"/>
    <w:rsid w:val="006630E0"/>
    <w:rsid w:val="006643FE"/>
    <w:rsid w:val="00664E5B"/>
    <w:rsid w:val="0066518B"/>
    <w:rsid w:val="00666919"/>
    <w:rsid w:val="00670F37"/>
    <w:rsid w:val="00672E7C"/>
    <w:rsid w:val="00675D60"/>
    <w:rsid w:val="00677CDB"/>
    <w:rsid w:val="00687887"/>
    <w:rsid w:val="00692AB4"/>
    <w:rsid w:val="0069414A"/>
    <w:rsid w:val="006A4814"/>
    <w:rsid w:val="006A7918"/>
    <w:rsid w:val="006B037A"/>
    <w:rsid w:val="006B06BF"/>
    <w:rsid w:val="006B1391"/>
    <w:rsid w:val="006B6510"/>
    <w:rsid w:val="006C0939"/>
    <w:rsid w:val="006C1FFA"/>
    <w:rsid w:val="006C29EA"/>
    <w:rsid w:val="006C4812"/>
    <w:rsid w:val="006C607F"/>
    <w:rsid w:val="006C7429"/>
    <w:rsid w:val="006D0A0A"/>
    <w:rsid w:val="006D21C5"/>
    <w:rsid w:val="006D49B3"/>
    <w:rsid w:val="006D68A2"/>
    <w:rsid w:val="006E1CA8"/>
    <w:rsid w:val="006E6054"/>
    <w:rsid w:val="006E6B33"/>
    <w:rsid w:val="006E79EC"/>
    <w:rsid w:val="006E7F4F"/>
    <w:rsid w:val="006F1673"/>
    <w:rsid w:val="006F7496"/>
    <w:rsid w:val="00700ECB"/>
    <w:rsid w:val="007109F4"/>
    <w:rsid w:val="00713C77"/>
    <w:rsid w:val="00716B09"/>
    <w:rsid w:val="00721E35"/>
    <w:rsid w:val="00722A85"/>
    <w:rsid w:val="007254D8"/>
    <w:rsid w:val="007271A3"/>
    <w:rsid w:val="00733988"/>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21E4"/>
    <w:rsid w:val="007A33A6"/>
    <w:rsid w:val="007A6E0B"/>
    <w:rsid w:val="007B01C7"/>
    <w:rsid w:val="007B1C61"/>
    <w:rsid w:val="007B24E2"/>
    <w:rsid w:val="007B2A87"/>
    <w:rsid w:val="007B58F6"/>
    <w:rsid w:val="007B5C03"/>
    <w:rsid w:val="007C1F6E"/>
    <w:rsid w:val="007C599A"/>
    <w:rsid w:val="007C6A2B"/>
    <w:rsid w:val="007D4506"/>
    <w:rsid w:val="007D4A05"/>
    <w:rsid w:val="007D5A75"/>
    <w:rsid w:val="007E0D20"/>
    <w:rsid w:val="007E1C72"/>
    <w:rsid w:val="007E260E"/>
    <w:rsid w:val="007E26F1"/>
    <w:rsid w:val="007E5BBC"/>
    <w:rsid w:val="007E762A"/>
    <w:rsid w:val="007F17C4"/>
    <w:rsid w:val="007F40B6"/>
    <w:rsid w:val="007F4C3F"/>
    <w:rsid w:val="007F5BBF"/>
    <w:rsid w:val="00800C18"/>
    <w:rsid w:val="00803189"/>
    <w:rsid w:val="00806FA9"/>
    <w:rsid w:val="00813D39"/>
    <w:rsid w:val="0081475A"/>
    <w:rsid w:val="00814ED9"/>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E42"/>
    <w:rsid w:val="00863AA2"/>
    <w:rsid w:val="008648A9"/>
    <w:rsid w:val="008657FE"/>
    <w:rsid w:val="00866DC4"/>
    <w:rsid w:val="0087132F"/>
    <w:rsid w:val="00871823"/>
    <w:rsid w:val="008728F9"/>
    <w:rsid w:val="008729A4"/>
    <w:rsid w:val="0087342B"/>
    <w:rsid w:val="00873FC9"/>
    <w:rsid w:val="008768A4"/>
    <w:rsid w:val="008844F1"/>
    <w:rsid w:val="00884552"/>
    <w:rsid w:val="008858C7"/>
    <w:rsid w:val="00892A5D"/>
    <w:rsid w:val="00893ACF"/>
    <w:rsid w:val="008A1535"/>
    <w:rsid w:val="008A2DD0"/>
    <w:rsid w:val="008A52FB"/>
    <w:rsid w:val="008A7D0C"/>
    <w:rsid w:val="008B2331"/>
    <w:rsid w:val="008B2DF5"/>
    <w:rsid w:val="008B4030"/>
    <w:rsid w:val="008B5A3F"/>
    <w:rsid w:val="008B5C45"/>
    <w:rsid w:val="008B6836"/>
    <w:rsid w:val="008C0B64"/>
    <w:rsid w:val="008C214E"/>
    <w:rsid w:val="008C2C8E"/>
    <w:rsid w:val="008C3D69"/>
    <w:rsid w:val="008C524B"/>
    <w:rsid w:val="008D020B"/>
    <w:rsid w:val="008D069F"/>
    <w:rsid w:val="008D0878"/>
    <w:rsid w:val="008D0C60"/>
    <w:rsid w:val="008D1AEA"/>
    <w:rsid w:val="008D2324"/>
    <w:rsid w:val="008D28D7"/>
    <w:rsid w:val="008D3482"/>
    <w:rsid w:val="008E1302"/>
    <w:rsid w:val="008E1E86"/>
    <w:rsid w:val="008E222C"/>
    <w:rsid w:val="008E3141"/>
    <w:rsid w:val="008E5FE5"/>
    <w:rsid w:val="008F0F78"/>
    <w:rsid w:val="008F1908"/>
    <w:rsid w:val="008F1BF5"/>
    <w:rsid w:val="008F1CA1"/>
    <w:rsid w:val="008F70C0"/>
    <w:rsid w:val="00901185"/>
    <w:rsid w:val="009019DC"/>
    <w:rsid w:val="00901E3C"/>
    <w:rsid w:val="00905E67"/>
    <w:rsid w:val="009062A9"/>
    <w:rsid w:val="00906E7C"/>
    <w:rsid w:val="00911216"/>
    <w:rsid w:val="00912006"/>
    <w:rsid w:val="009121E5"/>
    <w:rsid w:val="00912F61"/>
    <w:rsid w:val="0091412E"/>
    <w:rsid w:val="00915995"/>
    <w:rsid w:val="00920AAC"/>
    <w:rsid w:val="0092515C"/>
    <w:rsid w:val="009272B7"/>
    <w:rsid w:val="00927D64"/>
    <w:rsid w:val="00930E9D"/>
    <w:rsid w:val="00931484"/>
    <w:rsid w:val="00933F3C"/>
    <w:rsid w:val="009349E5"/>
    <w:rsid w:val="00936BFE"/>
    <w:rsid w:val="0094044D"/>
    <w:rsid w:val="00941B62"/>
    <w:rsid w:val="00943CD3"/>
    <w:rsid w:val="009462A5"/>
    <w:rsid w:val="009533AB"/>
    <w:rsid w:val="0095546A"/>
    <w:rsid w:val="009571BC"/>
    <w:rsid w:val="0096026A"/>
    <w:rsid w:val="009614A0"/>
    <w:rsid w:val="00962080"/>
    <w:rsid w:val="009635C1"/>
    <w:rsid w:val="00963616"/>
    <w:rsid w:val="00965807"/>
    <w:rsid w:val="009667C3"/>
    <w:rsid w:val="009676A5"/>
    <w:rsid w:val="009702F3"/>
    <w:rsid w:val="00972B50"/>
    <w:rsid w:val="00974519"/>
    <w:rsid w:val="00975A9E"/>
    <w:rsid w:val="009803D2"/>
    <w:rsid w:val="0098084D"/>
    <w:rsid w:val="00981885"/>
    <w:rsid w:val="00983586"/>
    <w:rsid w:val="00985D47"/>
    <w:rsid w:val="00990DB0"/>
    <w:rsid w:val="00994638"/>
    <w:rsid w:val="00994AEB"/>
    <w:rsid w:val="009960EB"/>
    <w:rsid w:val="00996411"/>
    <w:rsid w:val="009A16C3"/>
    <w:rsid w:val="009A1798"/>
    <w:rsid w:val="009A19F9"/>
    <w:rsid w:val="009A2BC3"/>
    <w:rsid w:val="009A2DDA"/>
    <w:rsid w:val="009A50E6"/>
    <w:rsid w:val="009A533C"/>
    <w:rsid w:val="009A59F3"/>
    <w:rsid w:val="009A5C3A"/>
    <w:rsid w:val="009A7DC7"/>
    <w:rsid w:val="009B409E"/>
    <w:rsid w:val="009B6E93"/>
    <w:rsid w:val="009C0657"/>
    <w:rsid w:val="009C1E06"/>
    <w:rsid w:val="009D34BF"/>
    <w:rsid w:val="009D6173"/>
    <w:rsid w:val="009E2A1B"/>
    <w:rsid w:val="009E3E4D"/>
    <w:rsid w:val="009E4086"/>
    <w:rsid w:val="009E4D6D"/>
    <w:rsid w:val="009E5CCE"/>
    <w:rsid w:val="009F01C3"/>
    <w:rsid w:val="009F1C25"/>
    <w:rsid w:val="009F45D0"/>
    <w:rsid w:val="009F6609"/>
    <w:rsid w:val="009F6853"/>
    <w:rsid w:val="009F74E8"/>
    <w:rsid w:val="00A00040"/>
    <w:rsid w:val="00A031B0"/>
    <w:rsid w:val="00A03519"/>
    <w:rsid w:val="00A05CCC"/>
    <w:rsid w:val="00A073EE"/>
    <w:rsid w:val="00A07DD6"/>
    <w:rsid w:val="00A10A70"/>
    <w:rsid w:val="00A110F1"/>
    <w:rsid w:val="00A14FE3"/>
    <w:rsid w:val="00A1791D"/>
    <w:rsid w:val="00A17AD0"/>
    <w:rsid w:val="00A2131E"/>
    <w:rsid w:val="00A216A7"/>
    <w:rsid w:val="00A22817"/>
    <w:rsid w:val="00A2408C"/>
    <w:rsid w:val="00A24907"/>
    <w:rsid w:val="00A27ED9"/>
    <w:rsid w:val="00A3104E"/>
    <w:rsid w:val="00A33BF4"/>
    <w:rsid w:val="00A341B7"/>
    <w:rsid w:val="00A4075B"/>
    <w:rsid w:val="00A428E4"/>
    <w:rsid w:val="00A428EF"/>
    <w:rsid w:val="00A4316F"/>
    <w:rsid w:val="00A4491A"/>
    <w:rsid w:val="00A4679F"/>
    <w:rsid w:val="00A50F2A"/>
    <w:rsid w:val="00A50F36"/>
    <w:rsid w:val="00A524DE"/>
    <w:rsid w:val="00A5262D"/>
    <w:rsid w:val="00A56003"/>
    <w:rsid w:val="00A619B5"/>
    <w:rsid w:val="00A630EC"/>
    <w:rsid w:val="00A70984"/>
    <w:rsid w:val="00A70E89"/>
    <w:rsid w:val="00A71082"/>
    <w:rsid w:val="00A77CCE"/>
    <w:rsid w:val="00A805B8"/>
    <w:rsid w:val="00A80AED"/>
    <w:rsid w:val="00A8405A"/>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14F1F"/>
    <w:rsid w:val="00B17AC0"/>
    <w:rsid w:val="00B26D1E"/>
    <w:rsid w:val="00B32ABB"/>
    <w:rsid w:val="00B32E1C"/>
    <w:rsid w:val="00B375C0"/>
    <w:rsid w:val="00B40A00"/>
    <w:rsid w:val="00B41B8D"/>
    <w:rsid w:val="00B43813"/>
    <w:rsid w:val="00B44E0F"/>
    <w:rsid w:val="00B44E2B"/>
    <w:rsid w:val="00B53CB2"/>
    <w:rsid w:val="00B545E3"/>
    <w:rsid w:val="00B574D0"/>
    <w:rsid w:val="00B57588"/>
    <w:rsid w:val="00B618FA"/>
    <w:rsid w:val="00B61C02"/>
    <w:rsid w:val="00B641B2"/>
    <w:rsid w:val="00B668BE"/>
    <w:rsid w:val="00B700FA"/>
    <w:rsid w:val="00B72DB2"/>
    <w:rsid w:val="00B74341"/>
    <w:rsid w:val="00B76304"/>
    <w:rsid w:val="00B76427"/>
    <w:rsid w:val="00B778ED"/>
    <w:rsid w:val="00B80F62"/>
    <w:rsid w:val="00B81B00"/>
    <w:rsid w:val="00B84753"/>
    <w:rsid w:val="00B90A24"/>
    <w:rsid w:val="00B92898"/>
    <w:rsid w:val="00B931D5"/>
    <w:rsid w:val="00B93B7E"/>
    <w:rsid w:val="00B93D68"/>
    <w:rsid w:val="00B94DC8"/>
    <w:rsid w:val="00B94F1D"/>
    <w:rsid w:val="00B94FBD"/>
    <w:rsid w:val="00B97AC2"/>
    <w:rsid w:val="00BA173E"/>
    <w:rsid w:val="00BA4B5A"/>
    <w:rsid w:val="00BA70C1"/>
    <w:rsid w:val="00BB4B88"/>
    <w:rsid w:val="00BB50D0"/>
    <w:rsid w:val="00BB6D37"/>
    <w:rsid w:val="00BC0BD5"/>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1F8B"/>
    <w:rsid w:val="00C02A84"/>
    <w:rsid w:val="00C02DBE"/>
    <w:rsid w:val="00C02EAF"/>
    <w:rsid w:val="00C035A5"/>
    <w:rsid w:val="00C05472"/>
    <w:rsid w:val="00C05982"/>
    <w:rsid w:val="00C13EEC"/>
    <w:rsid w:val="00C148CE"/>
    <w:rsid w:val="00C16468"/>
    <w:rsid w:val="00C168BA"/>
    <w:rsid w:val="00C17904"/>
    <w:rsid w:val="00C21783"/>
    <w:rsid w:val="00C23BCB"/>
    <w:rsid w:val="00C23CE8"/>
    <w:rsid w:val="00C263FE"/>
    <w:rsid w:val="00C278EC"/>
    <w:rsid w:val="00C309B0"/>
    <w:rsid w:val="00C30DA7"/>
    <w:rsid w:val="00C33CAA"/>
    <w:rsid w:val="00C34507"/>
    <w:rsid w:val="00C34C1B"/>
    <w:rsid w:val="00C362BD"/>
    <w:rsid w:val="00C36F9E"/>
    <w:rsid w:val="00C37E52"/>
    <w:rsid w:val="00C42208"/>
    <w:rsid w:val="00C5272C"/>
    <w:rsid w:val="00C52B6D"/>
    <w:rsid w:val="00C52E94"/>
    <w:rsid w:val="00C54343"/>
    <w:rsid w:val="00C54A92"/>
    <w:rsid w:val="00C552C0"/>
    <w:rsid w:val="00C55913"/>
    <w:rsid w:val="00C55FE6"/>
    <w:rsid w:val="00C6359A"/>
    <w:rsid w:val="00C66483"/>
    <w:rsid w:val="00C706A1"/>
    <w:rsid w:val="00C71B3D"/>
    <w:rsid w:val="00C73EA3"/>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0F95"/>
    <w:rsid w:val="00D115E0"/>
    <w:rsid w:val="00D116F4"/>
    <w:rsid w:val="00D134D5"/>
    <w:rsid w:val="00D170C7"/>
    <w:rsid w:val="00D1799A"/>
    <w:rsid w:val="00D203C9"/>
    <w:rsid w:val="00D2151F"/>
    <w:rsid w:val="00D238C7"/>
    <w:rsid w:val="00D24040"/>
    <w:rsid w:val="00D26582"/>
    <w:rsid w:val="00D26594"/>
    <w:rsid w:val="00D26645"/>
    <w:rsid w:val="00D30623"/>
    <w:rsid w:val="00D34E4A"/>
    <w:rsid w:val="00D35457"/>
    <w:rsid w:val="00D35CDF"/>
    <w:rsid w:val="00D42337"/>
    <w:rsid w:val="00D435EC"/>
    <w:rsid w:val="00D43617"/>
    <w:rsid w:val="00D43D47"/>
    <w:rsid w:val="00D45211"/>
    <w:rsid w:val="00D5107F"/>
    <w:rsid w:val="00D51EEA"/>
    <w:rsid w:val="00D52AE5"/>
    <w:rsid w:val="00D55528"/>
    <w:rsid w:val="00D55F6E"/>
    <w:rsid w:val="00D56935"/>
    <w:rsid w:val="00D57A2C"/>
    <w:rsid w:val="00D602F0"/>
    <w:rsid w:val="00D60892"/>
    <w:rsid w:val="00D6371B"/>
    <w:rsid w:val="00D64B0D"/>
    <w:rsid w:val="00D65289"/>
    <w:rsid w:val="00D805D3"/>
    <w:rsid w:val="00D85385"/>
    <w:rsid w:val="00D92045"/>
    <w:rsid w:val="00D93737"/>
    <w:rsid w:val="00D9770E"/>
    <w:rsid w:val="00DA1C1E"/>
    <w:rsid w:val="00DA1E29"/>
    <w:rsid w:val="00DA2737"/>
    <w:rsid w:val="00DA580F"/>
    <w:rsid w:val="00DA592B"/>
    <w:rsid w:val="00DA5E98"/>
    <w:rsid w:val="00DA6860"/>
    <w:rsid w:val="00DB1F4E"/>
    <w:rsid w:val="00DB5338"/>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3A9E"/>
    <w:rsid w:val="00E153DE"/>
    <w:rsid w:val="00E162AC"/>
    <w:rsid w:val="00E208DA"/>
    <w:rsid w:val="00E21A25"/>
    <w:rsid w:val="00E21F92"/>
    <w:rsid w:val="00E229B2"/>
    <w:rsid w:val="00E3113A"/>
    <w:rsid w:val="00E34ECF"/>
    <w:rsid w:val="00E35D43"/>
    <w:rsid w:val="00E35D71"/>
    <w:rsid w:val="00E43EF6"/>
    <w:rsid w:val="00E46554"/>
    <w:rsid w:val="00E46C36"/>
    <w:rsid w:val="00E47427"/>
    <w:rsid w:val="00E47E94"/>
    <w:rsid w:val="00E5651F"/>
    <w:rsid w:val="00E57C3E"/>
    <w:rsid w:val="00E66004"/>
    <w:rsid w:val="00E668BC"/>
    <w:rsid w:val="00E67C7D"/>
    <w:rsid w:val="00E7004C"/>
    <w:rsid w:val="00E70F81"/>
    <w:rsid w:val="00E720D5"/>
    <w:rsid w:val="00E72DD6"/>
    <w:rsid w:val="00E7401A"/>
    <w:rsid w:val="00E76B87"/>
    <w:rsid w:val="00E7783D"/>
    <w:rsid w:val="00E77B96"/>
    <w:rsid w:val="00E814FF"/>
    <w:rsid w:val="00E86128"/>
    <w:rsid w:val="00E91BA9"/>
    <w:rsid w:val="00EA09FC"/>
    <w:rsid w:val="00EA6DEF"/>
    <w:rsid w:val="00EA7011"/>
    <w:rsid w:val="00EB39F6"/>
    <w:rsid w:val="00EB3C8E"/>
    <w:rsid w:val="00EB4DA0"/>
    <w:rsid w:val="00EB6851"/>
    <w:rsid w:val="00EC23F0"/>
    <w:rsid w:val="00EC5CA2"/>
    <w:rsid w:val="00ED1BA3"/>
    <w:rsid w:val="00ED35C6"/>
    <w:rsid w:val="00ED3893"/>
    <w:rsid w:val="00ED678E"/>
    <w:rsid w:val="00EE103C"/>
    <w:rsid w:val="00EE1374"/>
    <w:rsid w:val="00EE1663"/>
    <w:rsid w:val="00EE1FAA"/>
    <w:rsid w:val="00EE2298"/>
    <w:rsid w:val="00EE28AC"/>
    <w:rsid w:val="00EE4743"/>
    <w:rsid w:val="00EE6681"/>
    <w:rsid w:val="00EF0818"/>
    <w:rsid w:val="00EF09A4"/>
    <w:rsid w:val="00EF24C9"/>
    <w:rsid w:val="00EF2898"/>
    <w:rsid w:val="00EF3D96"/>
    <w:rsid w:val="00EF4AF3"/>
    <w:rsid w:val="00EF5DF3"/>
    <w:rsid w:val="00F01357"/>
    <w:rsid w:val="00F03105"/>
    <w:rsid w:val="00F03199"/>
    <w:rsid w:val="00F047C9"/>
    <w:rsid w:val="00F04891"/>
    <w:rsid w:val="00F0518C"/>
    <w:rsid w:val="00F06C2A"/>
    <w:rsid w:val="00F0718C"/>
    <w:rsid w:val="00F12448"/>
    <w:rsid w:val="00F12EB7"/>
    <w:rsid w:val="00F15359"/>
    <w:rsid w:val="00F16D53"/>
    <w:rsid w:val="00F21C2E"/>
    <w:rsid w:val="00F21D42"/>
    <w:rsid w:val="00F242D4"/>
    <w:rsid w:val="00F24FF4"/>
    <w:rsid w:val="00F30C86"/>
    <w:rsid w:val="00F329E0"/>
    <w:rsid w:val="00F35988"/>
    <w:rsid w:val="00F363EA"/>
    <w:rsid w:val="00F373B3"/>
    <w:rsid w:val="00F43368"/>
    <w:rsid w:val="00F43EC4"/>
    <w:rsid w:val="00F46BB4"/>
    <w:rsid w:val="00F4760A"/>
    <w:rsid w:val="00F47943"/>
    <w:rsid w:val="00F60496"/>
    <w:rsid w:val="00F604F7"/>
    <w:rsid w:val="00F619D6"/>
    <w:rsid w:val="00F622FC"/>
    <w:rsid w:val="00F636A5"/>
    <w:rsid w:val="00F64A99"/>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A64EF"/>
    <w:rsid w:val="00FB0ABC"/>
    <w:rsid w:val="00FB4FB5"/>
    <w:rsid w:val="00FB6BF7"/>
    <w:rsid w:val="00FB725D"/>
    <w:rsid w:val="00FC1527"/>
    <w:rsid w:val="00FC540F"/>
    <w:rsid w:val="00FC5736"/>
    <w:rsid w:val="00FC7A57"/>
    <w:rsid w:val="00FD2D88"/>
    <w:rsid w:val="00FD5BF2"/>
    <w:rsid w:val="00FD7CE0"/>
    <w:rsid w:val="00FD7F21"/>
    <w:rsid w:val="00FE1C3E"/>
    <w:rsid w:val="00FE5FAB"/>
    <w:rsid w:val="00FE6869"/>
    <w:rsid w:val="00FF0834"/>
    <w:rsid w:val="00FF17FC"/>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rap-style:none;mso-position-vertical-relative:line" fillcolor="yellow">
      <v:fill color="yellow"/>
      <v:textbox style="mso-fit-shape-to-text:t"/>
    </o:shapedefaults>
    <o:shapelayout v:ext="edit">
      <o:idmap v:ext="edit" data="2"/>
    </o:shapelayout>
  </w:shapeDefaults>
  <w:decimalSymbol w:val="."/>
  <w:listSeparator w:val=","/>
  <w14:docId w14:val="4C8DECBF"/>
  <w15:docId w15:val="{8B5FE6F9-F872-4889-B204-D2A177C5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E3C"/>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PlainText">
    <w:name w:val="Plain Text"/>
    <w:basedOn w:val="Normal"/>
    <w:link w:val="PlainTextChar"/>
    <w:uiPriority w:val="99"/>
    <w:unhideWhenUsed/>
    <w:rsid w:val="009635C1"/>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635C1"/>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527DE7"/>
    <w:rPr>
      <w:sz w:val="16"/>
      <w:szCs w:val="16"/>
    </w:rPr>
  </w:style>
  <w:style w:type="paragraph" w:styleId="CommentText">
    <w:name w:val="annotation text"/>
    <w:basedOn w:val="Normal"/>
    <w:link w:val="CommentTextChar"/>
    <w:uiPriority w:val="99"/>
    <w:semiHidden/>
    <w:unhideWhenUsed/>
    <w:rsid w:val="00527DE7"/>
    <w:rPr>
      <w:sz w:val="20"/>
      <w:szCs w:val="20"/>
    </w:rPr>
  </w:style>
  <w:style w:type="character" w:customStyle="1" w:styleId="CommentTextChar">
    <w:name w:val="Comment Text Char"/>
    <w:basedOn w:val="DefaultParagraphFont"/>
    <w:link w:val="CommentText"/>
    <w:uiPriority w:val="99"/>
    <w:semiHidden/>
    <w:rsid w:val="00527DE7"/>
  </w:style>
  <w:style w:type="paragraph" w:styleId="CommentSubject">
    <w:name w:val="annotation subject"/>
    <w:basedOn w:val="CommentText"/>
    <w:next w:val="CommentText"/>
    <w:link w:val="CommentSubjectChar"/>
    <w:uiPriority w:val="99"/>
    <w:semiHidden/>
    <w:unhideWhenUsed/>
    <w:rsid w:val="00527DE7"/>
    <w:rPr>
      <w:b/>
      <w:bCs/>
    </w:rPr>
  </w:style>
  <w:style w:type="character" w:customStyle="1" w:styleId="CommentSubjectChar">
    <w:name w:val="Comment Subject Char"/>
    <w:basedOn w:val="CommentTextChar"/>
    <w:link w:val="CommentSubject"/>
    <w:uiPriority w:val="99"/>
    <w:semiHidden/>
    <w:rsid w:val="00527DE7"/>
    <w:rPr>
      <w:b/>
      <w:bCs/>
    </w:rPr>
  </w:style>
  <w:style w:type="character" w:styleId="FootnoteReference">
    <w:name w:val="footnote reference"/>
    <w:basedOn w:val="DefaultParagraphFont"/>
    <w:semiHidden/>
    <w:rsid w:val="00527DE7"/>
    <w:rPr>
      <w:position w:val="6"/>
      <w:sz w:val="16"/>
    </w:rPr>
  </w:style>
  <w:style w:type="paragraph" w:styleId="FootnoteText">
    <w:name w:val="footnote text"/>
    <w:basedOn w:val="Normal"/>
    <w:link w:val="FootnoteTextChar"/>
    <w:semiHidden/>
    <w:rsid w:val="00527DE7"/>
    <w:pPr>
      <w:jc w:val="left"/>
    </w:pPr>
    <w:rPr>
      <w:rFonts w:ascii="Palatino" w:hAnsi="Palatino"/>
      <w:color w:val="000000"/>
      <w:sz w:val="20"/>
      <w:szCs w:val="20"/>
    </w:rPr>
  </w:style>
  <w:style w:type="character" w:customStyle="1" w:styleId="FootnoteTextChar">
    <w:name w:val="Footnote Text Char"/>
    <w:basedOn w:val="DefaultParagraphFont"/>
    <w:link w:val="FootnoteText"/>
    <w:semiHidden/>
    <w:rsid w:val="00527DE7"/>
    <w:rPr>
      <w:rFonts w:ascii="Palatino" w:hAnsi="Palatino"/>
      <w:color w:val="000000"/>
    </w:rPr>
  </w:style>
  <w:style w:type="character" w:customStyle="1" w:styleId="apple-style-span">
    <w:name w:val="apple-style-span"/>
    <w:basedOn w:val="DefaultParagraphFont"/>
    <w:rsid w:val="002B2D25"/>
  </w:style>
  <w:style w:type="character" w:styleId="LineNumber">
    <w:name w:val="line number"/>
    <w:basedOn w:val="DefaultParagraphFont"/>
    <w:uiPriority w:val="99"/>
    <w:semiHidden/>
    <w:unhideWhenUsed/>
    <w:rsid w:val="0023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56920636">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6441479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27352966">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1031DD9-DED8-4284-A8D4-EA954389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16700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kswanson@fnal.gov</dc:creator>
  <cp:lastModifiedBy>TJ Sarlina</cp:lastModifiedBy>
  <cp:revision>15</cp:revision>
  <cp:lastPrinted>2019-04-04T14:30:00Z</cp:lastPrinted>
  <dcterms:created xsi:type="dcterms:W3CDTF">2022-02-01T18:52:00Z</dcterms:created>
  <dcterms:modified xsi:type="dcterms:W3CDTF">2022-08-26T17:13:00Z</dcterms:modified>
</cp:coreProperties>
</file>