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28782" w14:textId="77777777" w:rsidR="00142C80" w:rsidRDefault="00142C80" w:rsidP="00142C80">
      <w:pPr>
        <w:jc w:val="center"/>
        <w:rPr>
          <w:b/>
          <w:sz w:val="28"/>
          <w:szCs w:val="28"/>
        </w:rPr>
      </w:pPr>
    </w:p>
    <w:p w14:paraId="0F0553A1" w14:textId="21AE1138" w:rsidR="00142C80" w:rsidRDefault="00142C80" w:rsidP="00142C80">
      <w:pPr>
        <w:jc w:val="center"/>
        <w:rPr>
          <w:b/>
          <w:sz w:val="28"/>
          <w:szCs w:val="28"/>
        </w:rPr>
      </w:pPr>
    </w:p>
    <w:p w14:paraId="2DD75B39" w14:textId="39D3774B" w:rsidR="00D213D6" w:rsidRDefault="00D213D6" w:rsidP="00142C80">
      <w:pPr>
        <w:jc w:val="center"/>
        <w:rPr>
          <w:b/>
          <w:sz w:val="28"/>
          <w:szCs w:val="28"/>
        </w:rPr>
      </w:pPr>
    </w:p>
    <w:p w14:paraId="00944D12" w14:textId="77777777" w:rsidR="00D213D6" w:rsidRDefault="00D213D6" w:rsidP="00142C80">
      <w:pPr>
        <w:jc w:val="center"/>
        <w:rPr>
          <w:b/>
          <w:sz w:val="28"/>
          <w:szCs w:val="28"/>
        </w:rPr>
      </w:pPr>
    </w:p>
    <w:p w14:paraId="5A661350" w14:textId="4AA2B913" w:rsidR="00AB4D65" w:rsidRPr="00AB4D65" w:rsidRDefault="004F254C" w:rsidP="00AB4D65">
      <w:pPr>
        <w:ind w:right="36"/>
        <w:jc w:val="center"/>
        <w:rPr>
          <w:color w:val="000000"/>
          <w:sz w:val="36"/>
          <w:szCs w:val="36"/>
        </w:rPr>
      </w:pPr>
      <w:r w:rsidRPr="00AB4D65">
        <w:rPr>
          <w:color w:val="000000"/>
          <w:sz w:val="36"/>
          <w:szCs w:val="36"/>
        </w:rPr>
        <w:t xml:space="preserve">FESHM </w:t>
      </w:r>
      <w:r w:rsidR="00581849">
        <w:rPr>
          <w:color w:val="000000"/>
          <w:sz w:val="36"/>
          <w:szCs w:val="36"/>
        </w:rPr>
        <w:t xml:space="preserve">8011: </w:t>
      </w:r>
      <w:r w:rsidR="0073556E" w:rsidRPr="003844C0">
        <w:rPr>
          <w:color w:val="000000"/>
          <w:sz w:val="36"/>
          <w:szCs w:val="36"/>
        </w:rPr>
        <w:t xml:space="preserve">Groundwater </w:t>
      </w:r>
      <w:r w:rsidR="0073556E">
        <w:rPr>
          <w:color w:val="000000"/>
          <w:sz w:val="36"/>
          <w:szCs w:val="36"/>
        </w:rPr>
        <w:t xml:space="preserve">Protection: </w:t>
      </w:r>
      <w:r w:rsidR="003844C0">
        <w:rPr>
          <w:color w:val="000000"/>
          <w:sz w:val="36"/>
          <w:szCs w:val="36"/>
        </w:rPr>
        <w:t xml:space="preserve">Excavations and </w:t>
      </w:r>
      <w:r w:rsidR="00581849">
        <w:rPr>
          <w:color w:val="000000"/>
          <w:sz w:val="36"/>
          <w:szCs w:val="36"/>
        </w:rPr>
        <w:t>Wells</w:t>
      </w:r>
    </w:p>
    <w:p w14:paraId="2939E1EA" w14:textId="77777777" w:rsidR="00D213D6" w:rsidRPr="004F254C" w:rsidRDefault="00D213D6" w:rsidP="00D213D6">
      <w:pPr>
        <w:pStyle w:val="Heading1"/>
        <w:numPr>
          <w:ilvl w:val="0"/>
          <w:numId w:val="0"/>
        </w:numPr>
        <w:jc w:val="both"/>
        <w:rPr>
          <w:b w:val="0"/>
          <w:sz w:val="36"/>
          <w:szCs w:val="36"/>
        </w:rPr>
      </w:pPr>
    </w:p>
    <w:p w14:paraId="2C9C9112" w14:textId="77777777" w:rsidR="00D213D6" w:rsidRDefault="00D213D6" w:rsidP="00D213D6">
      <w:pPr>
        <w:jc w:val="center"/>
        <w:rPr>
          <w:b/>
          <w:sz w:val="28"/>
          <w:szCs w:val="28"/>
        </w:rPr>
      </w:pPr>
    </w:p>
    <w:p w14:paraId="0D7628D3" w14:textId="77777777" w:rsidR="00D213D6" w:rsidRDefault="00D213D6" w:rsidP="00D213D6">
      <w:pPr>
        <w:jc w:val="center"/>
        <w:rPr>
          <w:b/>
          <w:sz w:val="28"/>
          <w:szCs w:val="28"/>
        </w:rPr>
      </w:pPr>
    </w:p>
    <w:p w14:paraId="0908CC7F" w14:textId="77777777" w:rsidR="00D213D6" w:rsidRDefault="00D213D6" w:rsidP="00D213D6">
      <w:pPr>
        <w:jc w:val="center"/>
        <w:rPr>
          <w:b/>
          <w:sz w:val="28"/>
          <w:szCs w:val="28"/>
        </w:rPr>
      </w:pPr>
    </w:p>
    <w:p w14:paraId="26C7A045" w14:textId="77777777" w:rsidR="00DB5D5A" w:rsidRPr="008B60C4" w:rsidRDefault="00743FAE" w:rsidP="00DB5D5A">
      <w:pPr>
        <w:ind w:right="-140"/>
        <w:jc w:val="center"/>
        <w:rPr>
          <w:b/>
          <w:color w:val="000000"/>
        </w:rPr>
      </w:pPr>
      <w:r>
        <w:rPr>
          <w:b/>
          <w:color w:val="000000"/>
        </w:rPr>
        <w:t>Revision History</w:t>
      </w:r>
    </w:p>
    <w:p w14:paraId="535C2C90" w14:textId="77777777" w:rsidR="00DB5D5A" w:rsidRPr="008B60C4"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1587AE25" w14:textId="77777777" w:rsidTr="00D115E0">
        <w:tc>
          <w:tcPr>
            <w:tcW w:w="2088" w:type="dxa"/>
          </w:tcPr>
          <w:p w14:paraId="122684AE" w14:textId="77777777" w:rsidR="00743FAE" w:rsidRPr="00D115E0" w:rsidRDefault="00743FAE" w:rsidP="00BE75B5">
            <w:pPr>
              <w:tabs>
                <w:tab w:val="left" w:pos="720"/>
              </w:tabs>
              <w:jc w:val="center"/>
              <w:rPr>
                <w:b/>
              </w:rPr>
            </w:pPr>
            <w:r w:rsidRPr="00D115E0">
              <w:rPr>
                <w:b/>
              </w:rPr>
              <w:t>Author</w:t>
            </w:r>
          </w:p>
        </w:tc>
        <w:tc>
          <w:tcPr>
            <w:tcW w:w="4500" w:type="dxa"/>
          </w:tcPr>
          <w:p w14:paraId="6ABCBE0E" w14:textId="77777777" w:rsidR="00743FAE" w:rsidRPr="00D115E0" w:rsidRDefault="00743FAE" w:rsidP="00BE75B5">
            <w:pPr>
              <w:tabs>
                <w:tab w:val="left" w:pos="720"/>
              </w:tabs>
              <w:jc w:val="center"/>
              <w:rPr>
                <w:b/>
              </w:rPr>
            </w:pPr>
            <w:r w:rsidRPr="00D115E0">
              <w:rPr>
                <w:b/>
              </w:rPr>
              <w:t>Description of Change</w:t>
            </w:r>
          </w:p>
        </w:tc>
        <w:tc>
          <w:tcPr>
            <w:tcW w:w="2700" w:type="dxa"/>
          </w:tcPr>
          <w:p w14:paraId="65D41DCA" w14:textId="2F397425" w:rsidR="00743FAE" w:rsidRPr="00D115E0" w:rsidRDefault="00A305C6" w:rsidP="00BE75B5">
            <w:pPr>
              <w:tabs>
                <w:tab w:val="left" w:pos="720"/>
              </w:tabs>
              <w:jc w:val="center"/>
              <w:rPr>
                <w:b/>
              </w:rPr>
            </w:pPr>
            <w:r>
              <w:rPr>
                <w:b/>
              </w:rPr>
              <w:t xml:space="preserve">Revision </w:t>
            </w:r>
            <w:r w:rsidR="00743FAE" w:rsidRPr="00D115E0">
              <w:rPr>
                <w:b/>
              </w:rPr>
              <w:t>Date</w:t>
            </w:r>
          </w:p>
        </w:tc>
      </w:tr>
      <w:tr w:rsidR="005E098A" w:rsidRPr="00E331D3" w14:paraId="2DDA7D98" w14:textId="77777777" w:rsidTr="00581849">
        <w:trPr>
          <w:trHeight w:val="60"/>
        </w:trPr>
        <w:tc>
          <w:tcPr>
            <w:tcW w:w="2088" w:type="dxa"/>
          </w:tcPr>
          <w:p w14:paraId="5C7EB86E" w14:textId="15C7AA35" w:rsidR="005E098A" w:rsidRDefault="005E098A" w:rsidP="00D115E0">
            <w:pPr>
              <w:tabs>
                <w:tab w:val="left" w:pos="720"/>
              </w:tabs>
              <w:jc w:val="left"/>
            </w:pPr>
            <w:r>
              <w:t>Chris Greer</w:t>
            </w:r>
          </w:p>
        </w:tc>
        <w:tc>
          <w:tcPr>
            <w:tcW w:w="4500" w:type="dxa"/>
            <w:vAlign w:val="bottom"/>
          </w:tcPr>
          <w:p w14:paraId="0CAEDDEE" w14:textId="77777777" w:rsidR="005E098A" w:rsidRDefault="00E01FAB" w:rsidP="006D3C1F">
            <w:pPr>
              <w:pStyle w:val="ListParagraph"/>
              <w:numPr>
                <w:ilvl w:val="0"/>
                <w:numId w:val="9"/>
              </w:numPr>
              <w:tabs>
                <w:tab w:val="left" w:pos="360"/>
              </w:tabs>
              <w:jc w:val="left"/>
            </w:pPr>
            <w:r>
              <w:t>Removed DSO and replaced with POC in Responsibilities</w:t>
            </w:r>
          </w:p>
          <w:p w14:paraId="22CD3450" w14:textId="77777777" w:rsidR="00E01FAB" w:rsidRDefault="00E01FAB" w:rsidP="006D3C1F">
            <w:pPr>
              <w:pStyle w:val="ListParagraph"/>
              <w:numPr>
                <w:ilvl w:val="0"/>
                <w:numId w:val="9"/>
              </w:numPr>
              <w:tabs>
                <w:tab w:val="left" w:pos="360"/>
              </w:tabs>
              <w:jc w:val="left"/>
            </w:pPr>
            <w:r>
              <w:t>Removed Exceptions section and moved boring requirements to Procedures section</w:t>
            </w:r>
          </w:p>
          <w:p w14:paraId="0476287C" w14:textId="40AC9713" w:rsidR="00E01FAB" w:rsidRDefault="00E01FAB" w:rsidP="006D3C1F">
            <w:pPr>
              <w:pStyle w:val="ListParagraph"/>
              <w:numPr>
                <w:ilvl w:val="0"/>
                <w:numId w:val="9"/>
              </w:numPr>
              <w:tabs>
                <w:tab w:val="left" w:pos="360"/>
              </w:tabs>
              <w:jc w:val="left"/>
            </w:pPr>
            <w:r>
              <w:t>Specified EP Department for performance of inspections</w:t>
            </w:r>
          </w:p>
        </w:tc>
        <w:tc>
          <w:tcPr>
            <w:tcW w:w="2700" w:type="dxa"/>
          </w:tcPr>
          <w:p w14:paraId="43FBCC54" w14:textId="63B4154B" w:rsidR="005E098A" w:rsidRDefault="005E098A" w:rsidP="00DC0718">
            <w:pPr>
              <w:tabs>
                <w:tab w:val="left" w:pos="720"/>
              </w:tabs>
              <w:jc w:val="left"/>
            </w:pPr>
            <w:r>
              <w:t>November 202</w:t>
            </w:r>
            <w:r w:rsidR="00E01FAB">
              <w:t>1</w:t>
            </w:r>
          </w:p>
        </w:tc>
      </w:tr>
      <w:tr w:rsidR="00F14F23" w:rsidRPr="00E331D3" w14:paraId="535E960C" w14:textId="77777777" w:rsidTr="00581849">
        <w:trPr>
          <w:trHeight w:val="60"/>
        </w:trPr>
        <w:tc>
          <w:tcPr>
            <w:tcW w:w="2088" w:type="dxa"/>
          </w:tcPr>
          <w:p w14:paraId="218DB95F" w14:textId="42E7CA66" w:rsidR="00F14F23" w:rsidRDefault="00F14F23" w:rsidP="00D115E0">
            <w:pPr>
              <w:tabs>
                <w:tab w:val="left" w:pos="720"/>
              </w:tabs>
              <w:jc w:val="left"/>
            </w:pPr>
            <w:r>
              <w:t>Chris Greer</w:t>
            </w:r>
          </w:p>
        </w:tc>
        <w:tc>
          <w:tcPr>
            <w:tcW w:w="4500" w:type="dxa"/>
            <w:vAlign w:val="bottom"/>
          </w:tcPr>
          <w:p w14:paraId="550D23F0" w14:textId="2ECDA02A" w:rsidR="00F14F23" w:rsidRPr="0051040A" w:rsidRDefault="003B5959" w:rsidP="006D3C1F">
            <w:pPr>
              <w:pStyle w:val="ListParagraph"/>
              <w:numPr>
                <w:ilvl w:val="0"/>
                <w:numId w:val="9"/>
              </w:numPr>
              <w:tabs>
                <w:tab w:val="left" w:pos="360"/>
              </w:tabs>
              <w:jc w:val="left"/>
            </w:pPr>
            <w:r>
              <w:t xml:space="preserve">Addition of subsection 1.1: </w:t>
            </w:r>
            <w:r w:rsidR="00B86BB2">
              <w:t>Non-a</w:t>
            </w:r>
            <w:r>
              <w:t xml:space="preserve">pplication to SURF </w:t>
            </w:r>
          </w:p>
        </w:tc>
        <w:tc>
          <w:tcPr>
            <w:tcW w:w="2700" w:type="dxa"/>
          </w:tcPr>
          <w:p w14:paraId="74289164" w14:textId="31D19DCC" w:rsidR="00F14F23" w:rsidRDefault="00F14F23" w:rsidP="00DC0718">
            <w:pPr>
              <w:tabs>
                <w:tab w:val="left" w:pos="720"/>
              </w:tabs>
              <w:jc w:val="left"/>
            </w:pPr>
            <w:r>
              <w:t>January 2018</w:t>
            </w:r>
          </w:p>
        </w:tc>
      </w:tr>
      <w:tr w:rsidR="00743FAE" w:rsidRPr="00E331D3" w14:paraId="5AF6950F" w14:textId="77777777" w:rsidTr="00581849">
        <w:trPr>
          <w:trHeight w:val="60"/>
        </w:trPr>
        <w:tc>
          <w:tcPr>
            <w:tcW w:w="2088" w:type="dxa"/>
          </w:tcPr>
          <w:p w14:paraId="12C93363" w14:textId="77777777" w:rsidR="00743FAE" w:rsidRPr="00E331D3" w:rsidRDefault="00623745" w:rsidP="00D115E0">
            <w:pPr>
              <w:tabs>
                <w:tab w:val="left" w:pos="720"/>
              </w:tabs>
              <w:jc w:val="left"/>
            </w:pPr>
            <w:r>
              <w:t>Chris Greer</w:t>
            </w:r>
          </w:p>
        </w:tc>
        <w:tc>
          <w:tcPr>
            <w:tcW w:w="4500" w:type="dxa"/>
            <w:vAlign w:val="bottom"/>
          </w:tcPr>
          <w:p w14:paraId="4BC51204" w14:textId="77777777" w:rsidR="00623745" w:rsidRPr="0051040A" w:rsidRDefault="00623745" w:rsidP="006D3C1F">
            <w:pPr>
              <w:pStyle w:val="ListParagraph"/>
              <w:numPr>
                <w:ilvl w:val="0"/>
                <w:numId w:val="9"/>
              </w:numPr>
              <w:tabs>
                <w:tab w:val="left" w:pos="360"/>
              </w:tabs>
              <w:jc w:val="left"/>
            </w:pPr>
            <w:r w:rsidRPr="0051040A">
              <w:t xml:space="preserve">Title and text </w:t>
            </w:r>
            <w:r w:rsidR="0051040A">
              <w:t>changes</w:t>
            </w:r>
            <w:r w:rsidRPr="0051040A">
              <w:t xml:space="preserve"> to include non-monitoring well </w:t>
            </w:r>
            <w:r w:rsidR="0051040A">
              <w:t xml:space="preserve">impact on </w:t>
            </w:r>
            <w:r w:rsidR="00CA60B4" w:rsidRPr="0051040A">
              <w:t>groundwater</w:t>
            </w:r>
            <w:r w:rsidRPr="0051040A">
              <w:t xml:space="preserve"> zones;</w:t>
            </w:r>
          </w:p>
          <w:p w14:paraId="6250EE01" w14:textId="77777777" w:rsidR="0051040A" w:rsidRPr="0051040A" w:rsidRDefault="0051040A" w:rsidP="006D3C1F">
            <w:pPr>
              <w:pStyle w:val="ListParagraph"/>
              <w:numPr>
                <w:ilvl w:val="0"/>
                <w:numId w:val="9"/>
              </w:numPr>
              <w:tabs>
                <w:tab w:val="left" w:pos="360"/>
              </w:tabs>
              <w:contextualSpacing w:val="0"/>
              <w:jc w:val="left"/>
            </w:pPr>
            <w:r w:rsidRPr="0051040A">
              <w:t>Updated the chapter to reflect the change of D/S/C ESH Groups to Division Safety Officer due to the centralization of the ESH&amp;Q section</w:t>
            </w:r>
          </w:p>
          <w:p w14:paraId="55C7924D" w14:textId="77777777" w:rsidR="0051040A" w:rsidRPr="0051040A" w:rsidRDefault="0051040A" w:rsidP="006D3C1F">
            <w:pPr>
              <w:pStyle w:val="ListParagraph"/>
              <w:numPr>
                <w:ilvl w:val="0"/>
                <w:numId w:val="9"/>
              </w:numPr>
              <w:tabs>
                <w:tab w:val="left" w:pos="360"/>
              </w:tabs>
              <w:contextualSpacing w:val="0"/>
              <w:jc w:val="left"/>
            </w:pPr>
            <w:r w:rsidRPr="0051040A">
              <w:t>Changes in the personnel responsibilities due to the ESH&amp;Q centralization</w:t>
            </w:r>
          </w:p>
          <w:p w14:paraId="64446A10" w14:textId="77777777" w:rsidR="00743FAE" w:rsidRPr="0051040A" w:rsidRDefault="00623745" w:rsidP="006D3C1F">
            <w:pPr>
              <w:pStyle w:val="ListParagraph"/>
              <w:numPr>
                <w:ilvl w:val="0"/>
                <w:numId w:val="9"/>
              </w:numPr>
              <w:tabs>
                <w:tab w:val="left" w:pos="360"/>
              </w:tabs>
              <w:jc w:val="left"/>
            </w:pPr>
            <w:r w:rsidRPr="0051040A">
              <w:t xml:space="preserve">Added references to the Environmental Review Form </w:t>
            </w:r>
            <w:r w:rsidR="00202A15" w:rsidRPr="0051040A">
              <w:t xml:space="preserve">(ERF) </w:t>
            </w:r>
            <w:r w:rsidRPr="0051040A">
              <w:t>and Groundwater Management Plan</w:t>
            </w:r>
            <w:r w:rsidR="00202A15" w:rsidRPr="0051040A">
              <w:t xml:space="preserve"> (GMP);</w:t>
            </w:r>
          </w:p>
          <w:p w14:paraId="2FA5DCB4" w14:textId="77777777" w:rsidR="00202A15" w:rsidRPr="00E331D3" w:rsidRDefault="00202A15" w:rsidP="006D3C1F">
            <w:pPr>
              <w:pStyle w:val="ListParagraph"/>
              <w:numPr>
                <w:ilvl w:val="0"/>
                <w:numId w:val="9"/>
              </w:numPr>
              <w:tabs>
                <w:tab w:val="left" w:pos="360"/>
              </w:tabs>
              <w:jc w:val="left"/>
            </w:pPr>
            <w:r w:rsidRPr="0051040A">
              <w:t xml:space="preserve">Moved </w:t>
            </w:r>
            <w:r w:rsidR="00280457">
              <w:t xml:space="preserve">the </w:t>
            </w:r>
            <w:r w:rsidRPr="0051040A">
              <w:t>detailed well</w:t>
            </w:r>
            <w:r w:rsidR="00280457">
              <w:t xml:space="preserve"> criteria to a</w:t>
            </w:r>
            <w:r w:rsidRPr="0051040A">
              <w:t xml:space="preserve"> GMP</w:t>
            </w:r>
            <w:r w:rsidR="00280457">
              <w:t xml:space="preserve"> appendix</w:t>
            </w:r>
          </w:p>
        </w:tc>
        <w:tc>
          <w:tcPr>
            <w:tcW w:w="2700" w:type="dxa"/>
          </w:tcPr>
          <w:p w14:paraId="5ED63686" w14:textId="642ABAA3" w:rsidR="00623745" w:rsidRPr="00E331D3" w:rsidRDefault="007B5E32" w:rsidP="00DC0718">
            <w:pPr>
              <w:tabs>
                <w:tab w:val="left" w:pos="720"/>
              </w:tabs>
              <w:jc w:val="left"/>
            </w:pPr>
            <w:r>
              <w:t>Febr</w:t>
            </w:r>
            <w:r w:rsidR="00DC0718">
              <w:t>uary</w:t>
            </w:r>
            <w:r w:rsidR="00623745">
              <w:t xml:space="preserve"> 201</w:t>
            </w:r>
            <w:r w:rsidR="00DC0718">
              <w:t>6</w:t>
            </w:r>
          </w:p>
        </w:tc>
      </w:tr>
      <w:tr w:rsidR="00D80FF0" w:rsidRPr="00E331D3" w14:paraId="3D7EDE3C" w14:textId="77777777" w:rsidTr="006916F0">
        <w:tc>
          <w:tcPr>
            <w:tcW w:w="2088" w:type="dxa"/>
          </w:tcPr>
          <w:p w14:paraId="2A0267E6" w14:textId="77777777" w:rsidR="00D80FF0" w:rsidRPr="00E331D3" w:rsidRDefault="00D80FF0" w:rsidP="006916F0">
            <w:pPr>
              <w:tabs>
                <w:tab w:val="left" w:pos="720"/>
              </w:tabs>
              <w:jc w:val="left"/>
            </w:pPr>
            <w:r>
              <w:rPr>
                <w:szCs w:val="22"/>
              </w:rPr>
              <w:t xml:space="preserve">Geoff </w:t>
            </w:r>
            <w:proofErr w:type="spellStart"/>
            <w:r>
              <w:rPr>
                <w:szCs w:val="22"/>
              </w:rPr>
              <w:t>Eargle</w:t>
            </w:r>
            <w:proofErr w:type="spellEnd"/>
          </w:p>
        </w:tc>
        <w:tc>
          <w:tcPr>
            <w:tcW w:w="4500" w:type="dxa"/>
          </w:tcPr>
          <w:p w14:paraId="39589967" w14:textId="77777777" w:rsidR="00D80FF0" w:rsidRPr="00E331D3" w:rsidRDefault="00D80FF0" w:rsidP="006916F0">
            <w:pPr>
              <w:tabs>
                <w:tab w:val="left" w:pos="720"/>
              </w:tabs>
              <w:jc w:val="left"/>
            </w:pPr>
            <w:r>
              <w:rPr>
                <w:szCs w:val="22"/>
              </w:rPr>
              <w:t>Minor editorial changes only.</w:t>
            </w:r>
          </w:p>
        </w:tc>
        <w:tc>
          <w:tcPr>
            <w:tcW w:w="2700" w:type="dxa"/>
          </w:tcPr>
          <w:p w14:paraId="1701DCC3" w14:textId="77777777" w:rsidR="00D80FF0" w:rsidRPr="00E331D3" w:rsidRDefault="00D80FF0" w:rsidP="006916F0">
            <w:pPr>
              <w:tabs>
                <w:tab w:val="left" w:pos="720"/>
              </w:tabs>
              <w:jc w:val="left"/>
            </w:pPr>
            <w:r>
              <w:rPr>
                <w:szCs w:val="22"/>
              </w:rPr>
              <w:t>Revision                         1</w:t>
            </w:r>
            <w:r w:rsidRPr="00E331D3">
              <w:rPr>
                <w:szCs w:val="22"/>
              </w:rPr>
              <w:br/>
            </w:r>
            <w:r>
              <w:rPr>
                <w:szCs w:val="22"/>
              </w:rPr>
              <w:t>December</w:t>
            </w:r>
            <w:r w:rsidRPr="00E331D3">
              <w:rPr>
                <w:szCs w:val="22"/>
              </w:rPr>
              <w:t>, 2010</w:t>
            </w:r>
          </w:p>
        </w:tc>
      </w:tr>
    </w:tbl>
    <w:p w14:paraId="7B8A8606" w14:textId="50743840" w:rsidR="00142C80" w:rsidRDefault="00142C80" w:rsidP="00142C80">
      <w:pPr>
        <w:jc w:val="center"/>
        <w:rPr>
          <w:b/>
          <w:sz w:val="28"/>
          <w:szCs w:val="28"/>
        </w:rPr>
      </w:pPr>
    </w:p>
    <w:p w14:paraId="0C448972" w14:textId="77777777" w:rsidR="008648A9" w:rsidRDefault="008648A9" w:rsidP="00142C80">
      <w:pPr>
        <w:jc w:val="left"/>
        <w:rPr>
          <w:b/>
          <w:sz w:val="28"/>
          <w:szCs w:val="28"/>
        </w:rPr>
      </w:pPr>
    </w:p>
    <w:p w14:paraId="3C59983B" w14:textId="77777777" w:rsidR="008648A9" w:rsidRDefault="008648A9" w:rsidP="008648A9">
      <w:pPr>
        <w:jc w:val="left"/>
        <w:rPr>
          <w:b/>
          <w:sz w:val="28"/>
          <w:szCs w:val="28"/>
        </w:rPr>
        <w:sectPr w:rsidR="008648A9" w:rsidSect="00D213D6">
          <w:headerReference w:type="default" r:id="rId8"/>
          <w:footerReference w:type="default" r:id="rId9"/>
          <w:type w:val="continuous"/>
          <w:pgSz w:w="12240" w:h="15840" w:code="1"/>
          <w:pgMar w:top="720" w:right="1080" w:bottom="720" w:left="1440" w:header="720" w:footer="389" w:gutter="0"/>
          <w:cols w:space="720"/>
          <w:docGrid w:linePitch="360"/>
        </w:sectPr>
      </w:pPr>
    </w:p>
    <w:p w14:paraId="165B5004" w14:textId="77777777" w:rsidR="00D213D6" w:rsidRPr="001A2CF3" w:rsidRDefault="00D213D6" w:rsidP="00D213D6">
      <w:pPr>
        <w:jc w:val="center"/>
        <w:rPr>
          <w:b/>
          <w:sz w:val="28"/>
          <w:szCs w:val="28"/>
        </w:rPr>
      </w:pPr>
      <w:r w:rsidRPr="001A2CF3">
        <w:rPr>
          <w:b/>
          <w:sz w:val="28"/>
          <w:szCs w:val="28"/>
        </w:rPr>
        <w:lastRenderedPageBreak/>
        <w:t>TABLE OF CONTENTS</w:t>
      </w:r>
    </w:p>
    <w:p w14:paraId="481960AD" w14:textId="77777777" w:rsidR="00D213D6" w:rsidRDefault="00D213D6" w:rsidP="00D213D6">
      <w:pPr>
        <w:rPr>
          <w:bCs/>
        </w:rPr>
      </w:pPr>
    </w:p>
    <w:p w14:paraId="56B3D80C" w14:textId="2A857E87" w:rsidR="00D213D6" w:rsidRDefault="00187BC6">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84521972" w:history="1">
        <w:r w:rsidR="00D213D6" w:rsidRPr="00D14B84">
          <w:rPr>
            <w:rStyle w:val="Hyperlink"/>
            <w:rFonts w:ascii="Times New Roman Bold" w:hAnsi="Times New Roman Bold"/>
            <w:noProof/>
          </w:rPr>
          <w:t>1.0</w:t>
        </w:r>
        <w:r w:rsidR="00D213D6">
          <w:rPr>
            <w:rFonts w:asciiTheme="minorHAnsi" w:eastAsiaTheme="minorEastAsia" w:hAnsiTheme="minorHAnsi" w:cstheme="minorBidi"/>
            <w:noProof/>
            <w:sz w:val="22"/>
            <w:szCs w:val="22"/>
          </w:rPr>
          <w:tab/>
        </w:r>
        <w:r w:rsidR="00D213D6" w:rsidRPr="00D14B84">
          <w:rPr>
            <w:rStyle w:val="Hyperlink"/>
            <w:noProof/>
          </w:rPr>
          <w:t>INTRODUCTION</w:t>
        </w:r>
        <w:r w:rsidR="00D213D6">
          <w:rPr>
            <w:noProof/>
            <w:webHidden/>
          </w:rPr>
          <w:tab/>
        </w:r>
        <w:r w:rsidR="00D213D6">
          <w:rPr>
            <w:noProof/>
            <w:webHidden/>
          </w:rPr>
          <w:fldChar w:fldCharType="begin"/>
        </w:r>
        <w:r w:rsidR="00D213D6">
          <w:rPr>
            <w:noProof/>
            <w:webHidden/>
          </w:rPr>
          <w:instrText xml:space="preserve"> PAGEREF _Toc84521972 \h </w:instrText>
        </w:r>
        <w:r w:rsidR="00D213D6">
          <w:rPr>
            <w:noProof/>
            <w:webHidden/>
          </w:rPr>
          <w:fldChar w:fldCharType="separate"/>
        </w:r>
        <w:r w:rsidR="005A03E8">
          <w:rPr>
            <w:b/>
            <w:bCs/>
            <w:noProof/>
            <w:webHidden/>
          </w:rPr>
          <w:t>Error! Bookmark not defined.</w:t>
        </w:r>
        <w:r w:rsidR="00D213D6">
          <w:rPr>
            <w:noProof/>
            <w:webHidden/>
          </w:rPr>
          <w:fldChar w:fldCharType="end"/>
        </w:r>
      </w:hyperlink>
    </w:p>
    <w:p w14:paraId="4C7425FE" w14:textId="51932E76" w:rsidR="00D213D6" w:rsidRDefault="00D213D6">
      <w:pPr>
        <w:pStyle w:val="TOC2"/>
        <w:rPr>
          <w:rFonts w:asciiTheme="minorHAnsi" w:eastAsiaTheme="minorEastAsia" w:hAnsiTheme="minorHAnsi" w:cstheme="minorBidi"/>
          <w:noProof/>
          <w:sz w:val="22"/>
          <w:szCs w:val="22"/>
        </w:rPr>
      </w:pPr>
      <w:hyperlink w:anchor="_Toc84521973" w:history="1">
        <w:r w:rsidRPr="00D14B84">
          <w:rPr>
            <w:rStyle w:val="Hyperlink"/>
            <w:rFonts w:ascii="Times New Roman Bold" w:hAnsi="Times New Roman Bold"/>
            <w:noProof/>
          </w:rPr>
          <w:t>1.1</w:t>
        </w:r>
        <w:r>
          <w:rPr>
            <w:rFonts w:asciiTheme="minorHAnsi" w:eastAsiaTheme="minorEastAsia" w:hAnsiTheme="minorHAnsi" w:cstheme="minorBidi"/>
            <w:noProof/>
            <w:sz w:val="22"/>
            <w:szCs w:val="22"/>
          </w:rPr>
          <w:tab/>
        </w:r>
        <w:r w:rsidRPr="00D14B84">
          <w:rPr>
            <w:rStyle w:val="Hyperlink"/>
            <w:noProof/>
          </w:rPr>
          <w:t>Non-application to SURF</w:t>
        </w:r>
        <w:r>
          <w:rPr>
            <w:noProof/>
            <w:webHidden/>
          </w:rPr>
          <w:tab/>
        </w:r>
        <w:r>
          <w:rPr>
            <w:noProof/>
            <w:webHidden/>
          </w:rPr>
          <w:fldChar w:fldCharType="begin"/>
        </w:r>
        <w:r>
          <w:rPr>
            <w:noProof/>
            <w:webHidden/>
          </w:rPr>
          <w:instrText xml:space="preserve"> PAGEREF _Toc84521973 \h </w:instrText>
        </w:r>
        <w:r>
          <w:rPr>
            <w:noProof/>
            <w:webHidden/>
          </w:rPr>
        </w:r>
        <w:r>
          <w:rPr>
            <w:noProof/>
            <w:webHidden/>
          </w:rPr>
          <w:fldChar w:fldCharType="separate"/>
        </w:r>
        <w:r w:rsidR="005A03E8">
          <w:rPr>
            <w:noProof/>
            <w:webHidden/>
          </w:rPr>
          <w:t>2</w:t>
        </w:r>
        <w:r>
          <w:rPr>
            <w:noProof/>
            <w:webHidden/>
          </w:rPr>
          <w:fldChar w:fldCharType="end"/>
        </w:r>
      </w:hyperlink>
    </w:p>
    <w:p w14:paraId="1EE24EC0" w14:textId="06086B04" w:rsidR="00D213D6" w:rsidRDefault="00D213D6">
      <w:pPr>
        <w:pStyle w:val="TOC1"/>
        <w:rPr>
          <w:rFonts w:asciiTheme="minorHAnsi" w:eastAsiaTheme="minorEastAsia" w:hAnsiTheme="minorHAnsi" w:cstheme="minorBidi"/>
          <w:noProof/>
          <w:sz w:val="22"/>
          <w:szCs w:val="22"/>
        </w:rPr>
      </w:pPr>
      <w:hyperlink w:anchor="_Toc84521974" w:history="1">
        <w:r w:rsidRPr="00D14B84">
          <w:rPr>
            <w:rStyle w:val="Hyperlink"/>
            <w:rFonts w:ascii="Times New Roman Bold" w:hAnsi="Times New Roman Bold"/>
            <w:noProof/>
          </w:rPr>
          <w:t>2.0</w:t>
        </w:r>
        <w:r>
          <w:rPr>
            <w:rFonts w:asciiTheme="minorHAnsi" w:eastAsiaTheme="minorEastAsia" w:hAnsiTheme="minorHAnsi" w:cstheme="minorBidi"/>
            <w:noProof/>
            <w:sz w:val="22"/>
            <w:szCs w:val="22"/>
          </w:rPr>
          <w:tab/>
        </w:r>
        <w:r w:rsidRPr="00D14B84">
          <w:rPr>
            <w:rStyle w:val="Hyperlink"/>
            <w:noProof/>
          </w:rPr>
          <w:t>DEFINITIONS</w:t>
        </w:r>
        <w:r>
          <w:rPr>
            <w:noProof/>
            <w:webHidden/>
          </w:rPr>
          <w:tab/>
        </w:r>
        <w:r>
          <w:rPr>
            <w:noProof/>
            <w:webHidden/>
          </w:rPr>
          <w:fldChar w:fldCharType="begin"/>
        </w:r>
        <w:r>
          <w:rPr>
            <w:noProof/>
            <w:webHidden/>
          </w:rPr>
          <w:instrText xml:space="preserve"> PAGEREF _Toc84521974 \h </w:instrText>
        </w:r>
        <w:r>
          <w:rPr>
            <w:noProof/>
            <w:webHidden/>
          </w:rPr>
        </w:r>
        <w:r>
          <w:rPr>
            <w:noProof/>
            <w:webHidden/>
          </w:rPr>
          <w:fldChar w:fldCharType="separate"/>
        </w:r>
        <w:r w:rsidR="005A03E8">
          <w:rPr>
            <w:noProof/>
            <w:webHidden/>
          </w:rPr>
          <w:t>3</w:t>
        </w:r>
        <w:r>
          <w:rPr>
            <w:noProof/>
            <w:webHidden/>
          </w:rPr>
          <w:fldChar w:fldCharType="end"/>
        </w:r>
      </w:hyperlink>
    </w:p>
    <w:p w14:paraId="6AF3EE8B" w14:textId="2F0AF09A" w:rsidR="00D213D6" w:rsidRDefault="00D213D6">
      <w:pPr>
        <w:pStyle w:val="TOC1"/>
        <w:rPr>
          <w:rFonts w:asciiTheme="minorHAnsi" w:eastAsiaTheme="minorEastAsia" w:hAnsiTheme="minorHAnsi" w:cstheme="minorBidi"/>
          <w:noProof/>
          <w:sz w:val="22"/>
          <w:szCs w:val="22"/>
        </w:rPr>
      </w:pPr>
      <w:hyperlink w:anchor="_Toc84521975" w:history="1">
        <w:r w:rsidRPr="00D14B84">
          <w:rPr>
            <w:rStyle w:val="Hyperlink"/>
            <w:rFonts w:ascii="Times New Roman Bold" w:hAnsi="Times New Roman Bold"/>
            <w:noProof/>
          </w:rPr>
          <w:t>3.0</w:t>
        </w:r>
        <w:r>
          <w:rPr>
            <w:rFonts w:asciiTheme="minorHAnsi" w:eastAsiaTheme="minorEastAsia" w:hAnsiTheme="minorHAnsi" w:cstheme="minorBidi"/>
            <w:noProof/>
            <w:sz w:val="22"/>
            <w:szCs w:val="22"/>
          </w:rPr>
          <w:tab/>
        </w:r>
        <w:r w:rsidRPr="00D14B84">
          <w:rPr>
            <w:rStyle w:val="Hyperlink"/>
            <w:noProof/>
          </w:rPr>
          <w:t>SPECIAL RESPONSIBILITIES</w:t>
        </w:r>
        <w:r>
          <w:rPr>
            <w:noProof/>
            <w:webHidden/>
          </w:rPr>
          <w:tab/>
        </w:r>
        <w:r>
          <w:rPr>
            <w:noProof/>
            <w:webHidden/>
          </w:rPr>
          <w:fldChar w:fldCharType="begin"/>
        </w:r>
        <w:r>
          <w:rPr>
            <w:noProof/>
            <w:webHidden/>
          </w:rPr>
          <w:instrText xml:space="preserve"> PAGEREF _Toc84521975 \h </w:instrText>
        </w:r>
        <w:r>
          <w:rPr>
            <w:noProof/>
            <w:webHidden/>
          </w:rPr>
        </w:r>
        <w:r>
          <w:rPr>
            <w:noProof/>
            <w:webHidden/>
          </w:rPr>
          <w:fldChar w:fldCharType="separate"/>
        </w:r>
        <w:r w:rsidR="005A03E8">
          <w:rPr>
            <w:noProof/>
            <w:webHidden/>
          </w:rPr>
          <w:t>3</w:t>
        </w:r>
        <w:r>
          <w:rPr>
            <w:noProof/>
            <w:webHidden/>
          </w:rPr>
          <w:fldChar w:fldCharType="end"/>
        </w:r>
      </w:hyperlink>
    </w:p>
    <w:p w14:paraId="2B133FAF" w14:textId="5E240596" w:rsidR="00D213D6" w:rsidRDefault="00D213D6">
      <w:pPr>
        <w:pStyle w:val="TOC2"/>
        <w:rPr>
          <w:rFonts w:asciiTheme="minorHAnsi" w:eastAsiaTheme="minorEastAsia" w:hAnsiTheme="minorHAnsi" w:cstheme="minorBidi"/>
          <w:noProof/>
          <w:sz w:val="22"/>
          <w:szCs w:val="22"/>
        </w:rPr>
      </w:pPr>
      <w:hyperlink w:anchor="_Toc84521976" w:history="1">
        <w:r w:rsidRPr="00D14B84">
          <w:rPr>
            <w:rStyle w:val="Hyperlink"/>
            <w:rFonts w:ascii="Times New Roman Bold" w:hAnsi="Times New Roman Bold"/>
            <w:noProof/>
          </w:rPr>
          <w:t>3.1</w:t>
        </w:r>
        <w:r>
          <w:rPr>
            <w:rFonts w:asciiTheme="minorHAnsi" w:eastAsiaTheme="minorEastAsia" w:hAnsiTheme="minorHAnsi" w:cstheme="minorBidi"/>
            <w:noProof/>
            <w:sz w:val="22"/>
            <w:szCs w:val="22"/>
          </w:rPr>
          <w:tab/>
        </w:r>
        <w:r w:rsidRPr="00D14B84">
          <w:rPr>
            <w:rStyle w:val="Hyperlink"/>
            <w:noProof/>
          </w:rPr>
          <w:t>Environment, Safety &amp; Health (ES&amp;H) Section/Environmental Protection Department</w:t>
        </w:r>
        <w:r>
          <w:rPr>
            <w:noProof/>
            <w:webHidden/>
          </w:rPr>
          <w:tab/>
        </w:r>
        <w:r>
          <w:rPr>
            <w:noProof/>
            <w:webHidden/>
          </w:rPr>
          <w:fldChar w:fldCharType="begin"/>
        </w:r>
        <w:r>
          <w:rPr>
            <w:noProof/>
            <w:webHidden/>
          </w:rPr>
          <w:instrText xml:space="preserve"> PAGEREF _Toc84521976 \h </w:instrText>
        </w:r>
        <w:r>
          <w:rPr>
            <w:noProof/>
            <w:webHidden/>
          </w:rPr>
        </w:r>
        <w:r>
          <w:rPr>
            <w:noProof/>
            <w:webHidden/>
          </w:rPr>
          <w:fldChar w:fldCharType="separate"/>
        </w:r>
        <w:r w:rsidR="005A03E8">
          <w:rPr>
            <w:noProof/>
            <w:webHidden/>
          </w:rPr>
          <w:t>3</w:t>
        </w:r>
        <w:r>
          <w:rPr>
            <w:noProof/>
            <w:webHidden/>
          </w:rPr>
          <w:fldChar w:fldCharType="end"/>
        </w:r>
      </w:hyperlink>
    </w:p>
    <w:p w14:paraId="1C7EF9B6" w14:textId="776205DE" w:rsidR="00D213D6" w:rsidRDefault="00D213D6">
      <w:pPr>
        <w:pStyle w:val="TOC2"/>
        <w:rPr>
          <w:rFonts w:asciiTheme="minorHAnsi" w:eastAsiaTheme="minorEastAsia" w:hAnsiTheme="minorHAnsi" w:cstheme="minorBidi"/>
          <w:noProof/>
          <w:sz w:val="22"/>
          <w:szCs w:val="22"/>
        </w:rPr>
      </w:pPr>
      <w:hyperlink w:anchor="_Toc84521977" w:history="1">
        <w:r w:rsidRPr="00D14B84">
          <w:rPr>
            <w:rStyle w:val="Hyperlink"/>
            <w:rFonts w:ascii="Times New Roman Bold" w:hAnsi="Times New Roman Bold"/>
            <w:noProof/>
          </w:rPr>
          <w:t>3.2</w:t>
        </w:r>
        <w:r>
          <w:rPr>
            <w:rFonts w:asciiTheme="minorHAnsi" w:eastAsiaTheme="minorEastAsia" w:hAnsiTheme="minorHAnsi" w:cstheme="minorBidi"/>
            <w:noProof/>
            <w:sz w:val="22"/>
            <w:szCs w:val="22"/>
          </w:rPr>
          <w:tab/>
        </w:r>
        <w:r w:rsidRPr="00D14B84">
          <w:rPr>
            <w:rStyle w:val="Hyperlink"/>
            <w:noProof/>
          </w:rPr>
          <w:t>Project Lead or FRA Installation Point of Contact</w:t>
        </w:r>
        <w:r>
          <w:rPr>
            <w:noProof/>
            <w:webHidden/>
          </w:rPr>
          <w:tab/>
        </w:r>
        <w:r>
          <w:rPr>
            <w:noProof/>
            <w:webHidden/>
          </w:rPr>
          <w:fldChar w:fldCharType="begin"/>
        </w:r>
        <w:r>
          <w:rPr>
            <w:noProof/>
            <w:webHidden/>
          </w:rPr>
          <w:instrText xml:space="preserve"> PAGEREF _Toc84521977 \h </w:instrText>
        </w:r>
        <w:r>
          <w:rPr>
            <w:noProof/>
            <w:webHidden/>
          </w:rPr>
        </w:r>
        <w:r>
          <w:rPr>
            <w:noProof/>
            <w:webHidden/>
          </w:rPr>
          <w:fldChar w:fldCharType="separate"/>
        </w:r>
        <w:r w:rsidR="005A03E8">
          <w:rPr>
            <w:noProof/>
            <w:webHidden/>
          </w:rPr>
          <w:t>4</w:t>
        </w:r>
        <w:r>
          <w:rPr>
            <w:noProof/>
            <w:webHidden/>
          </w:rPr>
          <w:fldChar w:fldCharType="end"/>
        </w:r>
      </w:hyperlink>
    </w:p>
    <w:p w14:paraId="4E3E8C7D" w14:textId="2E2E18C5" w:rsidR="00D213D6" w:rsidRDefault="00D213D6">
      <w:pPr>
        <w:pStyle w:val="TOC1"/>
        <w:rPr>
          <w:rFonts w:asciiTheme="minorHAnsi" w:eastAsiaTheme="minorEastAsia" w:hAnsiTheme="minorHAnsi" w:cstheme="minorBidi"/>
          <w:noProof/>
          <w:sz w:val="22"/>
          <w:szCs w:val="22"/>
        </w:rPr>
      </w:pPr>
      <w:hyperlink w:anchor="_Toc84521978" w:history="1">
        <w:r w:rsidRPr="00D14B84">
          <w:rPr>
            <w:rStyle w:val="Hyperlink"/>
            <w:rFonts w:ascii="Times New Roman Bold" w:hAnsi="Times New Roman Bold"/>
            <w:noProof/>
          </w:rPr>
          <w:t>4.0</w:t>
        </w:r>
        <w:r>
          <w:rPr>
            <w:rFonts w:asciiTheme="minorHAnsi" w:eastAsiaTheme="minorEastAsia" w:hAnsiTheme="minorHAnsi" w:cstheme="minorBidi"/>
            <w:noProof/>
            <w:sz w:val="22"/>
            <w:szCs w:val="22"/>
          </w:rPr>
          <w:tab/>
        </w:r>
        <w:r w:rsidRPr="00D14B84">
          <w:rPr>
            <w:rStyle w:val="Hyperlink"/>
            <w:noProof/>
          </w:rPr>
          <w:t>PROCEDURES</w:t>
        </w:r>
        <w:r>
          <w:rPr>
            <w:noProof/>
            <w:webHidden/>
          </w:rPr>
          <w:tab/>
        </w:r>
        <w:r>
          <w:rPr>
            <w:noProof/>
            <w:webHidden/>
          </w:rPr>
          <w:fldChar w:fldCharType="begin"/>
        </w:r>
        <w:r>
          <w:rPr>
            <w:noProof/>
            <w:webHidden/>
          </w:rPr>
          <w:instrText xml:space="preserve"> PAGEREF _Toc84521978 \h </w:instrText>
        </w:r>
        <w:r>
          <w:rPr>
            <w:noProof/>
            <w:webHidden/>
          </w:rPr>
        </w:r>
        <w:r>
          <w:rPr>
            <w:noProof/>
            <w:webHidden/>
          </w:rPr>
          <w:fldChar w:fldCharType="separate"/>
        </w:r>
        <w:r w:rsidR="005A03E8">
          <w:rPr>
            <w:noProof/>
            <w:webHidden/>
          </w:rPr>
          <w:t>4</w:t>
        </w:r>
        <w:r>
          <w:rPr>
            <w:noProof/>
            <w:webHidden/>
          </w:rPr>
          <w:fldChar w:fldCharType="end"/>
        </w:r>
      </w:hyperlink>
    </w:p>
    <w:p w14:paraId="50A07B4A" w14:textId="74C8EADB" w:rsidR="00D213D6" w:rsidRDefault="00D213D6">
      <w:pPr>
        <w:pStyle w:val="TOC1"/>
        <w:rPr>
          <w:rFonts w:asciiTheme="minorHAnsi" w:eastAsiaTheme="minorEastAsia" w:hAnsiTheme="minorHAnsi" w:cstheme="minorBidi"/>
          <w:noProof/>
          <w:sz w:val="22"/>
          <w:szCs w:val="22"/>
        </w:rPr>
      </w:pPr>
      <w:hyperlink w:anchor="_Toc84521979" w:history="1">
        <w:r w:rsidRPr="00D14B84">
          <w:rPr>
            <w:rStyle w:val="Hyperlink"/>
            <w:rFonts w:ascii="Times New Roman Bold" w:hAnsi="Times New Roman Bold"/>
            <w:noProof/>
          </w:rPr>
          <w:t>5.0</w:t>
        </w:r>
        <w:r>
          <w:rPr>
            <w:rFonts w:asciiTheme="minorHAnsi" w:eastAsiaTheme="minorEastAsia" w:hAnsiTheme="minorHAnsi" w:cstheme="minorBidi"/>
            <w:noProof/>
            <w:sz w:val="22"/>
            <w:szCs w:val="22"/>
          </w:rPr>
          <w:tab/>
        </w:r>
        <w:r w:rsidRPr="00D14B84">
          <w:rPr>
            <w:rStyle w:val="Hyperlink"/>
            <w:noProof/>
          </w:rPr>
          <w:t>REFERENCES</w:t>
        </w:r>
        <w:r>
          <w:rPr>
            <w:noProof/>
            <w:webHidden/>
          </w:rPr>
          <w:tab/>
        </w:r>
        <w:r>
          <w:rPr>
            <w:noProof/>
            <w:webHidden/>
          </w:rPr>
          <w:fldChar w:fldCharType="begin"/>
        </w:r>
        <w:r>
          <w:rPr>
            <w:noProof/>
            <w:webHidden/>
          </w:rPr>
          <w:instrText xml:space="preserve"> PAGEREF _Toc84521979 \h </w:instrText>
        </w:r>
        <w:r>
          <w:rPr>
            <w:noProof/>
            <w:webHidden/>
          </w:rPr>
        </w:r>
        <w:r>
          <w:rPr>
            <w:noProof/>
            <w:webHidden/>
          </w:rPr>
          <w:fldChar w:fldCharType="separate"/>
        </w:r>
        <w:r w:rsidR="005A03E8">
          <w:rPr>
            <w:noProof/>
            <w:webHidden/>
          </w:rPr>
          <w:t>5</w:t>
        </w:r>
        <w:r>
          <w:rPr>
            <w:noProof/>
            <w:webHidden/>
          </w:rPr>
          <w:fldChar w:fldCharType="end"/>
        </w:r>
      </w:hyperlink>
    </w:p>
    <w:p w14:paraId="6905D148" w14:textId="0A943E39" w:rsidR="005A03E8" w:rsidRDefault="00187BC6" w:rsidP="005A03E8">
      <w:pPr>
        <w:tabs>
          <w:tab w:val="right" w:leader="dot" w:pos="9720"/>
        </w:tabs>
        <w:jc w:val="left"/>
        <w:rPr>
          <w:bCs/>
        </w:rPr>
      </w:pPr>
      <w:r>
        <w:rPr>
          <w:bCs/>
        </w:rPr>
        <w:fldChar w:fldCharType="end"/>
      </w:r>
    </w:p>
    <w:p w14:paraId="1B7A8D21" w14:textId="77777777" w:rsidR="005A03E8" w:rsidRPr="00A96FFC" w:rsidRDefault="005A03E8" w:rsidP="005A03E8">
      <w:pPr>
        <w:rPr>
          <w:bCs/>
        </w:rPr>
      </w:pPr>
    </w:p>
    <w:p w14:paraId="4784DDDD" w14:textId="77777777" w:rsidR="005A03E8" w:rsidRPr="00A96FFC" w:rsidRDefault="005A03E8" w:rsidP="005A03E8">
      <w:pPr>
        <w:tabs>
          <w:tab w:val="right" w:leader="dot" w:pos="9720"/>
        </w:tabs>
        <w:jc w:val="left"/>
        <w:rPr>
          <w:bCs/>
        </w:rPr>
        <w:sectPr w:rsidR="005A03E8" w:rsidRPr="00A96FFC" w:rsidSect="00D213D6">
          <w:type w:val="continuous"/>
          <w:pgSz w:w="12240" w:h="15840" w:code="1"/>
          <w:pgMar w:top="720" w:right="1080" w:bottom="720" w:left="1440" w:header="720" w:footer="389" w:gutter="0"/>
          <w:pgNumType w:start="1"/>
          <w:cols w:space="720"/>
          <w:docGrid w:linePitch="360"/>
        </w:sectPr>
      </w:pPr>
    </w:p>
    <w:p w14:paraId="7423C647" w14:textId="77777777" w:rsidR="005A03E8" w:rsidRDefault="005A03E8" w:rsidP="005A03E8">
      <w:pPr>
        <w:tabs>
          <w:tab w:val="right" w:leader="dot" w:pos="9720"/>
        </w:tabs>
        <w:jc w:val="left"/>
        <w:rPr>
          <w:bCs/>
        </w:rPr>
      </w:pPr>
    </w:p>
    <w:p w14:paraId="2AE3D2BC" w14:textId="22735E95" w:rsidR="005A03E8" w:rsidRDefault="005A03E8" w:rsidP="005A03E8">
      <w:pPr>
        <w:rPr>
          <w:bCs/>
        </w:rPr>
      </w:pPr>
      <w:r>
        <w:rPr>
          <w:bCs/>
        </w:rPr>
        <w:br w:type="page"/>
      </w:r>
    </w:p>
    <w:p w14:paraId="3CA2BE4E" w14:textId="77777777" w:rsidR="00D52AE5" w:rsidRPr="00D52AE5" w:rsidRDefault="00D52AE5" w:rsidP="00D52AE5">
      <w:pPr>
        <w:pStyle w:val="Heading1"/>
        <w:numPr>
          <w:ilvl w:val="0"/>
          <w:numId w:val="0"/>
        </w:numPr>
        <w:ind w:left="360"/>
        <w:jc w:val="both"/>
        <w:rPr>
          <w:b w:val="0"/>
          <w:sz w:val="24"/>
          <w:szCs w:val="24"/>
        </w:rPr>
      </w:pPr>
    </w:p>
    <w:p w14:paraId="022A7066" w14:textId="77777777" w:rsidR="005A03E8" w:rsidRPr="00774629" w:rsidRDefault="005A03E8" w:rsidP="005A03E8">
      <w:pPr>
        <w:pStyle w:val="Heading1"/>
      </w:pPr>
      <w:bookmarkStart w:id="0" w:name="_Toc498524097"/>
      <w:r>
        <w:t>INTRODUCTION AND SCOPE</w:t>
      </w:r>
      <w:bookmarkEnd w:id="0"/>
    </w:p>
    <w:p w14:paraId="1A30CF69" w14:textId="77777777" w:rsidR="00D435EC" w:rsidRPr="007D5A75" w:rsidRDefault="00D435EC"/>
    <w:p w14:paraId="5D91C037" w14:textId="3DA168E0" w:rsidR="00582ABE" w:rsidRDefault="00582ABE" w:rsidP="00073569">
      <w:pPr>
        <w:rPr>
          <w:rFonts w:ascii="Times" w:hAnsi="Times"/>
        </w:rPr>
      </w:pPr>
      <w:r>
        <w:rPr>
          <w:rFonts w:ascii="Times" w:hAnsi="Times"/>
        </w:rPr>
        <w:t>The purpose</w:t>
      </w:r>
      <w:r w:rsidR="003772F5">
        <w:rPr>
          <w:rFonts w:ascii="Times" w:hAnsi="Times"/>
        </w:rPr>
        <w:t>s of this chapter are</w:t>
      </w:r>
      <w:r>
        <w:rPr>
          <w:rFonts w:ascii="Times" w:hAnsi="Times"/>
        </w:rPr>
        <w:t xml:space="preserve"> to provide a brief overview of the groundwater zones at Fermi National Accelerator Laboratory (Fermilab) and to refer the personnel responsible for activities that may impact these groundwater zones to the processes related to Fermilab’s </w:t>
      </w:r>
      <w:r w:rsidR="0073556E">
        <w:rPr>
          <w:rFonts w:ascii="Times" w:hAnsi="Times"/>
        </w:rPr>
        <w:t xml:space="preserve">Environmental Review Form (ERF) and </w:t>
      </w:r>
      <w:r>
        <w:rPr>
          <w:rFonts w:ascii="Times" w:hAnsi="Times"/>
        </w:rPr>
        <w:t>Groundwater Management Plan</w:t>
      </w:r>
      <w:r w:rsidR="0073556E">
        <w:rPr>
          <w:rFonts w:ascii="Times" w:hAnsi="Times"/>
        </w:rPr>
        <w:t xml:space="preserve"> (GMP)</w:t>
      </w:r>
      <w:r>
        <w:rPr>
          <w:rFonts w:ascii="Times" w:hAnsi="Times"/>
        </w:rPr>
        <w:t xml:space="preserve"> to ensure the protection of groundwater resources at Fermilab. Such activities include, but are not limited to,</w:t>
      </w:r>
      <w:r w:rsidR="003772F5">
        <w:rPr>
          <w:rFonts w:ascii="Times" w:hAnsi="Times"/>
        </w:rPr>
        <w:t xml:space="preserve"> </w:t>
      </w:r>
      <w:r>
        <w:rPr>
          <w:rFonts w:ascii="Times" w:hAnsi="Times"/>
        </w:rPr>
        <w:t xml:space="preserve">excavations </w:t>
      </w:r>
      <w:r w:rsidR="00160CA9">
        <w:rPr>
          <w:rFonts w:ascii="Times" w:hAnsi="Times"/>
        </w:rPr>
        <w:t>ten</w:t>
      </w:r>
      <w:r>
        <w:rPr>
          <w:rFonts w:ascii="Times" w:hAnsi="Times"/>
        </w:rPr>
        <w:t xml:space="preserve"> or more feet</w:t>
      </w:r>
      <w:r w:rsidR="003772F5">
        <w:rPr>
          <w:rFonts w:ascii="Times" w:hAnsi="Times"/>
        </w:rPr>
        <w:t xml:space="preserve"> below ground surface</w:t>
      </w:r>
      <w:r w:rsidR="001F7FB9">
        <w:rPr>
          <w:rFonts w:ascii="Times" w:hAnsi="Times"/>
        </w:rPr>
        <w:t xml:space="preserve"> (</w:t>
      </w:r>
      <w:r w:rsidR="00EA4110">
        <w:rPr>
          <w:rFonts w:ascii="Times" w:hAnsi="Times"/>
        </w:rPr>
        <w:t xml:space="preserve">ft </w:t>
      </w:r>
      <w:proofErr w:type="spellStart"/>
      <w:r w:rsidR="001F7FB9">
        <w:rPr>
          <w:rFonts w:ascii="Times" w:hAnsi="Times"/>
        </w:rPr>
        <w:t>bgs</w:t>
      </w:r>
      <w:proofErr w:type="spellEnd"/>
      <w:r w:rsidR="001F7FB9">
        <w:rPr>
          <w:rFonts w:ascii="Times" w:hAnsi="Times"/>
        </w:rPr>
        <w:t>)</w:t>
      </w:r>
      <w:r>
        <w:rPr>
          <w:rFonts w:ascii="Times" w:hAnsi="Times"/>
        </w:rPr>
        <w:t xml:space="preserve">, installation of borings for geotechnical </w:t>
      </w:r>
      <w:r w:rsidR="0073556E">
        <w:rPr>
          <w:rFonts w:ascii="Times" w:hAnsi="Times"/>
        </w:rPr>
        <w:t>or cathodic protection purposes</w:t>
      </w:r>
      <w:r>
        <w:rPr>
          <w:rFonts w:ascii="Times" w:hAnsi="Times"/>
        </w:rPr>
        <w:t xml:space="preserve"> </w:t>
      </w:r>
      <w:r w:rsidR="0073556E">
        <w:rPr>
          <w:rFonts w:ascii="Times" w:hAnsi="Times"/>
        </w:rPr>
        <w:t xml:space="preserve">and </w:t>
      </w:r>
      <w:r>
        <w:rPr>
          <w:rFonts w:ascii="Times" w:hAnsi="Times"/>
        </w:rPr>
        <w:t>installation of geothermal or groundwate</w:t>
      </w:r>
      <w:r w:rsidR="0073556E">
        <w:rPr>
          <w:rFonts w:ascii="Times" w:hAnsi="Times"/>
        </w:rPr>
        <w:t>r monitoring or supply wells</w:t>
      </w:r>
      <w:r>
        <w:rPr>
          <w:rFonts w:ascii="Times" w:hAnsi="Times"/>
        </w:rPr>
        <w:t>.</w:t>
      </w:r>
    </w:p>
    <w:p w14:paraId="3B87EC5A" w14:textId="77777777" w:rsidR="00582ABE" w:rsidRDefault="00582ABE" w:rsidP="00073569">
      <w:pPr>
        <w:rPr>
          <w:rFonts w:ascii="Times" w:hAnsi="Times"/>
        </w:rPr>
      </w:pPr>
    </w:p>
    <w:p w14:paraId="68830186" w14:textId="5839A1E0" w:rsidR="00700648" w:rsidRPr="006967EF" w:rsidRDefault="00700648" w:rsidP="00073569">
      <w:r>
        <w:rPr>
          <w:rFonts w:ascii="Times" w:hAnsi="Times"/>
        </w:rPr>
        <w:t>For a more in-depth presentation of the groundwater zones at Fermilab see the Groundwater Management Plan</w:t>
      </w:r>
      <w:r w:rsidR="009C30D8">
        <w:rPr>
          <w:rFonts w:ascii="Times" w:hAnsi="Times"/>
        </w:rPr>
        <w:t xml:space="preserve"> (</w:t>
      </w:r>
      <w:hyperlink r:id="rId10" w:history="1">
        <w:r w:rsidR="00E54982" w:rsidRPr="00354A2D">
          <w:rPr>
            <w:rStyle w:val="Hyperlink"/>
            <w:rFonts w:ascii="Times" w:hAnsi="Times"/>
          </w:rPr>
          <w:t xml:space="preserve">DocDB ID: </w:t>
        </w:r>
        <w:r w:rsidR="00E54982" w:rsidRPr="00354A2D">
          <w:rPr>
            <w:rStyle w:val="Hyperlink"/>
            <w:bCs/>
            <w:sz w:val="27"/>
            <w:szCs w:val="27"/>
          </w:rPr>
          <w:t>ESHQ-doc-1689</w:t>
        </w:r>
      </w:hyperlink>
      <w:r w:rsidR="009C30D8">
        <w:rPr>
          <w:rFonts w:ascii="Times" w:hAnsi="Times"/>
        </w:rPr>
        <w:t xml:space="preserve">). </w:t>
      </w:r>
      <w:r w:rsidR="007E7E8D">
        <w:t xml:space="preserve">Multiple groundwater zones (aquifers) are regularly monitored at Fermilab, ranging from only several feet deep to more than 400 feet below the ground surface (Figure 1). Groundwater zones in </w:t>
      </w:r>
      <w:r w:rsidR="007E7E8D" w:rsidRPr="006967EF">
        <w:t xml:space="preserve">the glacial sediments are characterized by the State of Illinois as Class II non-resource groundwater. </w:t>
      </w:r>
      <w:r w:rsidR="006967EF" w:rsidRPr="006967EF">
        <w:rPr>
          <w:color w:val="000000"/>
        </w:rPr>
        <w:t xml:space="preserve">A water-table aquifer exists within the Yorkville Member Resedimented Facies at about 5-15 ft below ground surface, with an intermittent saturated zone near the top of the Yorkville Member Facies B unit between 30 and 45 ft </w:t>
      </w:r>
      <w:proofErr w:type="spellStart"/>
      <w:r w:rsidR="006967EF" w:rsidRPr="006967EF">
        <w:rPr>
          <w:color w:val="000000"/>
        </w:rPr>
        <w:t>bgs</w:t>
      </w:r>
      <w:proofErr w:type="spellEnd"/>
      <w:r w:rsidR="006967EF" w:rsidRPr="006967EF">
        <w:rPr>
          <w:color w:val="000000"/>
        </w:rPr>
        <w:t>. The top of the Class I aquifer</w:t>
      </w:r>
      <w:r w:rsidR="006967EF">
        <w:rPr>
          <w:color w:val="000000"/>
        </w:rPr>
        <w:t xml:space="preserve"> (</w:t>
      </w:r>
      <w:r w:rsidR="00003E3F">
        <w:rPr>
          <w:color w:val="000000"/>
        </w:rPr>
        <w:t xml:space="preserve">a </w:t>
      </w:r>
      <w:r w:rsidR="006967EF">
        <w:rPr>
          <w:color w:val="000000"/>
        </w:rPr>
        <w:t>resource groundwater, with more stringent quality standards)</w:t>
      </w:r>
      <w:r w:rsidR="006967EF" w:rsidRPr="006967EF">
        <w:rPr>
          <w:color w:val="000000"/>
        </w:rPr>
        <w:t xml:space="preserve"> is i</w:t>
      </w:r>
      <w:r w:rsidR="006967EF">
        <w:rPr>
          <w:color w:val="000000"/>
        </w:rPr>
        <w:t xml:space="preserve">n the fractured </w:t>
      </w:r>
      <w:r w:rsidR="00931FCA">
        <w:rPr>
          <w:color w:val="000000"/>
        </w:rPr>
        <w:t xml:space="preserve">dolostone </w:t>
      </w:r>
      <w:r w:rsidR="006967EF">
        <w:rPr>
          <w:color w:val="000000"/>
        </w:rPr>
        <w:t xml:space="preserve">bedrock surface, known as the </w:t>
      </w:r>
      <w:r w:rsidR="006967EF" w:rsidRPr="006967EF">
        <w:rPr>
          <w:color w:val="000000"/>
        </w:rPr>
        <w:t>Joliet Formation.</w:t>
      </w:r>
    </w:p>
    <w:p w14:paraId="04DE60CD" w14:textId="77777777" w:rsidR="00700648" w:rsidRPr="006967EF" w:rsidRDefault="00700648" w:rsidP="00073569"/>
    <w:p w14:paraId="4E1BA1A6" w14:textId="71470599" w:rsidR="00965D6D" w:rsidRDefault="00965D6D" w:rsidP="00073569">
      <w:pPr>
        <w:rPr>
          <w:rFonts w:ascii="Times" w:hAnsi="Times"/>
        </w:rPr>
      </w:pPr>
      <w:r>
        <w:rPr>
          <w:rFonts w:ascii="Times" w:hAnsi="Times"/>
        </w:rPr>
        <w:t xml:space="preserve">Excavations and borings that are deeper than ten feet below ground surface have the potential to impact the water-table aquifer and the deeper aquifers, depending on the maximum depth of the work. Additionally, while the groundwater zones in the glacial sediments at Fermilab have been generally characterized as Class II resources, one of the criteria that Illinois EPA uses to classify aquifers as Class I resources is a depth ten feet or more below ground surface. For these reasons, excavations or borings greater than ten feet below ground surface should be noted for further groundwater review on the ERF.  Excavations or borings that penetrate multiple aquifer zones </w:t>
      </w:r>
      <w:r w:rsidR="00440CD6">
        <w:rPr>
          <w:rFonts w:ascii="Times" w:hAnsi="Times"/>
        </w:rPr>
        <w:t xml:space="preserve">have the potential to allow groundwater to migrate vertically between aquifer zones, creating a potential pathway to cross-contaminate deeper aquifers that are more sensitive to impacts and have </w:t>
      </w:r>
      <w:r w:rsidR="001F7FB9">
        <w:rPr>
          <w:rFonts w:ascii="Times" w:hAnsi="Times"/>
        </w:rPr>
        <w:t xml:space="preserve">more </w:t>
      </w:r>
      <w:r w:rsidR="00440CD6">
        <w:rPr>
          <w:rFonts w:ascii="Times" w:hAnsi="Times"/>
        </w:rPr>
        <w:t xml:space="preserve">strict quality standards. </w:t>
      </w:r>
      <w:r w:rsidR="001F7FB9">
        <w:rPr>
          <w:rFonts w:ascii="Times" w:hAnsi="Times"/>
        </w:rPr>
        <w:t xml:space="preserve">Of particular concern at Fermilab is penetration of Facies B and C of the Yorkville clay till units, which are typically between 30 and 50 feet </w:t>
      </w:r>
      <w:proofErr w:type="spellStart"/>
      <w:r w:rsidR="001F7FB9">
        <w:rPr>
          <w:rFonts w:ascii="Times" w:hAnsi="Times"/>
        </w:rPr>
        <w:t>bgs</w:t>
      </w:r>
      <w:proofErr w:type="spellEnd"/>
      <w:r w:rsidR="001F7FB9">
        <w:rPr>
          <w:rFonts w:ascii="Times" w:hAnsi="Times"/>
        </w:rPr>
        <w:t xml:space="preserve"> and serve as a protective barrier above the Class I groundwater resources in deep glacial and bedrock units. The </w:t>
      </w:r>
      <w:r w:rsidR="00C46814">
        <w:rPr>
          <w:rFonts w:ascii="Times" w:hAnsi="Times"/>
        </w:rPr>
        <w:t>GMP includes specifications for borings and wells</w:t>
      </w:r>
      <w:r w:rsidR="001F7FB9">
        <w:rPr>
          <w:rFonts w:ascii="Times" w:hAnsi="Times"/>
        </w:rPr>
        <w:t xml:space="preserve"> to ensure that </w:t>
      </w:r>
      <w:r w:rsidR="00C46814">
        <w:rPr>
          <w:rFonts w:ascii="Times" w:hAnsi="Times"/>
        </w:rPr>
        <w:t>they</w:t>
      </w:r>
      <w:r w:rsidR="001F7FB9">
        <w:rPr>
          <w:rFonts w:ascii="Times" w:hAnsi="Times"/>
        </w:rPr>
        <w:t xml:space="preserve"> are properly designed to prevent vertical migration between aquifers.</w:t>
      </w:r>
      <w:r w:rsidR="00210E9A">
        <w:rPr>
          <w:rFonts w:ascii="Times" w:hAnsi="Times"/>
        </w:rPr>
        <w:t xml:space="preserve"> Excavations at Fermilab do not typically exceed 30 ft </w:t>
      </w:r>
      <w:proofErr w:type="spellStart"/>
      <w:r w:rsidR="00210E9A">
        <w:rPr>
          <w:rFonts w:ascii="Times" w:hAnsi="Times"/>
        </w:rPr>
        <w:t>bgs</w:t>
      </w:r>
      <w:proofErr w:type="spellEnd"/>
      <w:r w:rsidR="00210E9A">
        <w:rPr>
          <w:rFonts w:ascii="Times" w:hAnsi="Times"/>
        </w:rPr>
        <w:t xml:space="preserve"> and would require additional groundwater review </w:t>
      </w:r>
      <w:r w:rsidR="007D0127">
        <w:rPr>
          <w:rFonts w:ascii="Times" w:hAnsi="Times"/>
        </w:rPr>
        <w:t xml:space="preserve">during the </w:t>
      </w:r>
      <w:r w:rsidR="00210E9A">
        <w:rPr>
          <w:rFonts w:ascii="Times" w:hAnsi="Times"/>
        </w:rPr>
        <w:t>plann</w:t>
      </w:r>
      <w:r w:rsidR="007D0127">
        <w:rPr>
          <w:rFonts w:ascii="Times" w:hAnsi="Times"/>
        </w:rPr>
        <w:t>ing stage of the project</w:t>
      </w:r>
      <w:r w:rsidR="00210E9A">
        <w:rPr>
          <w:rFonts w:ascii="Times" w:hAnsi="Times"/>
        </w:rPr>
        <w:t>.</w:t>
      </w:r>
    </w:p>
    <w:p w14:paraId="69DC746B" w14:textId="5B1DD70C" w:rsidR="00965D6D" w:rsidRDefault="00965D6D" w:rsidP="00073569">
      <w:pPr>
        <w:rPr>
          <w:rFonts w:ascii="Times" w:hAnsi="Times"/>
        </w:rPr>
      </w:pPr>
    </w:p>
    <w:p w14:paraId="22CFD43B" w14:textId="0B8E537E" w:rsidR="003B5959" w:rsidRPr="00D213D6" w:rsidRDefault="00B86BB2" w:rsidP="00D213D6">
      <w:pPr>
        <w:pStyle w:val="Heading2"/>
      </w:pPr>
      <w:bookmarkStart w:id="1" w:name="_Toc84521973"/>
      <w:r w:rsidRPr="00D213D6">
        <w:t>Non-a</w:t>
      </w:r>
      <w:r w:rsidR="003B5959" w:rsidRPr="00D213D6">
        <w:t>pplication to SURF</w:t>
      </w:r>
      <w:bookmarkEnd w:id="1"/>
    </w:p>
    <w:p w14:paraId="6834A277" w14:textId="77777777" w:rsidR="0029446A" w:rsidRDefault="00A26C0B" w:rsidP="003B5959">
      <w:r>
        <w:t>There are no groundwater production wells at the 4850’ level or at the tailings ponds at SURF (Sanford Underground Research Facility) in Lead, S</w:t>
      </w:r>
      <w:r w:rsidR="003577B6">
        <w:t xml:space="preserve">outh </w:t>
      </w:r>
      <w:r>
        <w:t>D</w:t>
      </w:r>
      <w:r w:rsidR="003577B6">
        <w:t>akota</w:t>
      </w:r>
      <w:r>
        <w:t xml:space="preserve">. </w:t>
      </w:r>
      <w:r w:rsidR="003577B6">
        <w:t xml:space="preserve">There are no monitoring wells at any location or depth at SURF. The only monitoring wells </w:t>
      </w:r>
      <w:r w:rsidR="00B86BB2">
        <w:t xml:space="preserve">are shallow wells around the tailing ponds (Grizzly </w:t>
      </w:r>
    </w:p>
    <w:p w14:paraId="5F450A4D" w14:textId="77777777" w:rsidR="005A03E8" w:rsidRDefault="005A03E8" w:rsidP="003B5959">
      <w:r>
        <w:br w:type="page"/>
      </w:r>
    </w:p>
    <w:p w14:paraId="5EC36310" w14:textId="70FAC42E" w:rsidR="003B5959" w:rsidRPr="003B5959" w:rsidRDefault="00B86BB2" w:rsidP="003B5959">
      <w:r>
        <w:lastRenderedPageBreak/>
        <w:t xml:space="preserve">Gulch) and east waste rock areas on Barrick land, all of which fall under Barrick responsibility. </w:t>
      </w:r>
      <w:r w:rsidR="004B10EA">
        <w:t>Potential discharges at SURF are covered under existing requirements and permit programs.</w:t>
      </w:r>
    </w:p>
    <w:p w14:paraId="0FC16614" w14:textId="77777777" w:rsidR="007D5A75" w:rsidRDefault="007D5A75" w:rsidP="00E00D72"/>
    <w:p w14:paraId="0975C491" w14:textId="77777777" w:rsidR="007D5A75" w:rsidRPr="000576C8" w:rsidRDefault="007D5A75" w:rsidP="007D5A75">
      <w:pPr>
        <w:pStyle w:val="Heading1"/>
        <w:rPr>
          <w:kern w:val="0"/>
        </w:rPr>
      </w:pPr>
      <w:bookmarkStart w:id="2" w:name="_Toc84521974"/>
      <w:r w:rsidRPr="000576C8">
        <w:rPr>
          <w:kern w:val="0"/>
        </w:rPr>
        <w:t>DEFINITIONS</w:t>
      </w:r>
      <w:bookmarkEnd w:id="2"/>
    </w:p>
    <w:p w14:paraId="0602A41B" w14:textId="77777777" w:rsidR="007D5A75" w:rsidRPr="007D5A75" w:rsidRDefault="007D5A75" w:rsidP="00E00D72"/>
    <w:p w14:paraId="3E0ED25E" w14:textId="77777777" w:rsidR="001F7FB9" w:rsidRPr="008F1D04" w:rsidRDefault="001F7FB9" w:rsidP="001F7FB9">
      <w:pPr>
        <w:rPr>
          <w:rFonts w:ascii="Times" w:hAnsi="Times"/>
        </w:rPr>
      </w:pPr>
      <w:r>
        <w:rPr>
          <w:rFonts w:ascii="Times" w:hAnsi="Times"/>
        </w:rPr>
        <w:t>“Groundw</w:t>
      </w:r>
      <w:r w:rsidRPr="008F1D04">
        <w:rPr>
          <w:rFonts w:ascii="Times" w:hAnsi="Times"/>
        </w:rPr>
        <w:t>ater” means undergrou</w:t>
      </w:r>
      <w:r>
        <w:rPr>
          <w:rFonts w:ascii="Times" w:hAnsi="Times"/>
        </w:rPr>
        <w:t>nd water which occurs within the near-surface</w:t>
      </w:r>
      <w:r w:rsidRPr="008F1D04">
        <w:rPr>
          <w:rFonts w:ascii="Times" w:hAnsi="Times"/>
        </w:rPr>
        <w:t xml:space="preserve"> saturated zone </w:t>
      </w:r>
      <w:r>
        <w:rPr>
          <w:rFonts w:ascii="Times" w:hAnsi="Times"/>
        </w:rPr>
        <w:t>or within</w:t>
      </w:r>
      <w:r w:rsidRPr="008F1D04">
        <w:rPr>
          <w:rFonts w:ascii="Times" w:hAnsi="Times"/>
        </w:rPr>
        <w:t xml:space="preserve"> geologic materials where the fluid pressure in the pore space is equal to or greater than atmospheric pressure.</w:t>
      </w:r>
    </w:p>
    <w:p w14:paraId="59A946E0" w14:textId="77777777" w:rsidR="001F7FB9" w:rsidRPr="008F1D04" w:rsidRDefault="001F7FB9" w:rsidP="001F7FB9">
      <w:pPr>
        <w:rPr>
          <w:rFonts w:ascii="Times" w:hAnsi="Times"/>
        </w:rPr>
      </w:pPr>
    </w:p>
    <w:p w14:paraId="7D86AB5D" w14:textId="0466C23F" w:rsidR="001F7FB9" w:rsidRDefault="001F7FB9" w:rsidP="001F7FB9">
      <w:pPr>
        <w:rPr>
          <w:rFonts w:ascii="Times" w:hAnsi="Times"/>
          <w:color w:val="000000"/>
        </w:rPr>
      </w:pPr>
      <w:r w:rsidRPr="008F1D04">
        <w:rPr>
          <w:rFonts w:ascii="Times" w:hAnsi="Times"/>
          <w:color w:val="000000"/>
        </w:rPr>
        <w:t>“Saturated Zone</w:t>
      </w:r>
      <w:r w:rsidR="00E138AA">
        <w:rPr>
          <w:rFonts w:ascii="Times" w:hAnsi="Times"/>
          <w:color w:val="000000"/>
        </w:rPr>
        <w:t>(s)</w:t>
      </w:r>
      <w:r w:rsidRPr="008F1D04">
        <w:rPr>
          <w:rFonts w:ascii="Times" w:hAnsi="Times"/>
          <w:color w:val="000000"/>
        </w:rPr>
        <w:t>” refers to the zone</w:t>
      </w:r>
      <w:r w:rsidR="00E138AA">
        <w:rPr>
          <w:rFonts w:ascii="Times" w:hAnsi="Times"/>
          <w:color w:val="000000"/>
        </w:rPr>
        <w:t>(s)</w:t>
      </w:r>
      <w:r w:rsidRPr="008F1D04">
        <w:rPr>
          <w:rFonts w:ascii="Times" w:hAnsi="Times"/>
          <w:color w:val="000000"/>
        </w:rPr>
        <w:t xml:space="preserve"> below the water table, which is the boundary where fluid pressure in the pores of a porous medium is exactly 1 atmosphere.  The location of this surface is revealed by the level at which water stands in a shallow monitoring well open along its length and penetrating the surface deposits just deeply enough to encounter standing water in the bottom.</w:t>
      </w:r>
    </w:p>
    <w:p w14:paraId="2F12A069" w14:textId="77777777" w:rsidR="001F7FB9" w:rsidRPr="008F1D04" w:rsidRDefault="001F7FB9" w:rsidP="001F7FB9">
      <w:pPr>
        <w:rPr>
          <w:rFonts w:ascii="Times" w:hAnsi="Times"/>
          <w:color w:val="000000"/>
        </w:rPr>
      </w:pPr>
    </w:p>
    <w:p w14:paraId="05BBF779" w14:textId="7AA8CBDC" w:rsidR="001F7FB9" w:rsidRDefault="001F7FB9" w:rsidP="001F7FB9">
      <w:pPr>
        <w:rPr>
          <w:rFonts w:ascii="Times" w:hAnsi="Times"/>
        </w:rPr>
      </w:pPr>
      <w:r>
        <w:rPr>
          <w:rFonts w:ascii="Times" w:hAnsi="Times"/>
        </w:rPr>
        <w:t xml:space="preserve">“Excavation” </w:t>
      </w:r>
      <w:r w:rsidR="007D0127">
        <w:rPr>
          <w:rFonts w:ascii="Times" w:hAnsi="Times"/>
        </w:rPr>
        <w:t xml:space="preserve">means removal of earthen material for purposes such as utility work, building construction, enclosure work, etc. </w:t>
      </w:r>
    </w:p>
    <w:p w14:paraId="5181EAFA" w14:textId="77777777" w:rsidR="001F7FB9" w:rsidRDefault="001F7FB9" w:rsidP="001F7FB9">
      <w:pPr>
        <w:rPr>
          <w:rFonts w:ascii="Times" w:hAnsi="Times"/>
        </w:rPr>
      </w:pPr>
    </w:p>
    <w:p w14:paraId="2E5E407B" w14:textId="5B3DB2E7" w:rsidR="00073569" w:rsidRPr="008F1D04" w:rsidRDefault="00073569" w:rsidP="001F7FB9">
      <w:pPr>
        <w:rPr>
          <w:rFonts w:ascii="Times" w:hAnsi="Times"/>
        </w:rPr>
      </w:pPr>
      <w:r w:rsidRPr="008F1D04">
        <w:rPr>
          <w:rFonts w:ascii="Times" w:hAnsi="Times"/>
        </w:rPr>
        <w:t>“Boring” means an excavation of limited diameter that is drilled, cored, driven, dug, or otherwise constructed which penetrates the saturated zone.  Open borings may result in degraded water quality within the saturated zone by acting as a conduit for contamination.</w:t>
      </w:r>
    </w:p>
    <w:p w14:paraId="70DC69A6" w14:textId="77777777" w:rsidR="00073569" w:rsidRPr="008F1D04" w:rsidRDefault="00073569" w:rsidP="00073569">
      <w:pPr>
        <w:rPr>
          <w:rFonts w:ascii="Times" w:hAnsi="Times"/>
        </w:rPr>
      </w:pPr>
    </w:p>
    <w:p w14:paraId="54CB426B" w14:textId="011FDA85" w:rsidR="00073569" w:rsidRPr="008F1D04" w:rsidRDefault="001F7FB9" w:rsidP="00073569">
      <w:pPr>
        <w:rPr>
          <w:rFonts w:ascii="Times" w:hAnsi="Times"/>
        </w:rPr>
      </w:pPr>
      <w:r w:rsidRPr="008F1D04">
        <w:rPr>
          <w:rFonts w:ascii="Times" w:hAnsi="Times"/>
        </w:rPr>
        <w:t xml:space="preserve"> </w:t>
      </w:r>
      <w:r w:rsidR="00073569" w:rsidRPr="008F1D04">
        <w:rPr>
          <w:rFonts w:ascii="Times" w:hAnsi="Times"/>
        </w:rPr>
        <w:t>“Monitoring Well” means any well intended for the purpose of determining ground water quality or quantity.</w:t>
      </w:r>
    </w:p>
    <w:p w14:paraId="14BFE5DB" w14:textId="77777777" w:rsidR="00073569" w:rsidRDefault="00073569" w:rsidP="00073569">
      <w:pPr>
        <w:rPr>
          <w:rFonts w:ascii="Times" w:hAnsi="Times"/>
        </w:rPr>
      </w:pPr>
    </w:p>
    <w:p w14:paraId="00F99B9F" w14:textId="06C08A77" w:rsidR="001F7FB9" w:rsidRDefault="001F7FB9" w:rsidP="00073569">
      <w:pPr>
        <w:rPr>
          <w:rFonts w:ascii="Times" w:hAnsi="Times"/>
        </w:rPr>
      </w:pPr>
      <w:r>
        <w:rPr>
          <w:rFonts w:ascii="Times" w:hAnsi="Times"/>
        </w:rPr>
        <w:t xml:space="preserve">“Geothermal Well” </w:t>
      </w:r>
      <w:r w:rsidR="007D0127" w:rsidRPr="007D0127">
        <w:rPr>
          <w:rFonts w:ascii="Times" w:hAnsi="Times"/>
        </w:rPr>
        <w:t xml:space="preserve">means any well intended </w:t>
      </w:r>
      <w:r w:rsidR="007D0127">
        <w:rPr>
          <w:rFonts w:ascii="Times" w:hAnsi="Times"/>
        </w:rPr>
        <w:t>for the purpose of transferring heat to or from the subsurface via piping and thermal backfill.</w:t>
      </w:r>
    </w:p>
    <w:p w14:paraId="4A78FAFC" w14:textId="77777777" w:rsidR="001F7FB9" w:rsidRDefault="001F7FB9" w:rsidP="00073569">
      <w:pPr>
        <w:rPr>
          <w:rFonts w:ascii="Times" w:hAnsi="Times"/>
        </w:rPr>
      </w:pPr>
    </w:p>
    <w:p w14:paraId="063301DA" w14:textId="63B20229" w:rsidR="001F7FB9" w:rsidRDefault="001F7FB9" w:rsidP="00073569">
      <w:pPr>
        <w:rPr>
          <w:rFonts w:ascii="Times" w:hAnsi="Times"/>
        </w:rPr>
      </w:pPr>
      <w:r>
        <w:rPr>
          <w:rFonts w:ascii="Times" w:hAnsi="Times"/>
        </w:rPr>
        <w:t xml:space="preserve">“Cathodic Protection Boring/Well or Deep Anode Well” </w:t>
      </w:r>
      <w:r w:rsidR="007D0127" w:rsidRPr="007D0127">
        <w:rPr>
          <w:rFonts w:ascii="Times" w:hAnsi="Times"/>
        </w:rPr>
        <w:t xml:space="preserve">means </w:t>
      </w:r>
      <w:r w:rsidR="007D0127">
        <w:rPr>
          <w:rFonts w:ascii="Times" w:hAnsi="Times"/>
        </w:rPr>
        <w:t>any well intended for the purpose of structural corrosion protection via piping, wiring and/or conductive backfill.</w:t>
      </w:r>
    </w:p>
    <w:p w14:paraId="054A369C" w14:textId="77777777" w:rsidR="001F7FB9" w:rsidRDefault="001F7FB9" w:rsidP="00073569">
      <w:pPr>
        <w:rPr>
          <w:rFonts w:ascii="Times" w:hAnsi="Times"/>
        </w:rPr>
      </w:pPr>
    </w:p>
    <w:p w14:paraId="2A094F5A" w14:textId="5B4FDBBF" w:rsidR="001F7FB9" w:rsidRPr="008F1D04" w:rsidRDefault="001F7FB9" w:rsidP="00073569">
      <w:pPr>
        <w:rPr>
          <w:rFonts w:ascii="Times" w:hAnsi="Times"/>
        </w:rPr>
      </w:pPr>
      <w:r>
        <w:rPr>
          <w:rFonts w:ascii="Times" w:hAnsi="Times"/>
        </w:rPr>
        <w:t xml:space="preserve">“Supply Well” </w:t>
      </w:r>
      <w:r w:rsidR="007D0127" w:rsidRPr="007D0127">
        <w:rPr>
          <w:rFonts w:ascii="Times" w:hAnsi="Times"/>
        </w:rPr>
        <w:t xml:space="preserve">means </w:t>
      </w:r>
      <w:r w:rsidR="007D0127">
        <w:rPr>
          <w:rFonts w:ascii="Times" w:hAnsi="Times"/>
        </w:rPr>
        <w:t>any well intended for the purpose of pumping groundwater to the surface for either potable or non-potable use.</w:t>
      </w:r>
    </w:p>
    <w:p w14:paraId="0DC3AC70" w14:textId="77777777" w:rsidR="006A7918" w:rsidRPr="006A7918" w:rsidRDefault="006A7918" w:rsidP="00E00D72"/>
    <w:p w14:paraId="26BAF3E5" w14:textId="50184E38" w:rsidR="00554664" w:rsidRDefault="00DA6699" w:rsidP="006A7918">
      <w:pPr>
        <w:pStyle w:val="Heading1"/>
        <w:keepNext w:val="0"/>
      </w:pPr>
      <w:bookmarkStart w:id="3" w:name="_Toc84521975"/>
      <w:r>
        <w:t xml:space="preserve">SPECIAL </w:t>
      </w:r>
      <w:r w:rsidR="00554664">
        <w:t>RESPONSIB</w:t>
      </w:r>
      <w:r w:rsidR="007D5A75">
        <w:t>ILITIES</w:t>
      </w:r>
      <w:bookmarkEnd w:id="3"/>
    </w:p>
    <w:p w14:paraId="6D2B5C4C" w14:textId="77777777" w:rsidR="00554664" w:rsidRDefault="00554664" w:rsidP="00E00D72"/>
    <w:p w14:paraId="0B8065B4" w14:textId="508209A8" w:rsidR="00DA6699" w:rsidRPr="00263F3B" w:rsidRDefault="00DA6699" w:rsidP="00DA6699">
      <w:pPr>
        <w:pStyle w:val="Heading2"/>
      </w:pPr>
      <w:bookmarkStart w:id="4" w:name="_Toc84521976"/>
      <w:r>
        <w:t>E</w:t>
      </w:r>
      <w:r w:rsidR="00BA6B18">
        <w:t xml:space="preserve">nvironment, </w:t>
      </w:r>
      <w:r>
        <w:t>S</w:t>
      </w:r>
      <w:r w:rsidR="00BA6B18">
        <w:t>afety</w:t>
      </w:r>
      <w:r w:rsidR="005E098A">
        <w:t xml:space="preserve"> &amp;</w:t>
      </w:r>
      <w:r w:rsidR="00BA6B18">
        <w:t xml:space="preserve"> </w:t>
      </w:r>
      <w:r>
        <w:t>H</w:t>
      </w:r>
      <w:r w:rsidR="00BA6B18">
        <w:t>ealth (ES</w:t>
      </w:r>
      <w:r w:rsidR="005E098A">
        <w:t>&amp;</w:t>
      </w:r>
      <w:r w:rsidR="00BA6B18">
        <w:t>H) Section</w:t>
      </w:r>
      <w:r>
        <w:t xml:space="preserve">/Environmental Protection </w:t>
      </w:r>
      <w:r w:rsidR="005E098A">
        <w:t>Department</w:t>
      </w:r>
      <w:bookmarkEnd w:id="4"/>
    </w:p>
    <w:p w14:paraId="3380D415" w14:textId="0058EBE2" w:rsidR="00073569" w:rsidRPr="008F1D04" w:rsidRDefault="00073569" w:rsidP="00073569">
      <w:pPr>
        <w:ind w:left="720" w:hanging="720"/>
        <w:rPr>
          <w:rFonts w:ascii="Times" w:hAnsi="Times"/>
        </w:rPr>
      </w:pPr>
      <w:r w:rsidRPr="008F1D04">
        <w:rPr>
          <w:rFonts w:ascii="Times" w:hAnsi="Times"/>
        </w:rPr>
        <w:t>1.</w:t>
      </w:r>
      <w:r w:rsidRPr="008F1D04">
        <w:rPr>
          <w:rFonts w:ascii="Times" w:hAnsi="Times"/>
        </w:rPr>
        <w:tab/>
        <w:t xml:space="preserve">Determine if </w:t>
      </w:r>
      <w:r w:rsidR="0077562A">
        <w:rPr>
          <w:rFonts w:ascii="Times" w:hAnsi="Times"/>
        </w:rPr>
        <w:t>excavations, borings and wells</w:t>
      </w:r>
      <w:r w:rsidRPr="008F1D04">
        <w:rPr>
          <w:rFonts w:ascii="Times" w:hAnsi="Times"/>
        </w:rPr>
        <w:t xml:space="preserve"> meet the requirements of this chapter and, if not, request modification or abandonment.</w:t>
      </w:r>
    </w:p>
    <w:p w14:paraId="472D4C9C" w14:textId="77777777" w:rsidR="0029446A" w:rsidRDefault="0029446A" w:rsidP="00073569">
      <w:pPr>
        <w:ind w:left="720" w:hanging="720"/>
        <w:rPr>
          <w:rFonts w:ascii="Times" w:hAnsi="Times"/>
        </w:rPr>
      </w:pPr>
    </w:p>
    <w:p w14:paraId="0941DAF5" w14:textId="4254B840" w:rsidR="00073569" w:rsidRPr="008F1D04" w:rsidRDefault="00073569" w:rsidP="00073569">
      <w:pPr>
        <w:ind w:left="720" w:hanging="720"/>
        <w:rPr>
          <w:rFonts w:ascii="Times" w:hAnsi="Times"/>
        </w:rPr>
      </w:pPr>
      <w:r w:rsidRPr="008F1D04">
        <w:rPr>
          <w:rFonts w:ascii="Times" w:hAnsi="Times"/>
        </w:rPr>
        <w:t>2.</w:t>
      </w:r>
      <w:r w:rsidRPr="008F1D04">
        <w:rPr>
          <w:rFonts w:ascii="Times" w:hAnsi="Times"/>
        </w:rPr>
        <w:tab/>
        <w:t xml:space="preserve">Provide consultation for, and review all proposed projects requiring </w:t>
      </w:r>
      <w:r w:rsidR="007D0127">
        <w:rPr>
          <w:rFonts w:ascii="Times" w:hAnsi="Times"/>
        </w:rPr>
        <w:t xml:space="preserve">excavation or </w:t>
      </w:r>
      <w:r w:rsidRPr="008F1D04">
        <w:rPr>
          <w:rFonts w:ascii="Times" w:hAnsi="Times"/>
        </w:rPr>
        <w:t>boring</w:t>
      </w:r>
      <w:r w:rsidR="007D0127">
        <w:rPr>
          <w:rFonts w:ascii="Times" w:hAnsi="Times"/>
        </w:rPr>
        <w:t xml:space="preserve"> deeper than ten feet </w:t>
      </w:r>
      <w:proofErr w:type="spellStart"/>
      <w:r w:rsidR="007D0127">
        <w:rPr>
          <w:rFonts w:ascii="Times" w:hAnsi="Times"/>
        </w:rPr>
        <w:t>bgs</w:t>
      </w:r>
      <w:proofErr w:type="spellEnd"/>
      <w:r w:rsidRPr="008F1D04">
        <w:rPr>
          <w:rFonts w:ascii="Times" w:hAnsi="Times"/>
        </w:rPr>
        <w:t xml:space="preserve"> to characterize the geologic materials within the saturated zone or the installation of a monitoring well.</w:t>
      </w:r>
    </w:p>
    <w:p w14:paraId="3E79A65F" w14:textId="77777777" w:rsidR="00073569" w:rsidRPr="008F1D04" w:rsidRDefault="00073569" w:rsidP="00073569">
      <w:pPr>
        <w:ind w:left="720" w:hanging="720"/>
        <w:rPr>
          <w:rFonts w:ascii="Times" w:hAnsi="Times"/>
        </w:rPr>
      </w:pPr>
    </w:p>
    <w:p w14:paraId="5BF05B48" w14:textId="77777777" w:rsidR="00073569" w:rsidRPr="008F1D04" w:rsidRDefault="00073569" w:rsidP="00073569">
      <w:pPr>
        <w:ind w:left="720" w:hanging="720"/>
        <w:rPr>
          <w:rFonts w:ascii="Times" w:hAnsi="Times"/>
        </w:rPr>
      </w:pPr>
      <w:r w:rsidRPr="008F1D04">
        <w:rPr>
          <w:rFonts w:ascii="Times" w:hAnsi="Times"/>
        </w:rPr>
        <w:lastRenderedPageBreak/>
        <w:t>3.</w:t>
      </w:r>
      <w:r w:rsidRPr="008F1D04">
        <w:rPr>
          <w:rFonts w:ascii="Times" w:hAnsi="Times"/>
        </w:rPr>
        <w:tab/>
        <w:t>Conduct inspections of any monitoring wells installed by other Division/Sections during and after construction.</w:t>
      </w:r>
    </w:p>
    <w:p w14:paraId="2EEAD204" w14:textId="77777777" w:rsidR="00073569" w:rsidRPr="008F1D04" w:rsidRDefault="00073569" w:rsidP="00073569">
      <w:pPr>
        <w:ind w:left="720" w:hanging="720"/>
        <w:rPr>
          <w:rFonts w:ascii="Times" w:hAnsi="Times"/>
        </w:rPr>
      </w:pPr>
    </w:p>
    <w:p w14:paraId="0187BCC6" w14:textId="77777777" w:rsidR="00073569" w:rsidRPr="008F1D04" w:rsidRDefault="00073569" w:rsidP="00073569">
      <w:pPr>
        <w:ind w:left="720" w:hanging="720"/>
        <w:rPr>
          <w:rFonts w:ascii="Times" w:hAnsi="Times"/>
        </w:rPr>
      </w:pPr>
      <w:r w:rsidRPr="008F1D04">
        <w:rPr>
          <w:rFonts w:ascii="Times" w:hAnsi="Times"/>
        </w:rPr>
        <w:t>4.</w:t>
      </w:r>
      <w:r w:rsidRPr="008F1D04">
        <w:rPr>
          <w:rFonts w:ascii="Times" w:hAnsi="Times"/>
        </w:rPr>
        <w:tab/>
        <w:t>Maintain a centralized database of monitoring wells.</w:t>
      </w:r>
    </w:p>
    <w:p w14:paraId="4F6198D3" w14:textId="77777777" w:rsidR="00073569" w:rsidRPr="008F1D04" w:rsidRDefault="00073569" w:rsidP="00073569">
      <w:pPr>
        <w:ind w:left="720" w:hanging="720"/>
        <w:rPr>
          <w:rFonts w:ascii="Times" w:hAnsi="Times"/>
        </w:rPr>
      </w:pPr>
    </w:p>
    <w:p w14:paraId="6E30A686" w14:textId="77777777" w:rsidR="00073569" w:rsidRPr="008F1D04" w:rsidRDefault="00073569" w:rsidP="00073569">
      <w:pPr>
        <w:ind w:left="720" w:hanging="720"/>
        <w:rPr>
          <w:rFonts w:ascii="Times" w:hAnsi="Times"/>
        </w:rPr>
      </w:pPr>
      <w:r w:rsidRPr="008F1D04">
        <w:rPr>
          <w:rFonts w:ascii="Times" w:hAnsi="Times"/>
        </w:rPr>
        <w:t>5.</w:t>
      </w:r>
      <w:r w:rsidRPr="008F1D04">
        <w:rPr>
          <w:rFonts w:ascii="Times" w:hAnsi="Times"/>
        </w:rPr>
        <w:tab/>
        <w:t>Maintain a monitoring well maintenance program.</w:t>
      </w:r>
    </w:p>
    <w:p w14:paraId="5B71601C" w14:textId="77777777" w:rsidR="00073569" w:rsidRPr="008F1D04" w:rsidRDefault="00073569" w:rsidP="00073569">
      <w:pPr>
        <w:ind w:left="720" w:hanging="720"/>
        <w:rPr>
          <w:rFonts w:ascii="Times" w:hAnsi="Times"/>
        </w:rPr>
      </w:pPr>
    </w:p>
    <w:p w14:paraId="2780EEB6" w14:textId="77777777" w:rsidR="00073569" w:rsidRPr="008F1D04" w:rsidRDefault="00073569" w:rsidP="00073569">
      <w:pPr>
        <w:ind w:left="720" w:hanging="720"/>
        <w:rPr>
          <w:rFonts w:ascii="Times" w:hAnsi="Times"/>
        </w:rPr>
      </w:pPr>
      <w:r w:rsidRPr="008F1D04">
        <w:rPr>
          <w:rFonts w:ascii="Times" w:hAnsi="Times"/>
        </w:rPr>
        <w:t>6.</w:t>
      </w:r>
      <w:r w:rsidRPr="008F1D04">
        <w:rPr>
          <w:rFonts w:ascii="Times" w:hAnsi="Times"/>
        </w:rPr>
        <w:tab/>
        <w:t>Be responsible for all monitoring wells incorporated into the site-wide monitoring well network.</w:t>
      </w:r>
    </w:p>
    <w:p w14:paraId="18527C1C" w14:textId="77777777" w:rsidR="00073569" w:rsidRPr="008F1D04" w:rsidRDefault="00073569" w:rsidP="00073569">
      <w:pPr>
        <w:ind w:left="720" w:hanging="720"/>
        <w:rPr>
          <w:rFonts w:ascii="Times" w:hAnsi="Times"/>
        </w:rPr>
      </w:pPr>
    </w:p>
    <w:p w14:paraId="2F6FF64B" w14:textId="77777777" w:rsidR="00073569" w:rsidRPr="008F1D04" w:rsidRDefault="00073569" w:rsidP="00073569">
      <w:pPr>
        <w:ind w:left="720" w:hanging="720"/>
        <w:rPr>
          <w:rFonts w:ascii="Times" w:hAnsi="Times"/>
        </w:rPr>
      </w:pPr>
      <w:r w:rsidRPr="008F1D04">
        <w:rPr>
          <w:rFonts w:ascii="Times" w:hAnsi="Times"/>
        </w:rPr>
        <w:t>7.</w:t>
      </w:r>
      <w:r w:rsidRPr="008F1D04">
        <w:rPr>
          <w:rFonts w:ascii="Times" w:hAnsi="Times"/>
        </w:rPr>
        <w:tab/>
        <w:t>Coordinate the required notification to the County Department of Public Health for any monitoring well abandonment.</w:t>
      </w:r>
    </w:p>
    <w:p w14:paraId="754876F5" w14:textId="77777777" w:rsidR="00073569" w:rsidRPr="008F1D04" w:rsidRDefault="00073569" w:rsidP="00073569">
      <w:pPr>
        <w:ind w:left="720" w:hanging="720"/>
        <w:rPr>
          <w:rFonts w:ascii="Times" w:hAnsi="Times"/>
        </w:rPr>
      </w:pPr>
    </w:p>
    <w:p w14:paraId="78087B6E" w14:textId="2AE90A1C" w:rsidR="00073569" w:rsidRPr="008F1D04" w:rsidRDefault="00073569" w:rsidP="00073569">
      <w:pPr>
        <w:ind w:left="720" w:hanging="720"/>
        <w:rPr>
          <w:rFonts w:ascii="Times" w:hAnsi="Times"/>
        </w:rPr>
      </w:pPr>
      <w:r w:rsidRPr="008F1D04">
        <w:rPr>
          <w:rFonts w:ascii="Times" w:hAnsi="Times"/>
        </w:rPr>
        <w:t>8.</w:t>
      </w:r>
      <w:r w:rsidRPr="008F1D04">
        <w:rPr>
          <w:rFonts w:ascii="Times" w:hAnsi="Times"/>
        </w:rPr>
        <w:tab/>
        <w:t>Provi</w:t>
      </w:r>
      <w:r w:rsidR="007D0127">
        <w:rPr>
          <w:rFonts w:ascii="Times" w:hAnsi="Times"/>
        </w:rPr>
        <w:t>de the appropriate Division Safety Officer/Project Lead</w:t>
      </w:r>
      <w:r w:rsidRPr="008F1D04">
        <w:rPr>
          <w:rFonts w:ascii="Times" w:hAnsi="Times"/>
        </w:rPr>
        <w:t xml:space="preserve"> with a report of any inspection of a monitoring well that requires action.</w:t>
      </w:r>
    </w:p>
    <w:p w14:paraId="7874107C" w14:textId="5294D16A" w:rsidR="00E7004C" w:rsidRPr="00073569" w:rsidRDefault="00E7004C" w:rsidP="00E00D72">
      <w:pPr>
        <w:rPr>
          <w:bCs/>
          <w:color w:val="000000"/>
          <w:kern w:val="32"/>
        </w:rPr>
      </w:pPr>
    </w:p>
    <w:p w14:paraId="17A96A0C" w14:textId="68E41759" w:rsidR="006E7F4F" w:rsidRDefault="003844C0" w:rsidP="003E2A77">
      <w:pPr>
        <w:pStyle w:val="Heading2"/>
        <w:keepNext w:val="0"/>
        <w:jc w:val="both"/>
        <w:rPr>
          <w:b w:val="0"/>
        </w:rPr>
      </w:pPr>
      <w:bookmarkStart w:id="5" w:name="_Toc84521977"/>
      <w:r w:rsidRPr="006C598D">
        <w:t>Project</w:t>
      </w:r>
      <w:r w:rsidR="008532CC">
        <w:t xml:space="preserve"> </w:t>
      </w:r>
      <w:r w:rsidR="00DA6699">
        <w:t xml:space="preserve">Lead </w:t>
      </w:r>
      <w:r w:rsidR="00D516FA">
        <w:t>or FRA Installation Point of Contact</w:t>
      </w:r>
      <w:bookmarkEnd w:id="5"/>
    </w:p>
    <w:p w14:paraId="595611B8" w14:textId="77777777" w:rsidR="00073569" w:rsidRDefault="00073569" w:rsidP="00E00D72"/>
    <w:p w14:paraId="55F2A4FF" w14:textId="0E02AAA4" w:rsidR="00073569" w:rsidRPr="00BD3405" w:rsidRDefault="00073569" w:rsidP="00073569">
      <w:pPr>
        <w:ind w:left="720" w:hanging="720"/>
        <w:rPr>
          <w:rFonts w:ascii="Times" w:hAnsi="Times"/>
        </w:rPr>
      </w:pPr>
      <w:r w:rsidRPr="008F1D04">
        <w:rPr>
          <w:rFonts w:ascii="Times" w:hAnsi="Times"/>
        </w:rPr>
        <w:t>1.</w:t>
      </w:r>
      <w:r w:rsidRPr="008F1D04">
        <w:rPr>
          <w:rFonts w:ascii="Times" w:hAnsi="Times"/>
        </w:rPr>
        <w:tab/>
      </w:r>
      <w:r w:rsidRPr="008F1D04">
        <w:rPr>
          <w:rFonts w:ascii="Times" w:hAnsi="Times"/>
          <w:color w:val="000000"/>
        </w:rPr>
        <w:t>Notify the ES</w:t>
      </w:r>
      <w:r w:rsidR="005E098A">
        <w:rPr>
          <w:rFonts w:ascii="Times" w:hAnsi="Times"/>
          <w:color w:val="000000"/>
        </w:rPr>
        <w:t>&amp;</w:t>
      </w:r>
      <w:r w:rsidR="006C598D">
        <w:rPr>
          <w:rFonts w:ascii="Times" w:hAnsi="Times"/>
          <w:color w:val="000000"/>
        </w:rPr>
        <w:t>H</w:t>
      </w:r>
      <w:r w:rsidRPr="008F1D04">
        <w:rPr>
          <w:rFonts w:ascii="Times" w:hAnsi="Times"/>
          <w:color w:val="000000"/>
        </w:rPr>
        <w:t xml:space="preserve"> Section </w:t>
      </w:r>
      <w:r w:rsidR="006C598D">
        <w:rPr>
          <w:rFonts w:ascii="Times" w:hAnsi="Times"/>
          <w:color w:val="000000"/>
        </w:rPr>
        <w:t>(</w:t>
      </w:r>
      <w:r w:rsidR="006C598D" w:rsidRPr="00BD3405">
        <w:rPr>
          <w:rFonts w:ascii="Times" w:hAnsi="Times"/>
          <w:color w:val="000000"/>
        </w:rPr>
        <w:t>Chief Safety Officer</w:t>
      </w:r>
      <w:r w:rsidR="00BD3405" w:rsidRPr="00BD3405">
        <w:rPr>
          <w:rFonts w:ascii="Times" w:hAnsi="Times"/>
          <w:color w:val="000000"/>
        </w:rPr>
        <w:t xml:space="preserve">, who will refer to the Environmental Protection </w:t>
      </w:r>
      <w:r w:rsidR="005E098A">
        <w:rPr>
          <w:rFonts w:ascii="Times" w:hAnsi="Times"/>
          <w:color w:val="000000"/>
        </w:rPr>
        <w:t>Department</w:t>
      </w:r>
      <w:r w:rsidR="006C598D" w:rsidRPr="00BD3405">
        <w:rPr>
          <w:rFonts w:ascii="Times" w:hAnsi="Times"/>
          <w:color w:val="000000"/>
        </w:rPr>
        <w:t>)</w:t>
      </w:r>
      <w:r w:rsidRPr="00BD3405">
        <w:rPr>
          <w:rFonts w:ascii="Times" w:hAnsi="Times"/>
          <w:color w:val="000000"/>
        </w:rPr>
        <w:t xml:space="preserve"> prior to the installation of any monitoring well.  Within 60 days of the adoption of this chapter, s</w:t>
      </w:r>
      <w:r w:rsidRPr="00BD3405">
        <w:rPr>
          <w:rFonts w:ascii="Times" w:hAnsi="Times"/>
        </w:rPr>
        <w:t xml:space="preserve">upply the </w:t>
      </w:r>
      <w:r w:rsidR="006C598D" w:rsidRPr="00BD3405">
        <w:rPr>
          <w:rFonts w:ascii="Times" w:hAnsi="Times"/>
        </w:rPr>
        <w:t>Chief Safety Officer</w:t>
      </w:r>
      <w:r w:rsidRPr="00BD3405">
        <w:rPr>
          <w:rFonts w:ascii="Times" w:hAnsi="Times"/>
        </w:rPr>
        <w:t xml:space="preserve"> with the location of all monitoring wells within their jurisdictions.</w:t>
      </w:r>
    </w:p>
    <w:p w14:paraId="58B0ACB7" w14:textId="77777777" w:rsidR="00073569" w:rsidRPr="00BD3405" w:rsidRDefault="00073569" w:rsidP="00073569">
      <w:pPr>
        <w:ind w:left="720" w:hanging="720"/>
        <w:rPr>
          <w:rFonts w:ascii="Times" w:hAnsi="Times"/>
        </w:rPr>
      </w:pPr>
    </w:p>
    <w:p w14:paraId="0CDEDFC5" w14:textId="57DE08E9" w:rsidR="00073569" w:rsidRPr="00BD3405" w:rsidRDefault="00073569" w:rsidP="00073569">
      <w:pPr>
        <w:ind w:left="720" w:hanging="720"/>
        <w:rPr>
          <w:rFonts w:ascii="Times" w:hAnsi="Times"/>
        </w:rPr>
      </w:pPr>
      <w:r w:rsidRPr="00BD3405">
        <w:rPr>
          <w:rFonts w:ascii="Times" w:hAnsi="Times"/>
        </w:rPr>
        <w:t>2.</w:t>
      </w:r>
      <w:r w:rsidRPr="00BD3405">
        <w:rPr>
          <w:rFonts w:ascii="Times" w:hAnsi="Times"/>
        </w:rPr>
        <w:tab/>
      </w:r>
      <w:r w:rsidRPr="00BD3405">
        <w:rPr>
          <w:rFonts w:ascii="Times" w:hAnsi="Times"/>
          <w:color w:val="000000"/>
        </w:rPr>
        <w:t>Coordinate all projects requiring</w:t>
      </w:r>
      <w:r w:rsidR="006C598D" w:rsidRPr="00BD3405">
        <w:rPr>
          <w:rFonts w:ascii="Times" w:hAnsi="Times"/>
          <w:color w:val="000000"/>
        </w:rPr>
        <w:t xml:space="preserve"> excavation,</w:t>
      </w:r>
      <w:r w:rsidRPr="00BD3405">
        <w:rPr>
          <w:rFonts w:ascii="Times" w:hAnsi="Times"/>
          <w:color w:val="000000"/>
        </w:rPr>
        <w:t xml:space="preserve"> drilling of a soil boring or installation of a well </w:t>
      </w:r>
      <w:r w:rsidR="006C598D" w:rsidRPr="00BD3405">
        <w:rPr>
          <w:rFonts w:ascii="Times" w:hAnsi="Times"/>
          <w:color w:val="000000"/>
        </w:rPr>
        <w:t xml:space="preserve">below ten feet </w:t>
      </w:r>
      <w:proofErr w:type="spellStart"/>
      <w:r w:rsidR="006C598D" w:rsidRPr="00BD3405">
        <w:rPr>
          <w:rFonts w:ascii="Times" w:hAnsi="Times"/>
          <w:color w:val="000000"/>
        </w:rPr>
        <w:t>bgs</w:t>
      </w:r>
      <w:proofErr w:type="spellEnd"/>
      <w:r w:rsidRPr="00BD3405">
        <w:rPr>
          <w:rFonts w:ascii="Times" w:hAnsi="Times"/>
          <w:color w:val="000000"/>
        </w:rPr>
        <w:t xml:space="preserve"> with the </w:t>
      </w:r>
      <w:r w:rsidR="006C598D" w:rsidRPr="00BD3405">
        <w:rPr>
          <w:rFonts w:ascii="Times" w:hAnsi="Times"/>
          <w:color w:val="000000"/>
        </w:rPr>
        <w:t>Chief Safety Officer</w:t>
      </w:r>
      <w:r w:rsidRPr="00BD3405">
        <w:rPr>
          <w:rFonts w:ascii="Times" w:hAnsi="Times"/>
          <w:color w:val="000000"/>
        </w:rPr>
        <w:t>.</w:t>
      </w:r>
    </w:p>
    <w:p w14:paraId="5D3B42A2" w14:textId="77777777" w:rsidR="00073569" w:rsidRPr="00BD3405" w:rsidRDefault="00073569" w:rsidP="00073569">
      <w:pPr>
        <w:ind w:left="720" w:hanging="720"/>
        <w:rPr>
          <w:rFonts w:ascii="Times" w:hAnsi="Times"/>
        </w:rPr>
      </w:pPr>
    </w:p>
    <w:p w14:paraId="4578384A" w14:textId="0E3C54BF" w:rsidR="00073569" w:rsidRPr="00BD3405" w:rsidRDefault="00073569" w:rsidP="00073569">
      <w:pPr>
        <w:ind w:left="720" w:hanging="720"/>
        <w:rPr>
          <w:rFonts w:ascii="Times" w:hAnsi="Times"/>
          <w:color w:val="000000"/>
        </w:rPr>
      </w:pPr>
      <w:r w:rsidRPr="00BD3405">
        <w:rPr>
          <w:rFonts w:ascii="Times" w:hAnsi="Times"/>
        </w:rPr>
        <w:t>3.</w:t>
      </w:r>
      <w:r w:rsidRPr="00BD3405">
        <w:rPr>
          <w:rFonts w:ascii="Times" w:hAnsi="Times"/>
        </w:rPr>
        <w:tab/>
      </w:r>
      <w:r w:rsidRPr="00BD3405">
        <w:rPr>
          <w:rFonts w:ascii="Times" w:hAnsi="Times"/>
          <w:color w:val="000000"/>
        </w:rPr>
        <w:t xml:space="preserve">Supply the </w:t>
      </w:r>
      <w:r w:rsidR="006C598D" w:rsidRPr="00BD3405">
        <w:rPr>
          <w:rFonts w:ascii="Times" w:hAnsi="Times"/>
          <w:color w:val="000000"/>
        </w:rPr>
        <w:t xml:space="preserve">Chief Safety Officer </w:t>
      </w:r>
      <w:r w:rsidRPr="00BD3405">
        <w:rPr>
          <w:rFonts w:ascii="Times" w:hAnsi="Times"/>
          <w:color w:val="000000"/>
        </w:rPr>
        <w:t>with a copy of the Drill Log and Well Completion Report of any monitoring well.</w:t>
      </w:r>
    </w:p>
    <w:p w14:paraId="301436E4" w14:textId="77777777" w:rsidR="00073569" w:rsidRPr="00BD3405" w:rsidRDefault="00073569" w:rsidP="00073569">
      <w:pPr>
        <w:ind w:left="720" w:hanging="720"/>
        <w:rPr>
          <w:rFonts w:ascii="Times" w:hAnsi="Times"/>
          <w:color w:val="000000"/>
        </w:rPr>
      </w:pPr>
    </w:p>
    <w:p w14:paraId="128A91A9" w14:textId="16553F4B" w:rsidR="00073569" w:rsidRPr="00BD3405" w:rsidRDefault="00073569" w:rsidP="00073569">
      <w:pPr>
        <w:ind w:left="720" w:hanging="720"/>
        <w:rPr>
          <w:rFonts w:ascii="Times" w:hAnsi="Times"/>
          <w:color w:val="000000"/>
        </w:rPr>
      </w:pPr>
      <w:r w:rsidRPr="00BD3405">
        <w:rPr>
          <w:rFonts w:ascii="Times" w:hAnsi="Times"/>
        </w:rPr>
        <w:t>4.</w:t>
      </w:r>
      <w:r w:rsidRPr="00BD3405">
        <w:rPr>
          <w:rFonts w:ascii="Times" w:hAnsi="Times"/>
        </w:rPr>
        <w:tab/>
      </w:r>
      <w:r w:rsidRPr="00BD3405">
        <w:rPr>
          <w:rFonts w:ascii="Times" w:hAnsi="Times"/>
          <w:color w:val="000000"/>
        </w:rPr>
        <w:t xml:space="preserve">Supply the </w:t>
      </w:r>
      <w:r w:rsidR="006C598D" w:rsidRPr="00BD3405">
        <w:rPr>
          <w:rFonts w:ascii="Times" w:hAnsi="Times"/>
          <w:color w:val="000000"/>
        </w:rPr>
        <w:t xml:space="preserve">Chief Safety Officer </w:t>
      </w:r>
      <w:r w:rsidRPr="00BD3405">
        <w:rPr>
          <w:rFonts w:ascii="Times" w:hAnsi="Times"/>
          <w:color w:val="000000"/>
        </w:rPr>
        <w:t>with a copy of any key used to secure the above ground protective casing of a monitoring well.</w:t>
      </w:r>
    </w:p>
    <w:p w14:paraId="6902C926" w14:textId="77777777" w:rsidR="00073569" w:rsidRPr="00BD3405" w:rsidRDefault="00073569" w:rsidP="00073569">
      <w:pPr>
        <w:ind w:left="720" w:hanging="720"/>
        <w:rPr>
          <w:rFonts w:ascii="Times" w:hAnsi="Times"/>
        </w:rPr>
      </w:pPr>
    </w:p>
    <w:p w14:paraId="2AEB9EF5" w14:textId="3B9C0F79" w:rsidR="00073569" w:rsidRPr="00BD3405" w:rsidRDefault="00073569" w:rsidP="00073569">
      <w:pPr>
        <w:ind w:left="720" w:hanging="720"/>
        <w:rPr>
          <w:rFonts w:ascii="Times" w:hAnsi="Times"/>
          <w:color w:val="000000"/>
        </w:rPr>
      </w:pPr>
      <w:r w:rsidRPr="00BD3405">
        <w:rPr>
          <w:rFonts w:ascii="Times" w:hAnsi="Times"/>
        </w:rPr>
        <w:t>5.</w:t>
      </w:r>
      <w:r w:rsidRPr="00BD3405">
        <w:rPr>
          <w:rFonts w:ascii="Times" w:hAnsi="Times"/>
        </w:rPr>
        <w:tab/>
      </w:r>
      <w:r w:rsidRPr="00BD3405">
        <w:rPr>
          <w:rFonts w:ascii="Times" w:hAnsi="Times"/>
          <w:color w:val="000000"/>
        </w:rPr>
        <w:t xml:space="preserve">Notify the </w:t>
      </w:r>
      <w:r w:rsidR="006C598D" w:rsidRPr="00BD3405">
        <w:rPr>
          <w:rFonts w:ascii="Times" w:hAnsi="Times"/>
          <w:color w:val="000000"/>
        </w:rPr>
        <w:t xml:space="preserve">Chief Safety Officer </w:t>
      </w:r>
      <w:r w:rsidRPr="00BD3405">
        <w:rPr>
          <w:rFonts w:ascii="Times" w:hAnsi="Times"/>
          <w:color w:val="000000"/>
        </w:rPr>
        <w:t>prior to abandoning any monitoring well.</w:t>
      </w:r>
    </w:p>
    <w:p w14:paraId="2C3DE2EA" w14:textId="77777777" w:rsidR="00073569" w:rsidRPr="00BD3405" w:rsidRDefault="00073569" w:rsidP="00073569">
      <w:pPr>
        <w:ind w:left="720" w:hanging="720"/>
        <w:rPr>
          <w:rFonts w:ascii="Times" w:hAnsi="Times"/>
        </w:rPr>
      </w:pPr>
    </w:p>
    <w:p w14:paraId="5D36F08A" w14:textId="4AA90CDC" w:rsidR="00073569" w:rsidRPr="008F1D04" w:rsidRDefault="00073569" w:rsidP="00073569">
      <w:pPr>
        <w:ind w:left="720" w:hanging="720"/>
        <w:rPr>
          <w:rFonts w:ascii="Times" w:hAnsi="Times"/>
          <w:color w:val="000000"/>
        </w:rPr>
      </w:pPr>
      <w:r w:rsidRPr="00BD3405">
        <w:rPr>
          <w:rFonts w:ascii="Times" w:hAnsi="Times"/>
        </w:rPr>
        <w:t>6.</w:t>
      </w:r>
      <w:r w:rsidRPr="00BD3405">
        <w:rPr>
          <w:rFonts w:ascii="Times" w:hAnsi="Times"/>
        </w:rPr>
        <w:tab/>
      </w:r>
      <w:r w:rsidRPr="00BD3405">
        <w:rPr>
          <w:rFonts w:ascii="Times" w:hAnsi="Times"/>
          <w:color w:val="000000"/>
        </w:rPr>
        <w:t xml:space="preserve">Supply the </w:t>
      </w:r>
      <w:r w:rsidR="006C598D" w:rsidRPr="00BD3405">
        <w:rPr>
          <w:rFonts w:ascii="Times" w:hAnsi="Times"/>
          <w:color w:val="000000"/>
        </w:rPr>
        <w:t>Chief Safety Officer</w:t>
      </w:r>
      <w:r w:rsidR="006C598D" w:rsidRPr="008F1D04">
        <w:rPr>
          <w:rFonts w:ascii="Times" w:hAnsi="Times"/>
          <w:color w:val="000000"/>
        </w:rPr>
        <w:t xml:space="preserve"> </w:t>
      </w:r>
      <w:r w:rsidRPr="008F1D04">
        <w:rPr>
          <w:rFonts w:ascii="Times" w:hAnsi="Times"/>
          <w:color w:val="000000"/>
        </w:rPr>
        <w:t>with any information requested by the ES</w:t>
      </w:r>
      <w:r w:rsidR="005E098A">
        <w:rPr>
          <w:rFonts w:ascii="Times" w:hAnsi="Times"/>
          <w:color w:val="000000"/>
        </w:rPr>
        <w:t>&amp;</w:t>
      </w:r>
      <w:r w:rsidR="006C598D">
        <w:rPr>
          <w:rFonts w:ascii="Times" w:hAnsi="Times"/>
          <w:color w:val="000000"/>
        </w:rPr>
        <w:t>H</w:t>
      </w:r>
      <w:r w:rsidRPr="008F1D04">
        <w:rPr>
          <w:rFonts w:ascii="Times" w:hAnsi="Times"/>
          <w:color w:val="000000"/>
        </w:rPr>
        <w:t xml:space="preserve"> Section to fulfill inspection or maintenance requirements.</w:t>
      </w:r>
    </w:p>
    <w:p w14:paraId="1FB6CD8E" w14:textId="3232A0CE" w:rsidR="00BE0C08" w:rsidRDefault="00BE0C08" w:rsidP="00E00D72"/>
    <w:p w14:paraId="31DA7C0C" w14:textId="77777777" w:rsidR="00BE0C08" w:rsidRDefault="00F86384" w:rsidP="003E2A77">
      <w:pPr>
        <w:pStyle w:val="Heading1"/>
        <w:keepNext w:val="0"/>
      </w:pPr>
      <w:bookmarkStart w:id="6" w:name="_Toc84521978"/>
      <w:r>
        <w:t>PROCEDURES</w:t>
      </w:r>
      <w:bookmarkEnd w:id="6"/>
    </w:p>
    <w:p w14:paraId="25D5A5B0" w14:textId="77777777" w:rsidR="001E4839" w:rsidRPr="001E4839" w:rsidRDefault="001E4839" w:rsidP="00E00D72"/>
    <w:p w14:paraId="104215CD" w14:textId="3C529313" w:rsidR="00073569" w:rsidRPr="008F1D04" w:rsidRDefault="00073569" w:rsidP="00073569">
      <w:pPr>
        <w:rPr>
          <w:rFonts w:ascii="Times" w:hAnsi="Times"/>
          <w:color w:val="000000"/>
        </w:rPr>
      </w:pPr>
      <w:r w:rsidRPr="008F1D04">
        <w:rPr>
          <w:rFonts w:ascii="Times" w:hAnsi="Times"/>
        </w:rPr>
        <w:t xml:space="preserve">All new </w:t>
      </w:r>
      <w:r w:rsidR="00B7088C">
        <w:rPr>
          <w:rFonts w:ascii="Times" w:hAnsi="Times"/>
        </w:rPr>
        <w:t>excavation work, borings and wells</w:t>
      </w:r>
      <w:r w:rsidRPr="008F1D04">
        <w:rPr>
          <w:rFonts w:ascii="Times" w:hAnsi="Times"/>
        </w:rPr>
        <w:t xml:space="preserve"> constructed at Fermilab shall comply with the requirements of this chapter</w:t>
      </w:r>
      <w:r w:rsidR="00981C40">
        <w:rPr>
          <w:rFonts w:ascii="Times" w:hAnsi="Times"/>
        </w:rPr>
        <w:t xml:space="preserve"> and the referenced documents, </w:t>
      </w:r>
      <w:r w:rsidR="00B7088C">
        <w:rPr>
          <w:rFonts w:ascii="Times" w:hAnsi="Times"/>
        </w:rPr>
        <w:t>particular</w:t>
      </w:r>
      <w:r w:rsidR="00981C40">
        <w:rPr>
          <w:rFonts w:ascii="Times" w:hAnsi="Times"/>
        </w:rPr>
        <w:t xml:space="preserve">ly the </w:t>
      </w:r>
      <w:r w:rsidR="00B7088C">
        <w:rPr>
          <w:rFonts w:ascii="Times" w:hAnsi="Times"/>
        </w:rPr>
        <w:t xml:space="preserve">review criteria in the ERF and the monitoring well </w:t>
      </w:r>
      <w:r w:rsidR="00981C40">
        <w:rPr>
          <w:rFonts w:ascii="Times" w:hAnsi="Times"/>
        </w:rPr>
        <w:t xml:space="preserve">design and construction details </w:t>
      </w:r>
      <w:r w:rsidR="00857559">
        <w:rPr>
          <w:rFonts w:ascii="Times" w:hAnsi="Times"/>
        </w:rPr>
        <w:t>in the GMP</w:t>
      </w:r>
      <w:r w:rsidRPr="008F1D04">
        <w:rPr>
          <w:rFonts w:ascii="Times" w:hAnsi="Times"/>
        </w:rPr>
        <w:t xml:space="preserve">.  Monitoring wells currently maintained and monitored will be modified, if possible, to meet applicable requirements.  If a currently </w:t>
      </w:r>
      <w:r w:rsidRPr="008F1D04">
        <w:rPr>
          <w:rFonts w:ascii="Times" w:hAnsi="Times"/>
        </w:rPr>
        <w:lastRenderedPageBreak/>
        <w:t xml:space="preserve">managed monitoring well is determined by the </w:t>
      </w:r>
      <w:r w:rsidR="006A5D30">
        <w:rPr>
          <w:rFonts w:ascii="Times" w:hAnsi="Times"/>
        </w:rPr>
        <w:t>Chief Safety Officer</w:t>
      </w:r>
      <w:r w:rsidRPr="008F1D04">
        <w:rPr>
          <w:rFonts w:ascii="Times" w:hAnsi="Times"/>
        </w:rPr>
        <w:t xml:space="preserve"> to be unable to meet these requirements, it will be abandoned </w:t>
      </w:r>
      <w:r w:rsidRPr="008F1D04">
        <w:rPr>
          <w:rFonts w:ascii="Times" w:hAnsi="Times"/>
          <w:color w:val="000000"/>
        </w:rPr>
        <w:t>within 30 days.</w:t>
      </w:r>
    </w:p>
    <w:p w14:paraId="2E92757D" w14:textId="77777777" w:rsidR="00EA5D5A" w:rsidRDefault="00EA5D5A" w:rsidP="00073569">
      <w:pPr>
        <w:rPr>
          <w:rFonts w:ascii="Times" w:hAnsi="Times"/>
        </w:rPr>
      </w:pPr>
    </w:p>
    <w:p w14:paraId="524B0A2D" w14:textId="7B48AFF0" w:rsidR="00073569" w:rsidRPr="008F1D04" w:rsidRDefault="00EA5D5A" w:rsidP="00073569">
      <w:pPr>
        <w:rPr>
          <w:rFonts w:ascii="Times" w:hAnsi="Times"/>
        </w:rPr>
      </w:pPr>
      <w:r w:rsidRPr="008F1D04">
        <w:rPr>
          <w:rFonts w:ascii="Times" w:hAnsi="Times"/>
        </w:rPr>
        <w:t>Soil borings are for the characterization of subsurface materials only and shall not be used to fulfill the purposes of a monitoring well.</w:t>
      </w:r>
      <w:r>
        <w:rPr>
          <w:rFonts w:ascii="Times" w:hAnsi="Times"/>
        </w:rPr>
        <w:t xml:space="preserve"> B</w:t>
      </w:r>
      <w:r w:rsidRPr="008F1D04">
        <w:rPr>
          <w:rFonts w:ascii="Times" w:hAnsi="Times"/>
        </w:rPr>
        <w:t>orings must be closed immediately after drilling</w:t>
      </w:r>
      <w:r w:rsidRPr="008F1D04">
        <w:rPr>
          <w:rFonts w:ascii="Times" w:hAnsi="Times"/>
          <w:color w:val="000000"/>
        </w:rPr>
        <w:t xml:space="preserve">, before the drill rig is pulled off of the hole. </w:t>
      </w:r>
      <w:r w:rsidRPr="008F1D04">
        <w:rPr>
          <w:rFonts w:ascii="Times" w:hAnsi="Times"/>
        </w:rPr>
        <w:t xml:space="preserve"> Borings extending be</w:t>
      </w:r>
      <w:r>
        <w:rPr>
          <w:rFonts w:ascii="Times" w:hAnsi="Times"/>
        </w:rPr>
        <w:t xml:space="preserve">low ten feet </w:t>
      </w:r>
      <w:proofErr w:type="spellStart"/>
      <w:r>
        <w:rPr>
          <w:rFonts w:ascii="Times" w:hAnsi="Times"/>
        </w:rPr>
        <w:t>bgs</w:t>
      </w:r>
      <w:proofErr w:type="spellEnd"/>
      <w:r w:rsidRPr="008F1D04">
        <w:rPr>
          <w:rFonts w:ascii="Times" w:hAnsi="Times"/>
        </w:rPr>
        <w:t xml:space="preserve"> shall be properly grouted.  </w:t>
      </w:r>
    </w:p>
    <w:p w14:paraId="7884483B" w14:textId="77777777" w:rsidR="00EA5D5A" w:rsidRDefault="00EA5D5A" w:rsidP="00073569">
      <w:pPr>
        <w:rPr>
          <w:rFonts w:ascii="Times" w:hAnsi="Times"/>
        </w:rPr>
      </w:pPr>
    </w:p>
    <w:p w14:paraId="23D23CBC" w14:textId="128E4F48" w:rsidR="00073569" w:rsidRPr="002124B6" w:rsidRDefault="00073569" w:rsidP="00073569">
      <w:pPr>
        <w:rPr>
          <w:rFonts w:ascii="Times" w:hAnsi="Times"/>
        </w:rPr>
      </w:pPr>
      <w:r w:rsidRPr="002124B6">
        <w:rPr>
          <w:rFonts w:ascii="Times" w:hAnsi="Times"/>
        </w:rPr>
        <w:t>Managers of projects</w:t>
      </w:r>
      <w:r w:rsidRPr="002124B6">
        <w:rPr>
          <w:rFonts w:ascii="Times" w:hAnsi="Times"/>
          <w:color w:val="0000FF"/>
        </w:rPr>
        <w:t xml:space="preserve"> </w:t>
      </w:r>
      <w:r w:rsidRPr="002124B6">
        <w:rPr>
          <w:rFonts w:ascii="Times" w:hAnsi="Times"/>
        </w:rPr>
        <w:t>that require the installation of monitoring wells shall consult with the ES</w:t>
      </w:r>
      <w:r w:rsidR="00D11CC5">
        <w:rPr>
          <w:rFonts w:ascii="Times" w:hAnsi="Times"/>
        </w:rPr>
        <w:t>&amp;</w:t>
      </w:r>
      <w:r w:rsidR="007C5FB6" w:rsidRPr="002124B6">
        <w:rPr>
          <w:rFonts w:ascii="Times" w:hAnsi="Times"/>
        </w:rPr>
        <w:t>H</w:t>
      </w:r>
      <w:r w:rsidRPr="002124B6">
        <w:rPr>
          <w:rFonts w:ascii="Times" w:hAnsi="Times"/>
        </w:rPr>
        <w:t xml:space="preserve"> Section prior to installation of the wells.  This consultation will be initiated by an environmental review </w:t>
      </w:r>
      <w:r w:rsidR="007C5FB6" w:rsidRPr="002124B6">
        <w:rPr>
          <w:rFonts w:ascii="Times" w:hAnsi="Times"/>
        </w:rPr>
        <w:t xml:space="preserve">(via the ERF process) </w:t>
      </w:r>
      <w:r w:rsidRPr="002124B6">
        <w:rPr>
          <w:rFonts w:ascii="Times" w:hAnsi="Times"/>
        </w:rPr>
        <w:t xml:space="preserve">of any proposed subsurface exploration by the </w:t>
      </w:r>
      <w:r w:rsidR="007C5FB6" w:rsidRPr="002124B6">
        <w:rPr>
          <w:rFonts w:ascii="Times" w:hAnsi="Times"/>
        </w:rPr>
        <w:t>Chief Safety Officer</w:t>
      </w:r>
      <w:r w:rsidRPr="002124B6">
        <w:rPr>
          <w:rFonts w:ascii="Times" w:hAnsi="Times"/>
        </w:rPr>
        <w:t xml:space="preserve">.  The proposed project will be evaluated and authorization to proceed with the well installation and/or comments on the project will be forwarded back to the project manager.  The </w:t>
      </w:r>
      <w:r w:rsidR="007C5FB6" w:rsidRPr="002124B6">
        <w:rPr>
          <w:rFonts w:ascii="Times" w:hAnsi="Times"/>
        </w:rPr>
        <w:t xml:space="preserve">Chief Safety Officer </w:t>
      </w:r>
      <w:r w:rsidRPr="002124B6">
        <w:rPr>
          <w:rFonts w:ascii="Times" w:hAnsi="Times"/>
        </w:rPr>
        <w:t>shall then be notified prior to the construction of any new monitoring well.  After completion of construction, the responsible Division/Section</w:t>
      </w:r>
      <w:r w:rsidR="007C5FB6" w:rsidRPr="002124B6">
        <w:rPr>
          <w:rFonts w:ascii="Times" w:hAnsi="Times"/>
        </w:rPr>
        <w:t>/Project</w:t>
      </w:r>
      <w:r w:rsidRPr="002124B6">
        <w:rPr>
          <w:rFonts w:ascii="Times" w:hAnsi="Times"/>
        </w:rPr>
        <w:t xml:space="preserve"> will supply the ES</w:t>
      </w:r>
      <w:r w:rsidR="00D11CC5">
        <w:rPr>
          <w:rFonts w:ascii="Times" w:hAnsi="Times"/>
        </w:rPr>
        <w:t>&amp;</w:t>
      </w:r>
      <w:r w:rsidR="007C5FB6" w:rsidRPr="002124B6">
        <w:rPr>
          <w:rFonts w:ascii="Times" w:hAnsi="Times"/>
        </w:rPr>
        <w:t>H</w:t>
      </w:r>
      <w:r w:rsidRPr="002124B6">
        <w:rPr>
          <w:rFonts w:ascii="Times" w:hAnsi="Times"/>
        </w:rPr>
        <w:t xml:space="preserve"> Section with a copy of the Drill Log and Well Completion Report, along with any pertinent project plan/design information, so that it can be included in the centralized Monitoring Well Database and the Well Maintenance Program.  A copy of the key used to secure the above ground protective casing of any monitoring well shall be supplied to the ES</w:t>
      </w:r>
      <w:r w:rsidR="00D11CC5">
        <w:rPr>
          <w:rFonts w:ascii="Times" w:hAnsi="Times"/>
        </w:rPr>
        <w:t>&amp;</w:t>
      </w:r>
      <w:r w:rsidR="007C5FB6" w:rsidRPr="002124B6">
        <w:rPr>
          <w:rFonts w:ascii="Times" w:hAnsi="Times"/>
        </w:rPr>
        <w:t>H</w:t>
      </w:r>
      <w:r w:rsidRPr="002124B6">
        <w:rPr>
          <w:rFonts w:ascii="Times" w:hAnsi="Times"/>
        </w:rPr>
        <w:t xml:space="preserve"> Section during the project so that the monitoring well can be inspected.  Any monitoring well determined to be useful after project completion will be incorporated into the site-wide monitoring well network and will be transferred to the ES</w:t>
      </w:r>
      <w:r w:rsidR="00D11CC5">
        <w:rPr>
          <w:rFonts w:ascii="Times" w:hAnsi="Times"/>
        </w:rPr>
        <w:t>&amp;</w:t>
      </w:r>
      <w:r w:rsidR="007C5FB6" w:rsidRPr="002124B6">
        <w:rPr>
          <w:rFonts w:ascii="Times" w:hAnsi="Times"/>
        </w:rPr>
        <w:t>H</w:t>
      </w:r>
      <w:r w:rsidRPr="002124B6">
        <w:rPr>
          <w:rFonts w:ascii="Times" w:hAnsi="Times"/>
        </w:rPr>
        <w:t xml:space="preserve"> Section.  Any monitoring well included in the site-wide network will become the sole responsibility of the ES</w:t>
      </w:r>
      <w:r w:rsidR="00D11CC5">
        <w:rPr>
          <w:rFonts w:ascii="Times" w:hAnsi="Times"/>
        </w:rPr>
        <w:t>&amp;</w:t>
      </w:r>
      <w:r w:rsidR="007C5FB6" w:rsidRPr="002124B6">
        <w:rPr>
          <w:rFonts w:ascii="Times" w:hAnsi="Times"/>
        </w:rPr>
        <w:t>H</w:t>
      </w:r>
      <w:r w:rsidRPr="002124B6">
        <w:rPr>
          <w:rFonts w:ascii="Times" w:hAnsi="Times"/>
        </w:rPr>
        <w:t xml:space="preserve"> Section and will be secured by an ES</w:t>
      </w:r>
      <w:r w:rsidR="00D11CC5">
        <w:rPr>
          <w:rFonts w:ascii="Times" w:hAnsi="Times"/>
        </w:rPr>
        <w:t>&amp;</w:t>
      </w:r>
      <w:r w:rsidR="007C5FB6" w:rsidRPr="002124B6">
        <w:rPr>
          <w:rFonts w:ascii="Times" w:hAnsi="Times"/>
        </w:rPr>
        <w:t>H</w:t>
      </w:r>
      <w:r w:rsidRPr="002124B6">
        <w:rPr>
          <w:rFonts w:ascii="Times" w:hAnsi="Times"/>
        </w:rPr>
        <w:t xml:space="preserve"> Section lock.  Otherwise, the monitoring well </w:t>
      </w:r>
      <w:r w:rsidR="000576C8" w:rsidRPr="002124B6">
        <w:rPr>
          <w:rFonts w:ascii="Times" w:hAnsi="Times"/>
        </w:rPr>
        <w:t xml:space="preserve">shall </w:t>
      </w:r>
      <w:r w:rsidRPr="002124B6">
        <w:rPr>
          <w:rFonts w:ascii="Times" w:hAnsi="Times"/>
        </w:rPr>
        <w:t>be</w:t>
      </w:r>
      <w:r w:rsidR="000576C8" w:rsidRPr="002124B6">
        <w:rPr>
          <w:rFonts w:ascii="Times" w:hAnsi="Times"/>
        </w:rPr>
        <w:t xml:space="preserve"> </w:t>
      </w:r>
      <w:r w:rsidRPr="002124B6">
        <w:rPr>
          <w:rFonts w:ascii="Times" w:hAnsi="Times"/>
        </w:rPr>
        <w:t xml:space="preserve">abandoned </w:t>
      </w:r>
      <w:r w:rsidR="000576C8" w:rsidRPr="002124B6">
        <w:rPr>
          <w:rFonts w:ascii="Times" w:hAnsi="Times"/>
        </w:rPr>
        <w:t xml:space="preserve">by the responsible Division/Section/Project </w:t>
      </w:r>
      <w:r w:rsidRPr="002124B6">
        <w:rPr>
          <w:rFonts w:ascii="Times" w:hAnsi="Times"/>
        </w:rPr>
        <w:t>according to regulations.</w:t>
      </w:r>
    </w:p>
    <w:p w14:paraId="5370D0B6" w14:textId="77777777" w:rsidR="00073569" w:rsidRPr="002124B6" w:rsidRDefault="00073569" w:rsidP="00073569">
      <w:pPr>
        <w:rPr>
          <w:rFonts w:ascii="Times" w:hAnsi="Times"/>
        </w:rPr>
      </w:pPr>
    </w:p>
    <w:p w14:paraId="2A03BCD8" w14:textId="07636949" w:rsidR="00073569" w:rsidRPr="002124B6" w:rsidRDefault="00073569" w:rsidP="00073569">
      <w:pPr>
        <w:rPr>
          <w:rFonts w:ascii="Times" w:hAnsi="Times"/>
        </w:rPr>
      </w:pPr>
      <w:r w:rsidRPr="002124B6">
        <w:rPr>
          <w:rFonts w:ascii="Times" w:hAnsi="Times"/>
        </w:rPr>
        <w:t>An inspection of all monitoring wells constructed by other Division</w:t>
      </w:r>
      <w:r w:rsidR="007C5FB6" w:rsidRPr="002124B6">
        <w:rPr>
          <w:rFonts w:ascii="Times" w:hAnsi="Times"/>
        </w:rPr>
        <w:t>s</w:t>
      </w:r>
      <w:r w:rsidRPr="002124B6">
        <w:rPr>
          <w:rFonts w:ascii="Times" w:hAnsi="Times"/>
        </w:rPr>
        <w:t>/Sections</w:t>
      </w:r>
      <w:r w:rsidR="007C5FB6" w:rsidRPr="002124B6">
        <w:rPr>
          <w:rFonts w:ascii="Times" w:hAnsi="Times"/>
        </w:rPr>
        <w:t>/Projects</w:t>
      </w:r>
      <w:r w:rsidRPr="002124B6">
        <w:rPr>
          <w:rFonts w:ascii="Times" w:hAnsi="Times"/>
        </w:rPr>
        <w:t xml:space="preserve"> shall be conducted, after completion as well as periodically during the project period, by the </w:t>
      </w:r>
      <w:r w:rsidR="0042192B">
        <w:rPr>
          <w:rFonts w:ascii="Times" w:hAnsi="Times"/>
        </w:rPr>
        <w:t xml:space="preserve">Environmental Protection Department of the </w:t>
      </w:r>
      <w:r w:rsidRPr="002124B6">
        <w:rPr>
          <w:rFonts w:ascii="Times" w:hAnsi="Times"/>
        </w:rPr>
        <w:t>ES</w:t>
      </w:r>
      <w:r w:rsidR="00D11CC5">
        <w:rPr>
          <w:rFonts w:ascii="Times" w:hAnsi="Times"/>
        </w:rPr>
        <w:t>&amp;</w:t>
      </w:r>
      <w:r w:rsidR="002124B6" w:rsidRPr="002124B6">
        <w:rPr>
          <w:rFonts w:ascii="Times" w:hAnsi="Times"/>
        </w:rPr>
        <w:t>H</w:t>
      </w:r>
      <w:r w:rsidRPr="002124B6">
        <w:rPr>
          <w:rFonts w:ascii="Times" w:hAnsi="Times"/>
        </w:rPr>
        <w:t xml:space="preserve"> Section.  The Division/Section</w:t>
      </w:r>
      <w:r w:rsidR="002124B6" w:rsidRPr="002124B6">
        <w:rPr>
          <w:rFonts w:ascii="Times" w:hAnsi="Times"/>
        </w:rPr>
        <w:t>/Project</w:t>
      </w:r>
      <w:r w:rsidRPr="002124B6">
        <w:rPr>
          <w:rFonts w:ascii="Times" w:hAnsi="Times"/>
        </w:rPr>
        <w:t xml:space="preserve"> shall supply all records requested by the </w:t>
      </w:r>
      <w:r w:rsidR="002124B6" w:rsidRPr="002124B6">
        <w:rPr>
          <w:rFonts w:ascii="Times" w:hAnsi="Times"/>
        </w:rPr>
        <w:t>Chief Safety Officer</w:t>
      </w:r>
      <w:r w:rsidRPr="002124B6">
        <w:rPr>
          <w:rFonts w:ascii="Times" w:hAnsi="Times"/>
        </w:rPr>
        <w:t xml:space="preserve"> necessary to meet the inspection requirements.  Pertinent performance information includes well </w:t>
      </w:r>
      <w:r w:rsidR="007241E3">
        <w:rPr>
          <w:rFonts w:ascii="Times" w:hAnsi="Times"/>
        </w:rPr>
        <w:t>construction</w:t>
      </w:r>
      <w:r w:rsidRPr="002124B6">
        <w:rPr>
          <w:rFonts w:ascii="Times" w:hAnsi="Times"/>
        </w:rPr>
        <w:t xml:space="preserve">, well development information, </w:t>
      </w:r>
      <w:r w:rsidR="007241E3">
        <w:rPr>
          <w:rFonts w:ascii="Times" w:hAnsi="Times"/>
        </w:rPr>
        <w:t xml:space="preserve">and </w:t>
      </w:r>
      <w:r w:rsidRPr="002124B6">
        <w:rPr>
          <w:rFonts w:ascii="Times" w:hAnsi="Times"/>
        </w:rPr>
        <w:t>piezometric measurements. A report of review findings requiring action will be forwarded to the Division/Section</w:t>
      </w:r>
      <w:r w:rsidR="002124B6" w:rsidRPr="002124B6">
        <w:rPr>
          <w:rFonts w:ascii="Times" w:hAnsi="Times"/>
        </w:rPr>
        <w:t>/Project</w:t>
      </w:r>
      <w:r w:rsidRPr="002124B6">
        <w:rPr>
          <w:rFonts w:ascii="Times" w:hAnsi="Times"/>
        </w:rPr>
        <w:t xml:space="preserve"> from the </w:t>
      </w:r>
      <w:r w:rsidR="002124B6" w:rsidRPr="002124B6">
        <w:rPr>
          <w:rFonts w:ascii="Times" w:hAnsi="Times"/>
        </w:rPr>
        <w:t>Chief Safety Officer</w:t>
      </w:r>
      <w:r w:rsidRPr="002124B6">
        <w:rPr>
          <w:rFonts w:ascii="Times" w:hAnsi="Times"/>
        </w:rPr>
        <w:t>.</w:t>
      </w:r>
    </w:p>
    <w:p w14:paraId="738DC27A" w14:textId="77777777" w:rsidR="0029446A" w:rsidRDefault="0029446A" w:rsidP="00073569">
      <w:pPr>
        <w:rPr>
          <w:rFonts w:ascii="Times" w:hAnsi="Times"/>
        </w:rPr>
      </w:pPr>
    </w:p>
    <w:p w14:paraId="33BBBA6F" w14:textId="5B76B1BF" w:rsidR="00073569" w:rsidRDefault="00073569" w:rsidP="00073569">
      <w:pPr>
        <w:rPr>
          <w:rFonts w:ascii="Times" w:hAnsi="Times"/>
        </w:rPr>
      </w:pPr>
      <w:r w:rsidRPr="002124B6">
        <w:rPr>
          <w:rFonts w:ascii="Times" w:hAnsi="Times"/>
        </w:rPr>
        <w:t>All monitoring wells shall be included in the ES</w:t>
      </w:r>
      <w:r w:rsidR="00D11CC5">
        <w:rPr>
          <w:rFonts w:ascii="Times" w:hAnsi="Times"/>
        </w:rPr>
        <w:t>&amp;</w:t>
      </w:r>
      <w:r w:rsidR="002124B6" w:rsidRPr="002124B6">
        <w:rPr>
          <w:rFonts w:ascii="Times" w:hAnsi="Times"/>
        </w:rPr>
        <w:t>H</w:t>
      </w:r>
      <w:r w:rsidRPr="002124B6">
        <w:rPr>
          <w:rFonts w:ascii="Times" w:hAnsi="Times"/>
        </w:rPr>
        <w:t xml:space="preserve"> Section’s Well Maintenance Program.  The program will consist of periodic (annually at minimum) checking of performance and construction records as well as making sure the well is clearly visible, the well is accessible, the security system is operating adequately, well identification markers are adequate, checking for loss of integrity of the surface seal, and confirming that the well efficiency or performance has not changed significantly.</w:t>
      </w:r>
    </w:p>
    <w:p w14:paraId="43EBF656" w14:textId="77777777" w:rsidR="003048EB" w:rsidRDefault="003048EB" w:rsidP="00E00D72">
      <w:pPr>
        <w:rPr>
          <w:noProof/>
        </w:rPr>
      </w:pPr>
    </w:p>
    <w:p w14:paraId="4E561C0E" w14:textId="77777777" w:rsidR="00F86384" w:rsidRDefault="00F86384" w:rsidP="00BD5B55">
      <w:pPr>
        <w:pStyle w:val="Heading1"/>
      </w:pPr>
      <w:bookmarkStart w:id="7" w:name="_Toc84521979"/>
      <w:r>
        <w:t>R</w:t>
      </w:r>
      <w:r w:rsidR="00073569">
        <w:t>EFERENCES</w:t>
      </w:r>
      <w:bookmarkEnd w:id="7"/>
    </w:p>
    <w:p w14:paraId="587F249E" w14:textId="77777777" w:rsidR="00F86384" w:rsidRDefault="00F86384" w:rsidP="00E00D72"/>
    <w:p w14:paraId="20ACB1F1" w14:textId="77777777" w:rsidR="00073569" w:rsidRPr="008F1D04" w:rsidRDefault="00073569" w:rsidP="00073569">
      <w:pPr>
        <w:tabs>
          <w:tab w:val="right" w:pos="360"/>
          <w:tab w:val="left" w:pos="540"/>
        </w:tabs>
        <w:ind w:left="540" w:hanging="540"/>
        <w:rPr>
          <w:rFonts w:ascii="Times" w:hAnsi="Times"/>
          <w:color w:val="000000"/>
        </w:rPr>
      </w:pPr>
      <w:r w:rsidRPr="008F1D04">
        <w:rPr>
          <w:rFonts w:ascii="Times" w:hAnsi="Times"/>
          <w:color w:val="000000"/>
        </w:rPr>
        <w:tab/>
        <w:t>1.</w:t>
      </w:r>
      <w:r w:rsidRPr="008F1D04">
        <w:rPr>
          <w:rFonts w:ascii="Times" w:hAnsi="Times"/>
          <w:color w:val="000000"/>
        </w:rPr>
        <w:tab/>
        <w:t>Title 77:  Public Health, Chapter I:  Department of Public Health, Subchapter r:  Water and Sewage, Part 920:  Illinois Water Well Construction Code.  2000.</w:t>
      </w:r>
    </w:p>
    <w:p w14:paraId="1C333DA6" w14:textId="77777777" w:rsidR="00073569" w:rsidRPr="008F1D04" w:rsidRDefault="00073569" w:rsidP="00073569">
      <w:pPr>
        <w:tabs>
          <w:tab w:val="right" w:pos="360"/>
          <w:tab w:val="left" w:pos="540"/>
        </w:tabs>
        <w:ind w:left="540" w:hanging="540"/>
        <w:rPr>
          <w:rFonts w:ascii="Times" w:hAnsi="Times"/>
          <w:color w:val="000000"/>
        </w:rPr>
      </w:pPr>
    </w:p>
    <w:p w14:paraId="74D0CDA3" w14:textId="77777777" w:rsidR="00073569" w:rsidRPr="008F1D04" w:rsidRDefault="00073569" w:rsidP="00073569">
      <w:pPr>
        <w:tabs>
          <w:tab w:val="right" w:pos="360"/>
          <w:tab w:val="left" w:pos="540"/>
        </w:tabs>
        <w:ind w:left="540" w:hanging="540"/>
        <w:rPr>
          <w:rFonts w:ascii="Times" w:hAnsi="Times"/>
          <w:color w:val="000000"/>
        </w:rPr>
      </w:pPr>
      <w:r w:rsidRPr="008F1D04">
        <w:rPr>
          <w:rFonts w:ascii="Times" w:hAnsi="Times"/>
          <w:color w:val="000000"/>
        </w:rPr>
        <w:lastRenderedPageBreak/>
        <w:tab/>
        <w:t>2.</w:t>
      </w:r>
      <w:r w:rsidRPr="008F1D04">
        <w:rPr>
          <w:rFonts w:ascii="Times" w:hAnsi="Times"/>
          <w:color w:val="000000"/>
        </w:rPr>
        <w:tab/>
        <w:t xml:space="preserve">Ordinance Number </w:t>
      </w:r>
      <w:r w:rsidRPr="008F1D04">
        <w:rPr>
          <w:rFonts w:ascii="Times" w:hAnsi="Times"/>
        </w:rPr>
        <w:t>Ord. 04-199, 5-11-2004</w:t>
      </w:r>
      <w:r w:rsidRPr="008F1D04">
        <w:rPr>
          <w:rFonts w:ascii="Times" w:hAnsi="Times"/>
          <w:color w:val="000000"/>
        </w:rPr>
        <w:t>.  State of Illinois, County of Kane, Water Supplies/Wells.  2004.</w:t>
      </w:r>
    </w:p>
    <w:p w14:paraId="096DD93C" w14:textId="77777777" w:rsidR="00073569" w:rsidRPr="008F1D04" w:rsidRDefault="00073569" w:rsidP="00073569">
      <w:pPr>
        <w:tabs>
          <w:tab w:val="right" w:pos="360"/>
          <w:tab w:val="left" w:pos="540"/>
        </w:tabs>
        <w:ind w:left="540" w:hanging="540"/>
        <w:rPr>
          <w:rFonts w:ascii="Times" w:hAnsi="Times"/>
          <w:color w:val="000000"/>
        </w:rPr>
      </w:pPr>
    </w:p>
    <w:p w14:paraId="795699E4" w14:textId="77777777" w:rsidR="001A74A8" w:rsidRPr="00A638D1" w:rsidRDefault="00073569" w:rsidP="00A638D1">
      <w:pPr>
        <w:tabs>
          <w:tab w:val="right" w:pos="360"/>
          <w:tab w:val="left" w:pos="540"/>
        </w:tabs>
        <w:ind w:left="540" w:hanging="540"/>
        <w:rPr>
          <w:rFonts w:ascii="Times" w:hAnsi="Times"/>
          <w:color w:val="000000"/>
        </w:rPr>
      </w:pPr>
      <w:r w:rsidRPr="008F1D04">
        <w:rPr>
          <w:rFonts w:ascii="Times" w:hAnsi="Times"/>
          <w:color w:val="000000"/>
        </w:rPr>
        <w:tab/>
        <w:t>3</w:t>
      </w:r>
      <w:r w:rsidRPr="008F1D04">
        <w:rPr>
          <w:rFonts w:ascii="Times" w:hAnsi="Times"/>
          <w:color w:val="000000"/>
        </w:rPr>
        <w:tab/>
        <w:t>Ordinance Article 18-4.  DuPage County Health Department Private Water Supply Ordinance.  2003</w:t>
      </w:r>
    </w:p>
    <w:sectPr w:rsidR="001A74A8" w:rsidRPr="00A638D1" w:rsidSect="00D213D6">
      <w:type w:val="continuous"/>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3E227" w14:textId="77777777" w:rsidR="006D3C1F" w:rsidRDefault="006D3C1F" w:rsidP="00CB66DF">
      <w:r>
        <w:separator/>
      </w:r>
    </w:p>
  </w:endnote>
  <w:endnote w:type="continuationSeparator" w:id="0">
    <w:p w14:paraId="66697166" w14:textId="77777777" w:rsidR="006D3C1F" w:rsidRDefault="006D3C1F"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39F1D" w14:textId="77777777" w:rsidR="00D213D6" w:rsidRDefault="00BE75B5" w:rsidP="00D213D6">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8011-</w:t>
    </w:r>
    <w:r w:rsidR="009118A9">
      <w:rPr>
        <w:rFonts w:ascii="Palatino" w:hAnsi="Palatino"/>
        <w:sz w:val="18"/>
      </w:rPr>
      <w:t>4</w:t>
    </w:r>
  </w:p>
  <w:p w14:paraId="748C1E82" w14:textId="77777777" w:rsidR="00D213D6" w:rsidRDefault="00D213D6" w:rsidP="00D213D6">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ES&amp;H</w:t>
    </w:r>
    <w:r w:rsidRPr="00320751">
      <w:rPr>
        <w:rFonts w:ascii="Palatino" w:hAnsi="Palatino"/>
        <w:i/>
        <w:sz w:val="18"/>
      </w:rPr>
      <w:t xml:space="preserve"> Section website.</w:t>
    </w:r>
    <w:r>
      <w:rPr>
        <w:rFonts w:ascii="Palatino" w:hAnsi="Palatino"/>
        <w:sz w:val="18"/>
      </w:rPr>
      <w:tab/>
    </w:r>
    <w:r>
      <w:rPr>
        <w:sz w:val="18"/>
        <w:szCs w:val="18"/>
      </w:rPr>
      <w:t>Rev. 9</w:t>
    </w:r>
    <w:r w:rsidRPr="00A71082">
      <w:rPr>
        <w:sz w:val="18"/>
        <w:szCs w:val="18"/>
      </w:rPr>
      <w:t>/20</w:t>
    </w:r>
    <w:r>
      <w:rPr>
        <w:sz w:val="18"/>
        <w:szCs w:val="18"/>
      </w:rPr>
      <w:t>21</w:t>
    </w:r>
    <w:r w:rsidRPr="00A71082">
      <w:rPr>
        <w:rFonts w:ascii="Palatino" w:hAnsi="Palatino"/>
        <w:sz w:val="18"/>
        <w:szCs w:val="18"/>
      </w:rPr>
      <w:t xml:space="preserve"> </w:t>
    </w:r>
    <w:r w:rsidRPr="00E131D2">
      <w:rPr>
        <w:rFonts w:ascii="Palatino" w:hAnsi="Palatino"/>
      </w:rPr>
      <w:t xml:space="preserve">    </w:t>
    </w:r>
  </w:p>
  <w:p w14:paraId="3E7B5A16" w14:textId="77777777" w:rsidR="00D213D6" w:rsidRDefault="00D213D6" w:rsidP="00D213D6">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093F56C7" w14:textId="1BC298D4" w:rsidR="00BE75B5" w:rsidRPr="00D213D6" w:rsidRDefault="00BE75B5" w:rsidP="00D213D6">
    <w:pPr>
      <w:pStyle w:val="Footer"/>
      <w:pBdr>
        <w:top w:val="single" w:sz="6"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D2DCF" w14:textId="77777777" w:rsidR="006D3C1F" w:rsidRDefault="006D3C1F" w:rsidP="00CB66DF">
      <w:r>
        <w:separator/>
      </w:r>
    </w:p>
  </w:footnote>
  <w:footnote w:type="continuationSeparator" w:id="0">
    <w:p w14:paraId="226F948F" w14:textId="77777777" w:rsidR="006D3C1F" w:rsidRDefault="006D3C1F"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F2D10" w14:textId="58C2F7A1" w:rsidR="00BE75B5" w:rsidRDefault="00BE75B5" w:rsidP="00E00D72">
    <w:pPr>
      <w:pStyle w:val="Heade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1"/>
      <w:gridCol w:w="2735"/>
    </w:tblGrid>
    <w:tr w:rsidR="00A305C6" w:rsidRPr="00423E3B" w14:paraId="5986E006" w14:textId="77777777" w:rsidTr="00A305C6">
      <w:trPr>
        <w:trHeight w:val="611"/>
      </w:trPr>
      <w:tc>
        <w:tcPr>
          <w:tcW w:w="2676" w:type="dxa"/>
        </w:tcPr>
        <w:p w14:paraId="76CACA07" w14:textId="77777777" w:rsidR="00A305C6" w:rsidRDefault="00A305C6" w:rsidP="00A305C6">
          <w:r w:rsidRPr="00684839">
            <w:rPr>
              <w:noProof/>
            </w:rPr>
            <w:drawing>
              <wp:anchor distT="0" distB="0" distL="114300" distR="114300" simplePos="0" relativeHeight="251659264" behindDoc="0" locked="0" layoutInCell="1" allowOverlap="0" wp14:anchorId="264D2497" wp14:editId="78818999">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1" w:type="dxa"/>
          <w:vAlign w:val="center"/>
        </w:tcPr>
        <w:p w14:paraId="5CB556B1" w14:textId="77777777" w:rsidR="00A305C6" w:rsidRDefault="00A305C6" w:rsidP="00A305C6">
          <w:pPr>
            <w:jc w:val="center"/>
          </w:pPr>
          <w:r>
            <w:t>ES&amp;H Manual</w:t>
          </w:r>
        </w:p>
      </w:tc>
      <w:tc>
        <w:tcPr>
          <w:tcW w:w="2735" w:type="dxa"/>
          <w:vAlign w:val="center"/>
        </w:tcPr>
        <w:p w14:paraId="33CBB0B9" w14:textId="4B6631EE" w:rsidR="00A305C6" w:rsidRPr="00423E3B" w:rsidRDefault="00A305C6" w:rsidP="00A305C6">
          <w:pPr>
            <w:jc w:val="center"/>
          </w:pPr>
          <w:r>
            <w:t>FESHM 8011</w:t>
          </w:r>
        </w:p>
        <w:p w14:paraId="28477CAE" w14:textId="6C1312BD" w:rsidR="00A305C6" w:rsidRPr="00423E3B" w:rsidRDefault="007B0D5C" w:rsidP="00A305C6">
          <w:pPr>
            <w:jc w:val="center"/>
          </w:pPr>
          <w:r>
            <w:t>Octo</w:t>
          </w:r>
          <w:r w:rsidR="005E098A">
            <w:t>ber</w:t>
          </w:r>
          <w:r w:rsidR="00A305C6">
            <w:t xml:space="preserve"> </w:t>
          </w:r>
          <w:r w:rsidR="003B5959">
            <w:t>20</w:t>
          </w:r>
          <w:r w:rsidR="005E098A">
            <w:t>2</w:t>
          </w:r>
          <w:r w:rsidR="0029446A">
            <w:t>1</w:t>
          </w:r>
        </w:p>
      </w:tc>
    </w:tr>
  </w:tbl>
  <w:p w14:paraId="58C3B241" w14:textId="77777777" w:rsidR="00BE75B5" w:rsidRDefault="00BE75B5"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D3309C5"/>
    <w:multiLevelType w:val="hybridMultilevel"/>
    <w:tmpl w:val="90C8C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6012D9"/>
    <w:multiLevelType w:val="multilevel"/>
    <w:tmpl w:val="0730154A"/>
    <w:lvl w:ilvl="0">
      <w:start w:val="1"/>
      <w:numFmt w:val="decimal"/>
      <w:pStyle w:val="Heading1"/>
      <w:lvlText w:val="%1.0"/>
      <w:lvlJc w:val="left"/>
      <w:pPr>
        <w:ind w:left="1422"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7"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num w:numId="1">
    <w:abstractNumId w:val="8"/>
  </w:num>
  <w:num w:numId="2">
    <w:abstractNumId w:val="6"/>
  </w:num>
  <w:num w:numId="3">
    <w:abstractNumId w:val="5"/>
  </w:num>
  <w:num w:numId="4">
    <w:abstractNumId w:val="2"/>
  </w:num>
  <w:num w:numId="5">
    <w:abstractNumId w:val="7"/>
  </w:num>
  <w:num w:numId="6">
    <w:abstractNumId w:val="1"/>
  </w:num>
  <w:num w:numId="7">
    <w:abstractNumId w:val="0"/>
  </w:num>
  <w:num w:numId="8">
    <w:abstractNumId w:val="4"/>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3E3F"/>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6C8"/>
    <w:rsid w:val="000578BB"/>
    <w:rsid w:val="00060903"/>
    <w:rsid w:val="00061473"/>
    <w:rsid w:val="000629F3"/>
    <w:rsid w:val="00063F1F"/>
    <w:rsid w:val="00065AC6"/>
    <w:rsid w:val="00071B76"/>
    <w:rsid w:val="00071D86"/>
    <w:rsid w:val="00073569"/>
    <w:rsid w:val="000753FB"/>
    <w:rsid w:val="00077A12"/>
    <w:rsid w:val="00077CC7"/>
    <w:rsid w:val="0008004A"/>
    <w:rsid w:val="0008360F"/>
    <w:rsid w:val="000843FD"/>
    <w:rsid w:val="00084E8E"/>
    <w:rsid w:val="00087098"/>
    <w:rsid w:val="00087650"/>
    <w:rsid w:val="000903AC"/>
    <w:rsid w:val="0009048F"/>
    <w:rsid w:val="0009201D"/>
    <w:rsid w:val="00092162"/>
    <w:rsid w:val="00092598"/>
    <w:rsid w:val="0009599A"/>
    <w:rsid w:val="00095A16"/>
    <w:rsid w:val="00096281"/>
    <w:rsid w:val="000967BA"/>
    <w:rsid w:val="000A3199"/>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04EF2"/>
    <w:rsid w:val="00111D51"/>
    <w:rsid w:val="00112583"/>
    <w:rsid w:val="00112AE3"/>
    <w:rsid w:val="00113419"/>
    <w:rsid w:val="001160E1"/>
    <w:rsid w:val="00120D90"/>
    <w:rsid w:val="00121965"/>
    <w:rsid w:val="00124813"/>
    <w:rsid w:val="00130521"/>
    <w:rsid w:val="00131A6B"/>
    <w:rsid w:val="00134F2E"/>
    <w:rsid w:val="001358C6"/>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0CA9"/>
    <w:rsid w:val="001638A8"/>
    <w:rsid w:val="001655FE"/>
    <w:rsid w:val="001671F2"/>
    <w:rsid w:val="001675C4"/>
    <w:rsid w:val="00167EFC"/>
    <w:rsid w:val="001727E1"/>
    <w:rsid w:val="00173293"/>
    <w:rsid w:val="00175BCA"/>
    <w:rsid w:val="00177097"/>
    <w:rsid w:val="00177CD0"/>
    <w:rsid w:val="00180D9E"/>
    <w:rsid w:val="00181736"/>
    <w:rsid w:val="00181C2B"/>
    <w:rsid w:val="00182587"/>
    <w:rsid w:val="00187BC6"/>
    <w:rsid w:val="00187F2A"/>
    <w:rsid w:val="00190167"/>
    <w:rsid w:val="0019249C"/>
    <w:rsid w:val="00192D5D"/>
    <w:rsid w:val="00194594"/>
    <w:rsid w:val="001951AE"/>
    <w:rsid w:val="00195AF3"/>
    <w:rsid w:val="001A2707"/>
    <w:rsid w:val="001A2CF3"/>
    <w:rsid w:val="001A2D45"/>
    <w:rsid w:val="001A3403"/>
    <w:rsid w:val="001A74A8"/>
    <w:rsid w:val="001B33CF"/>
    <w:rsid w:val="001B5668"/>
    <w:rsid w:val="001B623B"/>
    <w:rsid w:val="001B6A20"/>
    <w:rsid w:val="001C167C"/>
    <w:rsid w:val="001D0542"/>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1F7FB9"/>
    <w:rsid w:val="00200E8A"/>
    <w:rsid w:val="002024AE"/>
    <w:rsid w:val="002028EB"/>
    <w:rsid w:val="00202A15"/>
    <w:rsid w:val="00203E01"/>
    <w:rsid w:val="002070AE"/>
    <w:rsid w:val="002078BB"/>
    <w:rsid w:val="00207EAC"/>
    <w:rsid w:val="00210CB6"/>
    <w:rsid w:val="00210E9A"/>
    <w:rsid w:val="002124B6"/>
    <w:rsid w:val="002149DE"/>
    <w:rsid w:val="0022039C"/>
    <w:rsid w:val="00221181"/>
    <w:rsid w:val="00224423"/>
    <w:rsid w:val="00230C9C"/>
    <w:rsid w:val="00231245"/>
    <w:rsid w:val="00237834"/>
    <w:rsid w:val="00240A0C"/>
    <w:rsid w:val="00241C70"/>
    <w:rsid w:val="002423A5"/>
    <w:rsid w:val="002441F5"/>
    <w:rsid w:val="00244E31"/>
    <w:rsid w:val="002452C2"/>
    <w:rsid w:val="002537CB"/>
    <w:rsid w:val="00256813"/>
    <w:rsid w:val="00263F3B"/>
    <w:rsid w:val="00265ED9"/>
    <w:rsid w:val="00266C7B"/>
    <w:rsid w:val="00267A46"/>
    <w:rsid w:val="0027397C"/>
    <w:rsid w:val="0027613C"/>
    <w:rsid w:val="00276AB1"/>
    <w:rsid w:val="00280457"/>
    <w:rsid w:val="0028562B"/>
    <w:rsid w:val="00285A6D"/>
    <w:rsid w:val="00285CFC"/>
    <w:rsid w:val="002900AF"/>
    <w:rsid w:val="0029446A"/>
    <w:rsid w:val="00295187"/>
    <w:rsid w:val="00295D6F"/>
    <w:rsid w:val="0029668C"/>
    <w:rsid w:val="002A6EDC"/>
    <w:rsid w:val="002A71D3"/>
    <w:rsid w:val="002B0B0A"/>
    <w:rsid w:val="002B107E"/>
    <w:rsid w:val="002B2D45"/>
    <w:rsid w:val="002B5B37"/>
    <w:rsid w:val="002C2CF5"/>
    <w:rsid w:val="002D175B"/>
    <w:rsid w:val="002D19E5"/>
    <w:rsid w:val="002D2A16"/>
    <w:rsid w:val="002D59DB"/>
    <w:rsid w:val="002D7124"/>
    <w:rsid w:val="002D76F3"/>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8A8"/>
    <w:rsid w:val="003129BC"/>
    <w:rsid w:val="00320BE0"/>
    <w:rsid w:val="00321CC4"/>
    <w:rsid w:val="00324707"/>
    <w:rsid w:val="00330479"/>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4A2D"/>
    <w:rsid w:val="003559A3"/>
    <w:rsid w:val="00355F6A"/>
    <w:rsid w:val="003577B6"/>
    <w:rsid w:val="00361AC4"/>
    <w:rsid w:val="00365CB6"/>
    <w:rsid w:val="00366ED2"/>
    <w:rsid w:val="0036718E"/>
    <w:rsid w:val="00370122"/>
    <w:rsid w:val="00371A11"/>
    <w:rsid w:val="00373B2D"/>
    <w:rsid w:val="00375FF1"/>
    <w:rsid w:val="003772F5"/>
    <w:rsid w:val="00380ED8"/>
    <w:rsid w:val="003844C0"/>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959"/>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E7E22"/>
    <w:rsid w:val="003F09C1"/>
    <w:rsid w:val="003F2636"/>
    <w:rsid w:val="003F4F93"/>
    <w:rsid w:val="003F5679"/>
    <w:rsid w:val="003F71F9"/>
    <w:rsid w:val="003F760F"/>
    <w:rsid w:val="00401546"/>
    <w:rsid w:val="00402787"/>
    <w:rsid w:val="00403434"/>
    <w:rsid w:val="0040419E"/>
    <w:rsid w:val="00404230"/>
    <w:rsid w:val="004049E6"/>
    <w:rsid w:val="00406BE2"/>
    <w:rsid w:val="00407DDC"/>
    <w:rsid w:val="00411AB0"/>
    <w:rsid w:val="00412AEF"/>
    <w:rsid w:val="0042192B"/>
    <w:rsid w:val="00421E7E"/>
    <w:rsid w:val="004253EE"/>
    <w:rsid w:val="0042555C"/>
    <w:rsid w:val="0042586B"/>
    <w:rsid w:val="00430A76"/>
    <w:rsid w:val="00430F28"/>
    <w:rsid w:val="0043512A"/>
    <w:rsid w:val="00436D22"/>
    <w:rsid w:val="00440CD6"/>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2F34"/>
    <w:rsid w:val="00477270"/>
    <w:rsid w:val="00477ADE"/>
    <w:rsid w:val="00481569"/>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0EA"/>
    <w:rsid w:val="004B1826"/>
    <w:rsid w:val="004B1C33"/>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40A"/>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2B22"/>
    <w:rsid w:val="00554664"/>
    <w:rsid w:val="00556C8F"/>
    <w:rsid w:val="00557D8C"/>
    <w:rsid w:val="0056397B"/>
    <w:rsid w:val="0056700E"/>
    <w:rsid w:val="00567C3E"/>
    <w:rsid w:val="00567CFB"/>
    <w:rsid w:val="0057080E"/>
    <w:rsid w:val="00570923"/>
    <w:rsid w:val="005753AB"/>
    <w:rsid w:val="00576174"/>
    <w:rsid w:val="005766C2"/>
    <w:rsid w:val="00580564"/>
    <w:rsid w:val="00581849"/>
    <w:rsid w:val="0058188E"/>
    <w:rsid w:val="00582ABE"/>
    <w:rsid w:val="0058507D"/>
    <w:rsid w:val="00587C3E"/>
    <w:rsid w:val="005955E8"/>
    <w:rsid w:val="00597536"/>
    <w:rsid w:val="00597E1A"/>
    <w:rsid w:val="005A01EA"/>
    <w:rsid w:val="005A03E8"/>
    <w:rsid w:val="005A0424"/>
    <w:rsid w:val="005A28DE"/>
    <w:rsid w:val="005A345A"/>
    <w:rsid w:val="005A581D"/>
    <w:rsid w:val="005A5829"/>
    <w:rsid w:val="005A6337"/>
    <w:rsid w:val="005A64E9"/>
    <w:rsid w:val="005A78C3"/>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098A"/>
    <w:rsid w:val="005E17F9"/>
    <w:rsid w:val="005E2756"/>
    <w:rsid w:val="005E35C3"/>
    <w:rsid w:val="005E36E1"/>
    <w:rsid w:val="005E54C9"/>
    <w:rsid w:val="005E55D1"/>
    <w:rsid w:val="005E6896"/>
    <w:rsid w:val="005F0345"/>
    <w:rsid w:val="005F3DAF"/>
    <w:rsid w:val="005F421A"/>
    <w:rsid w:val="00601C69"/>
    <w:rsid w:val="006078FB"/>
    <w:rsid w:val="00610220"/>
    <w:rsid w:val="00612F85"/>
    <w:rsid w:val="006162B3"/>
    <w:rsid w:val="00616CEB"/>
    <w:rsid w:val="00623745"/>
    <w:rsid w:val="0062521B"/>
    <w:rsid w:val="0062566D"/>
    <w:rsid w:val="00626A77"/>
    <w:rsid w:val="00627DBD"/>
    <w:rsid w:val="00631C53"/>
    <w:rsid w:val="00634122"/>
    <w:rsid w:val="00635911"/>
    <w:rsid w:val="00635BAF"/>
    <w:rsid w:val="00636BFB"/>
    <w:rsid w:val="00637DB0"/>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7A7"/>
    <w:rsid w:val="00661C2A"/>
    <w:rsid w:val="006630E0"/>
    <w:rsid w:val="006643FE"/>
    <w:rsid w:val="00664E5B"/>
    <w:rsid w:val="00666919"/>
    <w:rsid w:val="00672E7C"/>
    <w:rsid w:val="00675D60"/>
    <w:rsid w:val="00677CDB"/>
    <w:rsid w:val="00687887"/>
    <w:rsid w:val="00692AB4"/>
    <w:rsid w:val="0069414A"/>
    <w:rsid w:val="006967EF"/>
    <w:rsid w:val="006A163C"/>
    <w:rsid w:val="006A4814"/>
    <w:rsid w:val="006A5D30"/>
    <w:rsid w:val="006A7918"/>
    <w:rsid w:val="006B037A"/>
    <w:rsid w:val="006B06BF"/>
    <w:rsid w:val="006B1391"/>
    <w:rsid w:val="006B6510"/>
    <w:rsid w:val="006C1FFA"/>
    <w:rsid w:val="006C29EA"/>
    <w:rsid w:val="006C4812"/>
    <w:rsid w:val="006C598D"/>
    <w:rsid w:val="006C607F"/>
    <w:rsid w:val="006C7429"/>
    <w:rsid w:val="006D0A0A"/>
    <w:rsid w:val="006D21C5"/>
    <w:rsid w:val="006D3C1F"/>
    <w:rsid w:val="006D49B3"/>
    <w:rsid w:val="006D68A2"/>
    <w:rsid w:val="006E1CA8"/>
    <w:rsid w:val="006E6054"/>
    <w:rsid w:val="006E6B33"/>
    <w:rsid w:val="006E7F4F"/>
    <w:rsid w:val="006F1673"/>
    <w:rsid w:val="006F7496"/>
    <w:rsid w:val="00700648"/>
    <w:rsid w:val="00700ECB"/>
    <w:rsid w:val="00703386"/>
    <w:rsid w:val="007109F4"/>
    <w:rsid w:val="00710F82"/>
    <w:rsid w:val="00713C77"/>
    <w:rsid w:val="00716B09"/>
    <w:rsid w:val="00721E35"/>
    <w:rsid w:val="007241E3"/>
    <w:rsid w:val="007254D8"/>
    <w:rsid w:val="007271A3"/>
    <w:rsid w:val="00735190"/>
    <w:rsid w:val="0073556E"/>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562A"/>
    <w:rsid w:val="007774FE"/>
    <w:rsid w:val="00781F51"/>
    <w:rsid w:val="0078282A"/>
    <w:rsid w:val="007852F2"/>
    <w:rsid w:val="00786ECC"/>
    <w:rsid w:val="00790515"/>
    <w:rsid w:val="00790CBC"/>
    <w:rsid w:val="00790EC3"/>
    <w:rsid w:val="00791740"/>
    <w:rsid w:val="0079178C"/>
    <w:rsid w:val="00792643"/>
    <w:rsid w:val="00794290"/>
    <w:rsid w:val="00794AED"/>
    <w:rsid w:val="00797AFD"/>
    <w:rsid w:val="00797DD5"/>
    <w:rsid w:val="007A03C8"/>
    <w:rsid w:val="007A33A6"/>
    <w:rsid w:val="007A6E0B"/>
    <w:rsid w:val="007B01C7"/>
    <w:rsid w:val="007B0A07"/>
    <w:rsid w:val="007B0D5C"/>
    <w:rsid w:val="007B24E2"/>
    <w:rsid w:val="007B2A87"/>
    <w:rsid w:val="007B5C03"/>
    <w:rsid w:val="007B5E32"/>
    <w:rsid w:val="007C1F6E"/>
    <w:rsid w:val="007C5FB6"/>
    <w:rsid w:val="007C6A2B"/>
    <w:rsid w:val="007D0127"/>
    <w:rsid w:val="007D0483"/>
    <w:rsid w:val="007D5A75"/>
    <w:rsid w:val="007E0D20"/>
    <w:rsid w:val="007E1C72"/>
    <w:rsid w:val="007E1D63"/>
    <w:rsid w:val="007E260E"/>
    <w:rsid w:val="007E26F1"/>
    <w:rsid w:val="007E5BBC"/>
    <w:rsid w:val="007E762A"/>
    <w:rsid w:val="007E7E8D"/>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3CC5"/>
    <w:rsid w:val="008349D8"/>
    <w:rsid w:val="008370AE"/>
    <w:rsid w:val="00841C86"/>
    <w:rsid w:val="008445CC"/>
    <w:rsid w:val="008456C3"/>
    <w:rsid w:val="008462A2"/>
    <w:rsid w:val="008469D0"/>
    <w:rsid w:val="00851803"/>
    <w:rsid w:val="00852E46"/>
    <w:rsid w:val="008532CC"/>
    <w:rsid w:val="008564AB"/>
    <w:rsid w:val="00857559"/>
    <w:rsid w:val="008620B7"/>
    <w:rsid w:val="00863AA2"/>
    <w:rsid w:val="008648A9"/>
    <w:rsid w:val="00866DC4"/>
    <w:rsid w:val="00871823"/>
    <w:rsid w:val="008728F9"/>
    <w:rsid w:val="008729A4"/>
    <w:rsid w:val="0087342B"/>
    <w:rsid w:val="0087509C"/>
    <w:rsid w:val="008768A4"/>
    <w:rsid w:val="008844F1"/>
    <w:rsid w:val="00884552"/>
    <w:rsid w:val="008858C7"/>
    <w:rsid w:val="00886ED1"/>
    <w:rsid w:val="00892A5D"/>
    <w:rsid w:val="00893ACF"/>
    <w:rsid w:val="008A2DD0"/>
    <w:rsid w:val="008A52FB"/>
    <w:rsid w:val="008A7D0C"/>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18A9"/>
    <w:rsid w:val="00912006"/>
    <w:rsid w:val="009121E5"/>
    <w:rsid w:val="00912F61"/>
    <w:rsid w:val="009131D7"/>
    <w:rsid w:val="00920AAC"/>
    <w:rsid w:val="0092515C"/>
    <w:rsid w:val="009272B7"/>
    <w:rsid w:val="00930E9D"/>
    <w:rsid w:val="00931484"/>
    <w:rsid w:val="00931E19"/>
    <w:rsid w:val="00931FCA"/>
    <w:rsid w:val="009349E5"/>
    <w:rsid w:val="00936BFE"/>
    <w:rsid w:val="0094044D"/>
    <w:rsid w:val="00941B62"/>
    <w:rsid w:val="00943CD3"/>
    <w:rsid w:val="00944501"/>
    <w:rsid w:val="009462A5"/>
    <w:rsid w:val="009533AB"/>
    <w:rsid w:val="009571BC"/>
    <w:rsid w:val="0096026A"/>
    <w:rsid w:val="00962080"/>
    <w:rsid w:val="00963616"/>
    <w:rsid w:val="00965807"/>
    <w:rsid w:val="00965D6D"/>
    <w:rsid w:val="0096677E"/>
    <w:rsid w:val="009667C3"/>
    <w:rsid w:val="009676A5"/>
    <w:rsid w:val="009702F3"/>
    <w:rsid w:val="00974519"/>
    <w:rsid w:val="00975A9E"/>
    <w:rsid w:val="009803D2"/>
    <w:rsid w:val="00981885"/>
    <w:rsid w:val="00981C40"/>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C30D8"/>
    <w:rsid w:val="009D6173"/>
    <w:rsid w:val="009E3E4D"/>
    <w:rsid w:val="009E4086"/>
    <w:rsid w:val="009E4D6D"/>
    <w:rsid w:val="009E5CCE"/>
    <w:rsid w:val="009F01C3"/>
    <w:rsid w:val="009F1C25"/>
    <w:rsid w:val="009F336D"/>
    <w:rsid w:val="009F6609"/>
    <w:rsid w:val="009F6853"/>
    <w:rsid w:val="00A00040"/>
    <w:rsid w:val="00A031B0"/>
    <w:rsid w:val="00A03519"/>
    <w:rsid w:val="00A07DD6"/>
    <w:rsid w:val="00A10A70"/>
    <w:rsid w:val="00A110F1"/>
    <w:rsid w:val="00A14FE3"/>
    <w:rsid w:val="00A17AD0"/>
    <w:rsid w:val="00A216A7"/>
    <w:rsid w:val="00A22817"/>
    <w:rsid w:val="00A24907"/>
    <w:rsid w:val="00A26C0B"/>
    <w:rsid w:val="00A27ED9"/>
    <w:rsid w:val="00A305C6"/>
    <w:rsid w:val="00A3104E"/>
    <w:rsid w:val="00A341B7"/>
    <w:rsid w:val="00A4075B"/>
    <w:rsid w:val="00A428EF"/>
    <w:rsid w:val="00A43093"/>
    <w:rsid w:val="00A4316F"/>
    <w:rsid w:val="00A4491A"/>
    <w:rsid w:val="00A4679F"/>
    <w:rsid w:val="00A4767E"/>
    <w:rsid w:val="00A50F2A"/>
    <w:rsid w:val="00A50F36"/>
    <w:rsid w:val="00A524DE"/>
    <w:rsid w:val="00A5262D"/>
    <w:rsid w:val="00A56003"/>
    <w:rsid w:val="00A619B5"/>
    <w:rsid w:val="00A638D1"/>
    <w:rsid w:val="00A70984"/>
    <w:rsid w:val="00A71082"/>
    <w:rsid w:val="00A77CCE"/>
    <w:rsid w:val="00A805B8"/>
    <w:rsid w:val="00A812DA"/>
    <w:rsid w:val="00A81756"/>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4AC"/>
    <w:rsid w:val="00B14F1F"/>
    <w:rsid w:val="00B17AC0"/>
    <w:rsid w:val="00B26D1E"/>
    <w:rsid w:val="00B32ABB"/>
    <w:rsid w:val="00B32E1C"/>
    <w:rsid w:val="00B40A00"/>
    <w:rsid w:val="00B43813"/>
    <w:rsid w:val="00B44E0F"/>
    <w:rsid w:val="00B44E2B"/>
    <w:rsid w:val="00B53CB2"/>
    <w:rsid w:val="00B574D0"/>
    <w:rsid w:val="00B57588"/>
    <w:rsid w:val="00B618FA"/>
    <w:rsid w:val="00B61C02"/>
    <w:rsid w:val="00B62993"/>
    <w:rsid w:val="00B641B2"/>
    <w:rsid w:val="00B7088C"/>
    <w:rsid w:val="00B72DB2"/>
    <w:rsid w:val="00B74341"/>
    <w:rsid w:val="00B76427"/>
    <w:rsid w:val="00B778ED"/>
    <w:rsid w:val="00B80F62"/>
    <w:rsid w:val="00B81B00"/>
    <w:rsid w:val="00B84753"/>
    <w:rsid w:val="00B86BB2"/>
    <w:rsid w:val="00B90A24"/>
    <w:rsid w:val="00B92898"/>
    <w:rsid w:val="00B93B7E"/>
    <w:rsid w:val="00B94DC8"/>
    <w:rsid w:val="00B94F1D"/>
    <w:rsid w:val="00B94FBD"/>
    <w:rsid w:val="00BA173E"/>
    <w:rsid w:val="00BA2F51"/>
    <w:rsid w:val="00BA4B5A"/>
    <w:rsid w:val="00BA6B18"/>
    <w:rsid w:val="00BA70C1"/>
    <w:rsid w:val="00BB4B88"/>
    <w:rsid w:val="00BB50D0"/>
    <w:rsid w:val="00BB6D37"/>
    <w:rsid w:val="00BC28A6"/>
    <w:rsid w:val="00BC3922"/>
    <w:rsid w:val="00BC3D90"/>
    <w:rsid w:val="00BD056C"/>
    <w:rsid w:val="00BD0818"/>
    <w:rsid w:val="00BD17E2"/>
    <w:rsid w:val="00BD270B"/>
    <w:rsid w:val="00BD3405"/>
    <w:rsid w:val="00BD577E"/>
    <w:rsid w:val="00BD5B55"/>
    <w:rsid w:val="00BE0B51"/>
    <w:rsid w:val="00BE0C08"/>
    <w:rsid w:val="00BE698E"/>
    <w:rsid w:val="00BE75B5"/>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3BCB"/>
    <w:rsid w:val="00C23CE8"/>
    <w:rsid w:val="00C263FE"/>
    <w:rsid w:val="00C2752B"/>
    <w:rsid w:val="00C278EC"/>
    <w:rsid w:val="00C33CAA"/>
    <w:rsid w:val="00C34507"/>
    <w:rsid w:val="00C34C1B"/>
    <w:rsid w:val="00C362BD"/>
    <w:rsid w:val="00C36F9E"/>
    <w:rsid w:val="00C42208"/>
    <w:rsid w:val="00C46814"/>
    <w:rsid w:val="00C5272C"/>
    <w:rsid w:val="00C52B6D"/>
    <w:rsid w:val="00C52E94"/>
    <w:rsid w:val="00C54343"/>
    <w:rsid w:val="00C54A92"/>
    <w:rsid w:val="00C552C0"/>
    <w:rsid w:val="00C55913"/>
    <w:rsid w:val="00C6359A"/>
    <w:rsid w:val="00C66483"/>
    <w:rsid w:val="00C706A1"/>
    <w:rsid w:val="00C71B3D"/>
    <w:rsid w:val="00C73EA3"/>
    <w:rsid w:val="00C810D3"/>
    <w:rsid w:val="00C8490B"/>
    <w:rsid w:val="00C925E3"/>
    <w:rsid w:val="00C93B80"/>
    <w:rsid w:val="00C96B5F"/>
    <w:rsid w:val="00CA2691"/>
    <w:rsid w:val="00CA546A"/>
    <w:rsid w:val="00CA60B4"/>
    <w:rsid w:val="00CA61AD"/>
    <w:rsid w:val="00CB28DE"/>
    <w:rsid w:val="00CB3C56"/>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1CC5"/>
    <w:rsid w:val="00D134D5"/>
    <w:rsid w:val="00D170C7"/>
    <w:rsid w:val="00D1799A"/>
    <w:rsid w:val="00D203C9"/>
    <w:rsid w:val="00D213D6"/>
    <w:rsid w:val="00D2151F"/>
    <w:rsid w:val="00D238C7"/>
    <w:rsid w:val="00D24040"/>
    <w:rsid w:val="00D26582"/>
    <w:rsid w:val="00D26594"/>
    <w:rsid w:val="00D26645"/>
    <w:rsid w:val="00D30623"/>
    <w:rsid w:val="00D35457"/>
    <w:rsid w:val="00D36B8F"/>
    <w:rsid w:val="00D42337"/>
    <w:rsid w:val="00D435EC"/>
    <w:rsid w:val="00D43617"/>
    <w:rsid w:val="00D43D47"/>
    <w:rsid w:val="00D45211"/>
    <w:rsid w:val="00D5107F"/>
    <w:rsid w:val="00D516FA"/>
    <w:rsid w:val="00D51EEA"/>
    <w:rsid w:val="00D52AE5"/>
    <w:rsid w:val="00D55528"/>
    <w:rsid w:val="00D55F6E"/>
    <w:rsid w:val="00D56935"/>
    <w:rsid w:val="00D57A2C"/>
    <w:rsid w:val="00D60892"/>
    <w:rsid w:val="00D6371B"/>
    <w:rsid w:val="00D64B0D"/>
    <w:rsid w:val="00D65289"/>
    <w:rsid w:val="00D805D3"/>
    <w:rsid w:val="00D80FF0"/>
    <w:rsid w:val="00D85385"/>
    <w:rsid w:val="00D92045"/>
    <w:rsid w:val="00D93737"/>
    <w:rsid w:val="00D9770E"/>
    <w:rsid w:val="00DA1C1E"/>
    <w:rsid w:val="00DA1E29"/>
    <w:rsid w:val="00DA2737"/>
    <w:rsid w:val="00DA580F"/>
    <w:rsid w:val="00DA592B"/>
    <w:rsid w:val="00DA5E98"/>
    <w:rsid w:val="00DA6699"/>
    <w:rsid w:val="00DA6860"/>
    <w:rsid w:val="00DB1F4E"/>
    <w:rsid w:val="00DB5D5A"/>
    <w:rsid w:val="00DB627C"/>
    <w:rsid w:val="00DB63E7"/>
    <w:rsid w:val="00DB6B03"/>
    <w:rsid w:val="00DB71AC"/>
    <w:rsid w:val="00DB7754"/>
    <w:rsid w:val="00DC0718"/>
    <w:rsid w:val="00DC289E"/>
    <w:rsid w:val="00DC3A1B"/>
    <w:rsid w:val="00DC635A"/>
    <w:rsid w:val="00DD36A7"/>
    <w:rsid w:val="00DD5ECC"/>
    <w:rsid w:val="00DD6D2F"/>
    <w:rsid w:val="00DD71DC"/>
    <w:rsid w:val="00DE06D4"/>
    <w:rsid w:val="00DE2BC0"/>
    <w:rsid w:val="00DE35C0"/>
    <w:rsid w:val="00DE409C"/>
    <w:rsid w:val="00DE468D"/>
    <w:rsid w:val="00DE4955"/>
    <w:rsid w:val="00DE5369"/>
    <w:rsid w:val="00DF1234"/>
    <w:rsid w:val="00DF4E88"/>
    <w:rsid w:val="00DF66D9"/>
    <w:rsid w:val="00DF6F1D"/>
    <w:rsid w:val="00DF782C"/>
    <w:rsid w:val="00E00D72"/>
    <w:rsid w:val="00E01C24"/>
    <w:rsid w:val="00E01FAB"/>
    <w:rsid w:val="00E0475D"/>
    <w:rsid w:val="00E05D95"/>
    <w:rsid w:val="00E07DBF"/>
    <w:rsid w:val="00E100AB"/>
    <w:rsid w:val="00E11876"/>
    <w:rsid w:val="00E126F0"/>
    <w:rsid w:val="00E138AA"/>
    <w:rsid w:val="00E153DE"/>
    <w:rsid w:val="00E162AC"/>
    <w:rsid w:val="00E208DA"/>
    <w:rsid w:val="00E21A25"/>
    <w:rsid w:val="00E21F92"/>
    <w:rsid w:val="00E229B2"/>
    <w:rsid w:val="00E3113A"/>
    <w:rsid w:val="00E34ECF"/>
    <w:rsid w:val="00E35D43"/>
    <w:rsid w:val="00E35D71"/>
    <w:rsid w:val="00E40CD5"/>
    <w:rsid w:val="00E46554"/>
    <w:rsid w:val="00E46C36"/>
    <w:rsid w:val="00E47427"/>
    <w:rsid w:val="00E47E94"/>
    <w:rsid w:val="00E54982"/>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4110"/>
    <w:rsid w:val="00EA5D5A"/>
    <w:rsid w:val="00EA6DEF"/>
    <w:rsid w:val="00EA7011"/>
    <w:rsid w:val="00EB39F6"/>
    <w:rsid w:val="00EB3C8E"/>
    <w:rsid w:val="00EB6851"/>
    <w:rsid w:val="00EC23F0"/>
    <w:rsid w:val="00EC5CA2"/>
    <w:rsid w:val="00ED1BA3"/>
    <w:rsid w:val="00ED7DF0"/>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5C46"/>
    <w:rsid w:val="00F06C2A"/>
    <w:rsid w:val="00F0718C"/>
    <w:rsid w:val="00F12448"/>
    <w:rsid w:val="00F12EB7"/>
    <w:rsid w:val="00F14F23"/>
    <w:rsid w:val="00F15359"/>
    <w:rsid w:val="00F16D53"/>
    <w:rsid w:val="00F21C2E"/>
    <w:rsid w:val="00F21D42"/>
    <w:rsid w:val="00F242D4"/>
    <w:rsid w:val="00F24FF4"/>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98B"/>
    <w:rsid w:val="00F82A11"/>
    <w:rsid w:val="00F8337F"/>
    <w:rsid w:val="00F86384"/>
    <w:rsid w:val="00F96059"/>
    <w:rsid w:val="00F97800"/>
    <w:rsid w:val="00FA1EB1"/>
    <w:rsid w:val="00FA2CC9"/>
    <w:rsid w:val="00FA370A"/>
    <w:rsid w:val="00FB0ABC"/>
    <w:rsid w:val="00FB4FB5"/>
    <w:rsid w:val="00FB6BF7"/>
    <w:rsid w:val="00FB725D"/>
    <w:rsid w:val="00FC2EA7"/>
    <w:rsid w:val="00FC540F"/>
    <w:rsid w:val="00FC5736"/>
    <w:rsid w:val="00FC7A57"/>
    <w:rsid w:val="00FD2D88"/>
    <w:rsid w:val="00FD5BF2"/>
    <w:rsid w:val="00FD7CE0"/>
    <w:rsid w:val="00FD7F21"/>
    <w:rsid w:val="00FE1C3E"/>
    <w:rsid w:val="00FE5FAB"/>
    <w:rsid w:val="00FE6869"/>
    <w:rsid w:val="00FF0834"/>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2D8734FC"/>
  <w15:docId w15:val="{2560A1B0-9BC3-4A22-83CF-827F16AF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073569"/>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FootnoteText">
    <w:name w:val="footnote text"/>
    <w:basedOn w:val="Normal"/>
    <w:link w:val="FootnoteTextChar"/>
    <w:semiHidden/>
    <w:rsid w:val="00073569"/>
    <w:pPr>
      <w:overflowPunct w:val="0"/>
      <w:autoSpaceDE w:val="0"/>
      <w:autoSpaceDN w:val="0"/>
      <w:adjustRightInd w:val="0"/>
      <w:jc w:val="left"/>
      <w:textAlignment w:val="baseline"/>
    </w:pPr>
    <w:rPr>
      <w:sz w:val="20"/>
      <w:szCs w:val="20"/>
    </w:rPr>
  </w:style>
  <w:style w:type="character" w:customStyle="1" w:styleId="FootnoteTextChar">
    <w:name w:val="Footnote Text Char"/>
    <w:basedOn w:val="DefaultParagraphFont"/>
    <w:link w:val="FootnoteText"/>
    <w:semiHidden/>
    <w:rsid w:val="00073569"/>
  </w:style>
  <w:style w:type="character" w:styleId="FootnoteReference">
    <w:name w:val="footnote reference"/>
    <w:basedOn w:val="DefaultParagraphFont"/>
    <w:semiHidden/>
    <w:rsid w:val="00073569"/>
    <w:rPr>
      <w:vertAlign w:val="superscript"/>
    </w:rPr>
  </w:style>
  <w:style w:type="character" w:styleId="LineNumber">
    <w:name w:val="line number"/>
    <w:basedOn w:val="DefaultParagraphFont"/>
    <w:uiPriority w:val="99"/>
    <w:semiHidden/>
    <w:unhideWhenUsed/>
    <w:rsid w:val="00886ED1"/>
  </w:style>
  <w:style w:type="character" w:styleId="CommentReference">
    <w:name w:val="annotation reference"/>
    <w:basedOn w:val="DefaultParagraphFont"/>
    <w:uiPriority w:val="99"/>
    <w:semiHidden/>
    <w:unhideWhenUsed/>
    <w:rsid w:val="0009201D"/>
    <w:rPr>
      <w:sz w:val="16"/>
      <w:szCs w:val="16"/>
    </w:rPr>
  </w:style>
  <w:style w:type="paragraph" w:styleId="CommentText">
    <w:name w:val="annotation text"/>
    <w:basedOn w:val="Normal"/>
    <w:link w:val="CommentTextChar"/>
    <w:uiPriority w:val="99"/>
    <w:semiHidden/>
    <w:unhideWhenUsed/>
    <w:rsid w:val="0009201D"/>
    <w:rPr>
      <w:sz w:val="20"/>
      <w:szCs w:val="20"/>
    </w:rPr>
  </w:style>
  <w:style w:type="character" w:customStyle="1" w:styleId="CommentTextChar">
    <w:name w:val="Comment Text Char"/>
    <w:basedOn w:val="DefaultParagraphFont"/>
    <w:link w:val="CommentText"/>
    <w:uiPriority w:val="99"/>
    <w:semiHidden/>
    <w:rsid w:val="0009201D"/>
  </w:style>
  <w:style w:type="paragraph" w:styleId="CommentSubject">
    <w:name w:val="annotation subject"/>
    <w:basedOn w:val="CommentText"/>
    <w:next w:val="CommentText"/>
    <w:link w:val="CommentSubjectChar"/>
    <w:uiPriority w:val="99"/>
    <w:semiHidden/>
    <w:unhideWhenUsed/>
    <w:rsid w:val="0009201D"/>
    <w:rPr>
      <w:b/>
      <w:bCs/>
    </w:rPr>
  </w:style>
  <w:style w:type="character" w:customStyle="1" w:styleId="CommentSubjectChar">
    <w:name w:val="Comment Subject Char"/>
    <w:basedOn w:val="CommentTextChar"/>
    <w:link w:val="CommentSubject"/>
    <w:uiPriority w:val="99"/>
    <w:semiHidden/>
    <w:rsid w:val="0009201D"/>
    <w:rPr>
      <w:b/>
      <w:bCs/>
    </w:rPr>
  </w:style>
  <w:style w:type="paragraph" w:styleId="PlainText">
    <w:name w:val="Plain Text"/>
    <w:basedOn w:val="Normal"/>
    <w:link w:val="PlainTextChar"/>
    <w:uiPriority w:val="99"/>
    <w:unhideWhenUsed/>
    <w:rsid w:val="009118A9"/>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118A9"/>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354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079911940">
      <w:bodyDiv w:val="1"/>
      <w:marLeft w:val="0"/>
      <w:marRight w:val="0"/>
      <w:marTop w:val="0"/>
      <w:marBottom w:val="0"/>
      <w:divBdr>
        <w:top w:val="none" w:sz="0" w:space="0" w:color="auto"/>
        <w:left w:val="none" w:sz="0" w:space="0" w:color="auto"/>
        <w:bottom w:val="none" w:sz="0" w:space="0" w:color="auto"/>
        <w:right w:val="none" w:sz="0" w:space="0" w:color="auto"/>
      </w:divBdr>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9949534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h-docdb.fnal.gov/cgi-bin/sso/ShowDocument?docid=1689"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5A08195-275A-4B52-BE21-35B0441B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12885</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Jo Bailey</dc:creator>
  <cp:lastModifiedBy>Suzanne M Weber</cp:lastModifiedBy>
  <cp:revision>13</cp:revision>
  <cp:lastPrinted>2021-09-09T04:12:00Z</cp:lastPrinted>
  <dcterms:created xsi:type="dcterms:W3CDTF">2021-10-06T03:41:00Z</dcterms:created>
  <dcterms:modified xsi:type="dcterms:W3CDTF">2021-10-07T23:03:00Z</dcterms:modified>
</cp:coreProperties>
</file>