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991A0" w14:textId="77777777" w:rsidR="00142C80" w:rsidRDefault="00142C80" w:rsidP="00142C80">
      <w:pPr>
        <w:jc w:val="center"/>
        <w:rPr>
          <w:b/>
          <w:sz w:val="28"/>
          <w:szCs w:val="28"/>
        </w:rPr>
      </w:pPr>
    </w:p>
    <w:p w14:paraId="76548D8D" w14:textId="77777777" w:rsidR="00142C80" w:rsidRDefault="00142C80" w:rsidP="00142C80">
      <w:pPr>
        <w:jc w:val="center"/>
        <w:rPr>
          <w:b/>
          <w:sz w:val="28"/>
          <w:szCs w:val="28"/>
        </w:rPr>
      </w:pPr>
    </w:p>
    <w:p w14:paraId="24C73FC1" w14:textId="77777777" w:rsidR="00142C80" w:rsidRDefault="00142C80" w:rsidP="00142C80">
      <w:pPr>
        <w:jc w:val="center"/>
        <w:rPr>
          <w:b/>
          <w:sz w:val="28"/>
          <w:szCs w:val="28"/>
        </w:rPr>
      </w:pPr>
    </w:p>
    <w:p w14:paraId="0AE58763" w14:textId="77777777" w:rsidR="00142C80" w:rsidRDefault="00142C80" w:rsidP="00142C80">
      <w:pPr>
        <w:jc w:val="center"/>
        <w:rPr>
          <w:b/>
          <w:sz w:val="28"/>
          <w:szCs w:val="28"/>
        </w:rPr>
      </w:pPr>
    </w:p>
    <w:p w14:paraId="2287A441" w14:textId="047D6931" w:rsidR="00AB4D65" w:rsidRPr="00AB4D65" w:rsidRDefault="004F254C" w:rsidP="00AB4D65">
      <w:pPr>
        <w:ind w:right="36"/>
        <w:jc w:val="center"/>
        <w:rPr>
          <w:color w:val="000000"/>
          <w:sz w:val="36"/>
          <w:szCs w:val="36"/>
        </w:rPr>
      </w:pPr>
      <w:r w:rsidRPr="00AB4D65">
        <w:rPr>
          <w:color w:val="000000"/>
          <w:sz w:val="36"/>
          <w:szCs w:val="36"/>
        </w:rPr>
        <w:t xml:space="preserve">FESHM </w:t>
      </w:r>
      <w:r w:rsidR="0017287F">
        <w:rPr>
          <w:color w:val="000000"/>
          <w:sz w:val="36"/>
          <w:szCs w:val="36"/>
        </w:rPr>
        <w:t>6020.1</w:t>
      </w:r>
      <w:r w:rsidRPr="00AB4D65">
        <w:rPr>
          <w:color w:val="000000"/>
          <w:sz w:val="36"/>
          <w:szCs w:val="36"/>
        </w:rPr>
        <w:t xml:space="preserve">: </w:t>
      </w:r>
      <w:r w:rsidR="0017287F">
        <w:rPr>
          <w:color w:val="000000"/>
          <w:sz w:val="36"/>
          <w:szCs w:val="36"/>
        </w:rPr>
        <w:t>PLACEMENT OF PORTABLE FIRE EXTINGUISHERS IN PRIMARY BEAM ENCLOSURES</w:t>
      </w:r>
    </w:p>
    <w:p w14:paraId="48B5096F" w14:textId="77777777" w:rsidR="00142C80" w:rsidRPr="004F254C" w:rsidRDefault="00142C80" w:rsidP="00AB4D65">
      <w:pPr>
        <w:pStyle w:val="Heading1"/>
        <w:numPr>
          <w:ilvl w:val="0"/>
          <w:numId w:val="0"/>
        </w:numPr>
        <w:jc w:val="both"/>
        <w:rPr>
          <w:b w:val="0"/>
          <w:sz w:val="36"/>
          <w:szCs w:val="36"/>
        </w:rPr>
      </w:pPr>
    </w:p>
    <w:p w14:paraId="6437CD86" w14:textId="77777777" w:rsidR="00142C80" w:rsidRDefault="00142C80" w:rsidP="00142C80">
      <w:pPr>
        <w:jc w:val="center"/>
        <w:rPr>
          <w:b/>
          <w:sz w:val="28"/>
          <w:szCs w:val="28"/>
        </w:rPr>
      </w:pPr>
    </w:p>
    <w:p w14:paraId="4BD48497" w14:textId="77777777" w:rsidR="00142C80" w:rsidRDefault="00142C80" w:rsidP="00142C80">
      <w:pPr>
        <w:jc w:val="center"/>
        <w:rPr>
          <w:b/>
          <w:sz w:val="28"/>
          <w:szCs w:val="28"/>
        </w:rPr>
      </w:pPr>
    </w:p>
    <w:p w14:paraId="32EF78D0" w14:textId="77777777" w:rsidR="00142C80" w:rsidRDefault="00142C80" w:rsidP="00142C80">
      <w:pPr>
        <w:jc w:val="center"/>
        <w:rPr>
          <w:b/>
          <w:sz w:val="28"/>
          <w:szCs w:val="28"/>
        </w:rPr>
      </w:pPr>
    </w:p>
    <w:p w14:paraId="27FA82E1" w14:textId="77777777" w:rsidR="00DB5D5A" w:rsidRPr="008B60C4" w:rsidRDefault="00743FAE" w:rsidP="00DB5D5A">
      <w:pPr>
        <w:ind w:right="-140"/>
        <w:jc w:val="center"/>
        <w:rPr>
          <w:b/>
          <w:color w:val="000000"/>
        </w:rPr>
      </w:pPr>
      <w:r>
        <w:rPr>
          <w:b/>
          <w:color w:val="000000"/>
        </w:rPr>
        <w:t>Revision History</w:t>
      </w:r>
    </w:p>
    <w:p w14:paraId="507BB7DF" w14:textId="77777777" w:rsidR="00DB5D5A" w:rsidRPr="008B60C4" w:rsidRDefault="00DB5D5A" w:rsidP="00DB5D5A">
      <w:pPr>
        <w:ind w:right="-140"/>
        <w:rPr>
          <w:b/>
          <w:color w:val="000000"/>
        </w:rPr>
      </w:pPr>
    </w:p>
    <w:tbl>
      <w:tblPr>
        <w:tblW w:w="100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6097"/>
        <w:gridCol w:w="1867"/>
      </w:tblGrid>
      <w:tr w:rsidR="00743FAE" w:rsidRPr="00E331D3" w14:paraId="7190CC7A" w14:textId="77777777" w:rsidTr="004F754D">
        <w:tc>
          <w:tcPr>
            <w:tcW w:w="2088" w:type="dxa"/>
          </w:tcPr>
          <w:p w14:paraId="3549C073" w14:textId="77777777" w:rsidR="00743FAE" w:rsidRPr="00D115E0" w:rsidRDefault="00743FAE" w:rsidP="009028AC">
            <w:pPr>
              <w:tabs>
                <w:tab w:val="left" w:pos="720"/>
              </w:tabs>
              <w:jc w:val="center"/>
              <w:rPr>
                <w:b/>
              </w:rPr>
            </w:pPr>
            <w:r w:rsidRPr="00D115E0">
              <w:rPr>
                <w:b/>
              </w:rPr>
              <w:t>Author</w:t>
            </w:r>
          </w:p>
        </w:tc>
        <w:tc>
          <w:tcPr>
            <w:tcW w:w="6097" w:type="dxa"/>
          </w:tcPr>
          <w:p w14:paraId="6968DED5" w14:textId="77777777" w:rsidR="00743FAE" w:rsidRPr="00D115E0" w:rsidRDefault="00743FAE" w:rsidP="009028AC">
            <w:pPr>
              <w:tabs>
                <w:tab w:val="left" w:pos="720"/>
              </w:tabs>
              <w:jc w:val="center"/>
              <w:rPr>
                <w:b/>
              </w:rPr>
            </w:pPr>
            <w:r w:rsidRPr="00D115E0">
              <w:rPr>
                <w:b/>
              </w:rPr>
              <w:t>Description of Change</w:t>
            </w:r>
          </w:p>
        </w:tc>
        <w:tc>
          <w:tcPr>
            <w:tcW w:w="1867" w:type="dxa"/>
          </w:tcPr>
          <w:p w14:paraId="77397029" w14:textId="5410CC1D" w:rsidR="00743FAE" w:rsidRPr="00D115E0" w:rsidRDefault="00A63A70" w:rsidP="009028AC">
            <w:pPr>
              <w:tabs>
                <w:tab w:val="left" w:pos="720"/>
              </w:tabs>
              <w:jc w:val="center"/>
              <w:rPr>
                <w:b/>
              </w:rPr>
            </w:pPr>
            <w:r>
              <w:rPr>
                <w:b/>
              </w:rPr>
              <w:t xml:space="preserve">Revision </w:t>
            </w:r>
            <w:r w:rsidR="00743FAE" w:rsidRPr="00D115E0">
              <w:rPr>
                <w:b/>
              </w:rPr>
              <w:t>Date</w:t>
            </w:r>
          </w:p>
        </w:tc>
      </w:tr>
      <w:tr w:rsidR="004F754D" w:rsidRPr="00E331D3" w14:paraId="3EB2536D" w14:textId="77777777" w:rsidTr="004F754D">
        <w:tc>
          <w:tcPr>
            <w:tcW w:w="2088" w:type="dxa"/>
          </w:tcPr>
          <w:p w14:paraId="7E4FF8AA" w14:textId="66730DD2" w:rsidR="004F754D" w:rsidRDefault="004F754D" w:rsidP="009028AC">
            <w:pPr>
              <w:tabs>
                <w:tab w:val="left" w:pos="720"/>
              </w:tabs>
              <w:jc w:val="left"/>
            </w:pPr>
            <w:r>
              <w:t>Jim Niehoff</w:t>
            </w:r>
          </w:p>
        </w:tc>
        <w:tc>
          <w:tcPr>
            <w:tcW w:w="6097" w:type="dxa"/>
          </w:tcPr>
          <w:p w14:paraId="5D0395B5" w14:textId="08BCB0CF" w:rsidR="004F754D" w:rsidRDefault="004F754D" w:rsidP="004F754D">
            <w:pPr>
              <w:spacing w:after="60"/>
              <w:jc w:val="left"/>
            </w:pPr>
            <w:r>
              <w:t>Added applicability statement for Fermilab Leased Spaces and removed “Centers”</w:t>
            </w:r>
          </w:p>
        </w:tc>
        <w:tc>
          <w:tcPr>
            <w:tcW w:w="1867" w:type="dxa"/>
          </w:tcPr>
          <w:p w14:paraId="6D9315A5" w14:textId="1B8FD2F3" w:rsidR="004F754D" w:rsidRDefault="004F754D" w:rsidP="009028AC">
            <w:pPr>
              <w:tabs>
                <w:tab w:val="left" w:pos="720"/>
              </w:tabs>
              <w:jc w:val="left"/>
            </w:pPr>
            <w:r>
              <w:t>December 2017</w:t>
            </w:r>
          </w:p>
        </w:tc>
      </w:tr>
      <w:tr w:rsidR="00BB1050" w:rsidRPr="00E331D3" w14:paraId="2F58E5CC" w14:textId="77777777" w:rsidTr="004F754D">
        <w:tc>
          <w:tcPr>
            <w:tcW w:w="2088" w:type="dxa"/>
          </w:tcPr>
          <w:p w14:paraId="6454A1EF" w14:textId="0A87BDDE" w:rsidR="00A63A70" w:rsidRDefault="004F754D" w:rsidP="009028AC">
            <w:pPr>
              <w:tabs>
                <w:tab w:val="left" w:pos="720"/>
              </w:tabs>
              <w:jc w:val="left"/>
            </w:pPr>
            <w:r>
              <w:t>Chuck</w:t>
            </w:r>
            <w:r w:rsidR="00BB1050">
              <w:t xml:space="preserve"> Kuhn &amp; </w:t>
            </w:r>
          </w:p>
          <w:p w14:paraId="6D958911" w14:textId="4D9A2B69" w:rsidR="00BB1050" w:rsidRPr="00E331D3" w:rsidRDefault="004F754D" w:rsidP="009028AC">
            <w:pPr>
              <w:tabs>
                <w:tab w:val="left" w:pos="720"/>
              </w:tabs>
              <w:jc w:val="left"/>
            </w:pPr>
            <w:r>
              <w:t>Jim</w:t>
            </w:r>
            <w:r w:rsidR="00BB1050">
              <w:t xml:space="preserve"> Priest</w:t>
            </w:r>
          </w:p>
        </w:tc>
        <w:tc>
          <w:tcPr>
            <w:tcW w:w="6097" w:type="dxa"/>
          </w:tcPr>
          <w:p w14:paraId="21BC5E7C" w14:textId="77777777" w:rsidR="00A334A7" w:rsidRDefault="00BB1050" w:rsidP="00A334A7">
            <w:pPr>
              <w:pStyle w:val="ListParagraph"/>
              <w:numPr>
                <w:ilvl w:val="0"/>
                <w:numId w:val="11"/>
              </w:numPr>
              <w:ind w:left="432"/>
              <w:jc w:val="left"/>
            </w:pPr>
            <w:r>
              <w:t>Applied</w:t>
            </w:r>
            <w:r w:rsidR="00A334A7">
              <w:t xml:space="preserve"> FESHM Template</w:t>
            </w:r>
          </w:p>
          <w:p w14:paraId="1CB843D2" w14:textId="222C56B1" w:rsidR="00BB1050" w:rsidRPr="00E331D3" w:rsidRDefault="00A334A7" w:rsidP="004F754D">
            <w:pPr>
              <w:pStyle w:val="ListParagraph"/>
              <w:numPr>
                <w:ilvl w:val="0"/>
                <w:numId w:val="11"/>
              </w:numPr>
              <w:spacing w:after="60"/>
              <w:ind w:left="432"/>
              <w:jc w:val="left"/>
            </w:pPr>
            <w:r>
              <w:t>A</w:t>
            </w:r>
            <w:r w:rsidR="00BB1050">
              <w:t>dded Center</w:t>
            </w:r>
          </w:p>
        </w:tc>
        <w:tc>
          <w:tcPr>
            <w:tcW w:w="1867" w:type="dxa"/>
          </w:tcPr>
          <w:p w14:paraId="1B3730D4" w14:textId="77777777" w:rsidR="00BB1050" w:rsidRPr="00E331D3" w:rsidRDefault="00BB1050" w:rsidP="009028AC">
            <w:pPr>
              <w:tabs>
                <w:tab w:val="left" w:pos="720"/>
              </w:tabs>
              <w:jc w:val="left"/>
            </w:pPr>
            <w:r>
              <w:t>November 2014</w:t>
            </w:r>
          </w:p>
        </w:tc>
      </w:tr>
      <w:tr w:rsidR="00743FAE" w:rsidRPr="00E331D3" w14:paraId="18F50191" w14:textId="77777777" w:rsidTr="004F754D">
        <w:tc>
          <w:tcPr>
            <w:tcW w:w="2088" w:type="dxa"/>
            <w:vAlign w:val="bottom"/>
          </w:tcPr>
          <w:p w14:paraId="5B0160A0" w14:textId="0773EE95" w:rsidR="00743FAE" w:rsidRPr="00E331D3" w:rsidRDefault="004F754D" w:rsidP="00743FAE">
            <w:pPr>
              <w:tabs>
                <w:tab w:val="left" w:pos="720"/>
              </w:tabs>
              <w:jc w:val="left"/>
            </w:pPr>
            <w:r>
              <w:rPr>
                <w:szCs w:val="22"/>
              </w:rPr>
              <w:t>Bill</w:t>
            </w:r>
            <w:r w:rsidR="00F57862">
              <w:rPr>
                <w:szCs w:val="22"/>
              </w:rPr>
              <w:t xml:space="preserve"> James</w:t>
            </w:r>
          </w:p>
        </w:tc>
        <w:tc>
          <w:tcPr>
            <w:tcW w:w="6097" w:type="dxa"/>
          </w:tcPr>
          <w:p w14:paraId="5EE4C126" w14:textId="35B677EF" w:rsidR="00743FAE" w:rsidRPr="00B25DFE" w:rsidRDefault="00743FAE" w:rsidP="004F754D">
            <w:pPr>
              <w:pStyle w:val="NormalWeb"/>
              <w:tabs>
                <w:tab w:val="left" w:pos="720"/>
              </w:tabs>
              <w:spacing w:before="0" w:beforeAutospacing="0" w:after="60" w:afterAutospacing="0"/>
              <w:rPr>
                <w:szCs w:val="22"/>
              </w:rPr>
            </w:pPr>
            <w:r w:rsidRPr="00B25DFE">
              <w:rPr>
                <w:szCs w:val="22"/>
              </w:rPr>
              <w:t xml:space="preserve">Initial release Chapter </w:t>
            </w:r>
            <w:r w:rsidR="0017287F">
              <w:rPr>
                <w:szCs w:val="22"/>
              </w:rPr>
              <w:t>6020.1</w:t>
            </w:r>
          </w:p>
        </w:tc>
        <w:tc>
          <w:tcPr>
            <w:tcW w:w="1867" w:type="dxa"/>
            <w:vAlign w:val="bottom"/>
          </w:tcPr>
          <w:p w14:paraId="08D2C5A5" w14:textId="570A2EDE" w:rsidR="00743FAE" w:rsidRPr="00E331D3" w:rsidRDefault="0017287F" w:rsidP="0017287F">
            <w:pPr>
              <w:tabs>
                <w:tab w:val="left" w:pos="720"/>
              </w:tabs>
            </w:pPr>
            <w:r>
              <w:rPr>
                <w:szCs w:val="22"/>
              </w:rPr>
              <w:t>February</w:t>
            </w:r>
            <w:r w:rsidR="00743FAE">
              <w:rPr>
                <w:szCs w:val="22"/>
              </w:rPr>
              <w:t xml:space="preserve"> </w:t>
            </w:r>
            <w:r w:rsidR="00743FAE" w:rsidRPr="00E331D3">
              <w:rPr>
                <w:szCs w:val="22"/>
              </w:rPr>
              <w:t>20</w:t>
            </w:r>
            <w:r>
              <w:rPr>
                <w:szCs w:val="22"/>
              </w:rPr>
              <w:t>10</w:t>
            </w:r>
          </w:p>
        </w:tc>
      </w:tr>
    </w:tbl>
    <w:p w14:paraId="5B49A4BA" w14:textId="77777777" w:rsidR="00142C80" w:rsidRDefault="00142C80" w:rsidP="00142C80">
      <w:pPr>
        <w:jc w:val="center"/>
        <w:rPr>
          <w:b/>
          <w:sz w:val="28"/>
          <w:szCs w:val="28"/>
        </w:rPr>
      </w:pPr>
    </w:p>
    <w:p w14:paraId="334163E4" w14:textId="77777777" w:rsidR="00142C80" w:rsidRDefault="00142C80" w:rsidP="00142C80">
      <w:pPr>
        <w:jc w:val="center"/>
        <w:rPr>
          <w:b/>
          <w:sz w:val="28"/>
          <w:szCs w:val="28"/>
        </w:rPr>
      </w:pPr>
    </w:p>
    <w:p w14:paraId="6EA1E004" w14:textId="77777777" w:rsidR="00142C80" w:rsidRDefault="00142C80" w:rsidP="00142C80">
      <w:pPr>
        <w:jc w:val="center"/>
        <w:rPr>
          <w:b/>
          <w:sz w:val="28"/>
          <w:szCs w:val="28"/>
        </w:rPr>
      </w:pPr>
    </w:p>
    <w:p w14:paraId="531BF083" w14:textId="77777777" w:rsidR="00142C80" w:rsidRDefault="00142C80" w:rsidP="00142C80">
      <w:pPr>
        <w:jc w:val="center"/>
        <w:rPr>
          <w:b/>
          <w:sz w:val="28"/>
          <w:szCs w:val="28"/>
        </w:rPr>
      </w:pPr>
    </w:p>
    <w:p w14:paraId="71E6C38E" w14:textId="77777777" w:rsidR="008648A9" w:rsidRDefault="008648A9" w:rsidP="00142C80">
      <w:pPr>
        <w:jc w:val="left"/>
        <w:rPr>
          <w:b/>
          <w:sz w:val="28"/>
          <w:szCs w:val="28"/>
        </w:rPr>
      </w:pPr>
    </w:p>
    <w:p w14:paraId="3CE902FE" w14:textId="77777777" w:rsidR="008648A9" w:rsidRDefault="008648A9" w:rsidP="00142C80">
      <w:pPr>
        <w:jc w:val="left"/>
        <w:rPr>
          <w:b/>
          <w:sz w:val="28"/>
          <w:szCs w:val="28"/>
        </w:rPr>
      </w:pPr>
    </w:p>
    <w:p w14:paraId="52248D09" w14:textId="77777777" w:rsidR="008648A9" w:rsidRDefault="008648A9" w:rsidP="008648A9">
      <w:pPr>
        <w:jc w:val="left"/>
        <w:rPr>
          <w:b/>
          <w:sz w:val="28"/>
          <w:szCs w:val="28"/>
        </w:rPr>
        <w:sectPr w:rsidR="008648A9" w:rsidSect="00142C80">
          <w:headerReference w:type="default" r:id="rId12"/>
          <w:footerReference w:type="default" r:id="rId13"/>
          <w:pgSz w:w="12240" w:h="15840" w:code="1"/>
          <w:pgMar w:top="720" w:right="1080" w:bottom="720" w:left="1440" w:header="720" w:footer="389" w:gutter="0"/>
          <w:cols w:space="720"/>
          <w:docGrid w:linePitch="360"/>
        </w:sectPr>
      </w:pPr>
      <w:bookmarkStart w:id="0" w:name="_GoBack"/>
      <w:bookmarkEnd w:id="0"/>
    </w:p>
    <w:p w14:paraId="5F43660A" w14:textId="77777777" w:rsidR="00A96FFC" w:rsidRPr="001A2CF3" w:rsidRDefault="00A96FFC" w:rsidP="001A2CF3">
      <w:pPr>
        <w:jc w:val="center"/>
        <w:rPr>
          <w:b/>
          <w:sz w:val="28"/>
          <w:szCs w:val="28"/>
        </w:rPr>
      </w:pPr>
      <w:r w:rsidRPr="001A2CF3">
        <w:rPr>
          <w:b/>
          <w:sz w:val="28"/>
          <w:szCs w:val="28"/>
        </w:rPr>
        <w:lastRenderedPageBreak/>
        <w:t>TABLE OF CONTENTS</w:t>
      </w:r>
    </w:p>
    <w:p w14:paraId="37AE6A52" w14:textId="77777777" w:rsidR="00A96FFC" w:rsidRDefault="00A96FFC">
      <w:pPr>
        <w:rPr>
          <w:bCs/>
        </w:rPr>
      </w:pPr>
    </w:p>
    <w:p w14:paraId="6CE2CE6A" w14:textId="296F701E" w:rsidR="005F113C"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00504071" w:history="1">
        <w:r w:rsidR="005F113C" w:rsidRPr="0065020D">
          <w:rPr>
            <w:rStyle w:val="Hyperlink"/>
            <w:rFonts w:ascii="Times New Roman Bold" w:hAnsi="Times New Roman Bold"/>
            <w:noProof/>
          </w:rPr>
          <w:t>1.0</w:t>
        </w:r>
        <w:r w:rsidR="005F113C">
          <w:rPr>
            <w:rFonts w:asciiTheme="minorHAnsi" w:eastAsiaTheme="minorEastAsia" w:hAnsiTheme="minorHAnsi" w:cstheme="minorBidi"/>
            <w:noProof/>
            <w:sz w:val="22"/>
            <w:szCs w:val="22"/>
          </w:rPr>
          <w:tab/>
        </w:r>
        <w:r w:rsidR="005F113C" w:rsidRPr="0065020D">
          <w:rPr>
            <w:rStyle w:val="Hyperlink"/>
            <w:noProof/>
          </w:rPr>
          <w:t>INTRODUCTION</w:t>
        </w:r>
        <w:r w:rsidR="005F113C">
          <w:rPr>
            <w:noProof/>
            <w:webHidden/>
          </w:rPr>
          <w:tab/>
        </w:r>
        <w:r w:rsidR="005F113C">
          <w:rPr>
            <w:noProof/>
            <w:webHidden/>
          </w:rPr>
          <w:fldChar w:fldCharType="begin"/>
        </w:r>
        <w:r w:rsidR="005F113C">
          <w:rPr>
            <w:noProof/>
            <w:webHidden/>
          </w:rPr>
          <w:instrText xml:space="preserve"> PAGEREF _Toc500504071 \h </w:instrText>
        </w:r>
        <w:r w:rsidR="005F113C">
          <w:rPr>
            <w:noProof/>
            <w:webHidden/>
          </w:rPr>
        </w:r>
        <w:r w:rsidR="005F113C">
          <w:rPr>
            <w:noProof/>
            <w:webHidden/>
          </w:rPr>
          <w:fldChar w:fldCharType="separate"/>
        </w:r>
        <w:r w:rsidR="005F113C">
          <w:rPr>
            <w:noProof/>
            <w:webHidden/>
          </w:rPr>
          <w:t>2</w:t>
        </w:r>
        <w:r w:rsidR="005F113C">
          <w:rPr>
            <w:noProof/>
            <w:webHidden/>
          </w:rPr>
          <w:fldChar w:fldCharType="end"/>
        </w:r>
      </w:hyperlink>
    </w:p>
    <w:p w14:paraId="5415A933" w14:textId="6030C4CA" w:rsidR="005F113C" w:rsidRDefault="005F113C">
      <w:pPr>
        <w:pStyle w:val="TOC1"/>
        <w:rPr>
          <w:rFonts w:asciiTheme="minorHAnsi" w:eastAsiaTheme="minorEastAsia" w:hAnsiTheme="minorHAnsi" w:cstheme="minorBidi"/>
          <w:noProof/>
          <w:sz w:val="22"/>
          <w:szCs w:val="22"/>
        </w:rPr>
      </w:pPr>
      <w:hyperlink w:anchor="_Toc500504072" w:history="1">
        <w:r w:rsidRPr="0065020D">
          <w:rPr>
            <w:rStyle w:val="Hyperlink"/>
            <w:rFonts w:ascii="Times New Roman Bold" w:hAnsi="Times New Roman Bold"/>
            <w:noProof/>
          </w:rPr>
          <w:t>2.0</w:t>
        </w:r>
        <w:r>
          <w:rPr>
            <w:rFonts w:asciiTheme="minorHAnsi" w:eastAsiaTheme="minorEastAsia" w:hAnsiTheme="minorHAnsi" w:cstheme="minorBidi"/>
            <w:noProof/>
            <w:sz w:val="22"/>
            <w:szCs w:val="22"/>
          </w:rPr>
          <w:tab/>
        </w:r>
        <w:r w:rsidRPr="0065020D">
          <w:rPr>
            <w:rStyle w:val="Hyperlink"/>
            <w:noProof/>
          </w:rPr>
          <w:t>RESPONSIBILITIES</w:t>
        </w:r>
        <w:r>
          <w:rPr>
            <w:noProof/>
            <w:webHidden/>
          </w:rPr>
          <w:tab/>
        </w:r>
        <w:r>
          <w:rPr>
            <w:noProof/>
            <w:webHidden/>
          </w:rPr>
          <w:fldChar w:fldCharType="begin"/>
        </w:r>
        <w:r>
          <w:rPr>
            <w:noProof/>
            <w:webHidden/>
          </w:rPr>
          <w:instrText xml:space="preserve"> PAGEREF _Toc500504072 \h </w:instrText>
        </w:r>
        <w:r>
          <w:rPr>
            <w:noProof/>
            <w:webHidden/>
          </w:rPr>
        </w:r>
        <w:r>
          <w:rPr>
            <w:noProof/>
            <w:webHidden/>
          </w:rPr>
          <w:fldChar w:fldCharType="separate"/>
        </w:r>
        <w:r>
          <w:rPr>
            <w:noProof/>
            <w:webHidden/>
          </w:rPr>
          <w:t>2</w:t>
        </w:r>
        <w:r>
          <w:rPr>
            <w:noProof/>
            <w:webHidden/>
          </w:rPr>
          <w:fldChar w:fldCharType="end"/>
        </w:r>
      </w:hyperlink>
    </w:p>
    <w:p w14:paraId="5E08EA8F" w14:textId="5685C58B" w:rsidR="005F113C" w:rsidRDefault="005F113C">
      <w:pPr>
        <w:pStyle w:val="TOC2"/>
        <w:rPr>
          <w:rFonts w:asciiTheme="minorHAnsi" w:eastAsiaTheme="minorEastAsia" w:hAnsiTheme="minorHAnsi" w:cstheme="minorBidi"/>
          <w:noProof/>
          <w:sz w:val="22"/>
          <w:szCs w:val="22"/>
        </w:rPr>
      </w:pPr>
      <w:hyperlink w:anchor="_Toc500504073" w:history="1">
        <w:r w:rsidRPr="0065020D">
          <w:rPr>
            <w:rStyle w:val="Hyperlink"/>
            <w:rFonts w:ascii="Times New Roman Bold" w:hAnsi="Times New Roman Bold"/>
            <w:noProof/>
          </w:rPr>
          <w:t>2.1</w:t>
        </w:r>
        <w:r>
          <w:rPr>
            <w:rFonts w:asciiTheme="minorHAnsi" w:eastAsiaTheme="minorEastAsia" w:hAnsiTheme="minorHAnsi" w:cstheme="minorBidi"/>
            <w:noProof/>
            <w:sz w:val="22"/>
            <w:szCs w:val="22"/>
          </w:rPr>
          <w:tab/>
        </w:r>
        <w:r w:rsidRPr="0065020D">
          <w:rPr>
            <w:rStyle w:val="Hyperlink"/>
            <w:noProof/>
          </w:rPr>
          <w:t>Division/Section Heads</w:t>
        </w:r>
        <w:r>
          <w:rPr>
            <w:noProof/>
            <w:webHidden/>
          </w:rPr>
          <w:tab/>
        </w:r>
        <w:r>
          <w:rPr>
            <w:noProof/>
            <w:webHidden/>
          </w:rPr>
          <w:fldChar w:fldCharType="begin"/>
        </w:r>
        <w:r>
          <w:rPr>
            <w:noProof/>
            <w:webHidden/>
          </w:rPr>
          <w:instrText xml:space="preserve"> PAGEREF _Toc500504073 \h </w:instrText>
        </w:r>
        <w:r>
          <w:rPr>
            <w:noProof/>
            <w:webHidden/>
          </w:rPr>
        </w:r>
        <w:r>
          <w:rPr>
            <w:noProof/>
            <w:webHidden/>
          </w:rPr>
          <w:fldChar w:fldCharType="separate"/>
        </w:r>
        <w:r>
          <w:rPr>
            <w:noProof/>
            <w:webHidden/>
          </w:rPr>
          <w:t>2</w:t>
        </w:r>
        <w:r>
          <w:rPr>
            <w:noProof/>
            <w:webHidden/>
          </w:rPr>
          <w:fldChar w:fldCharType="end"/>
        </w:r>
      </w:hyperlink>
    </w:p>
    <w:p w14:paraId="171B5268" w14:textId="3E00AA20" w:rsidR="005F113C" w:rsidRDefault="005F113C">
      <w:pPr>
        <w:pStyle w:val="TOC2"/>
        <w:rPr>
          <w:rFonts w:asciiTheme="minorHAnsi" w:eastAsiaTheme="minorEastAsia" w:hAnsiTheme="minorHAnsi" w:cstheme="minorBidi"/>
          <w:noProof/>
          <w:sz w:val="22"/>
          <w:szCs w:val="22"/>
        </w:rPr>
      </w:pPr>
      <w:hyperlink w:anchor="_Toc500504074" w:history="1">
        <w:r w:rsidRPr="0065020D">
          <w:rPr>
            <w:rStyle w:val="Hyperlink"/>
            <w:rFonts w:ascii="Times New Roman Bold" w:hAnsi="Times New Roman Bold"/>
            <w:noProof/>
          </w:rPr>
          <w:t>2.2</w:t>
        </w:r>
        <w:r>
          <w:rPr>
            <w:rFonts w:asciiTheme="minorHAnsi" w:eastAsiaTheme="minorEastAsia" w:hAnsiTheme="minorHAnsi" w:cstheme="minorBidi"/>
            <w:noProof/>
            <w:sz w:val="22"/>
            <w:szCs w:val="22"/>
          </w:rPr>
          <w:tab/>
        </w:r>
        <w:r w:rsidRPr="0065020D">
          <w:rPr>
            <w:rStyle w:val="Hyperlink"/>
            <w:noProof/>
          </w:rPr>
          <w:t>ESH&amp;Q-FPE</w:t>
        </w:r>
        <w:r>
          <w:rPr>
            <w:noProof/>
            <w:webHidden/>
          </w:rPr>
          <w:tab/>
        </w:r>
        <w:r>
          <w:rPr>
            <w:noProof/>
            <w:webHidden/>
          </w:rPr>
          <w:fldChar w:fldCharType="begin"/>
        </w:r>
        <w:r>
          <w:rPr>
            <w:noProof/>
            <w:webHidden/>
          </w:rPr>
          <w:instrText xml:space="preserve"> PAGEREF _Toc500504074 \h </w:instrText>
        </w:r>
        <w:r>
          <w:rPr>
            <w:noProof/>
            <w:webHidden/>
          </w:rPr>
        </w:r>
        <w:r>
          <w:rPr>
            <w:noProof/>
            <w:webHidden/>
          </w:rPr>
          <w:fldChar w:fldCharType="separate"/>
        </w:r>
        <w:r>
          <w:rPr>
            <w:noProof/>
            <w:webHidden/>
          </w:rPr>
          <w:t>2</w:t>
        </w:r>
        <w:r>
          <w:rPr>
            <w:noProof/>
            <w:webHidden/>
          </w:rPr>
          <w:fldChar w:fldCharType="end"/>
        </w:r>
      </w:hyperlink>
    </w:p>
    <w:p w14:paraId="0E352D2F" w14:textId="17491C99" w:rsidR="005F113C" w:rsidRDefault="005F113C">
      <w:pPr>
        <w:pStyle w:val="TOC2"/>
        <w:rPr>
          <w:rFonts w:asciiTheme="minorHAnsi" w:eastAsiaTheme="minorEastAsia" w:hAnsiTheme="minorHAnsi" w:cstheme="minorBidi"/>
          <w:noProof/>
          <w:sz w:val="22"/>
          <w:szCs w:val="22"/>
        </w:rPr>
      </w:pPr>
      <w:hyperlink w:anchor="_Toc500504075" w:history="1">
        <w:r w:rsidRPr="0065020D">
          <w:rPr>
            <w:rStyle w:val="Hyperlink"/>
            <w:rFonts w:ascii="Times New Roman Bold" w:hAnsi="Times New Roman Bold"/>
            <w:noProof/>
          </w:rPr>
          <w:t>2.3</w:t>
        </w:r>
        <w:r>
          <w:rPr>
            <w:rFonts w:asciiTheme="minorHAnsi" w:eastAsiaTheme="minorEastAsia" w:hAnsiTheme="minorHAnsi" w:cstheme="minorBidi"/>
            <w:noProof/>
            <w:sz w:val="22"/>
            <w:szCs w:val="22"/>
          </w:rPr>
          <w:tab/>
        </w:r>
        <w:r w:rsidRPr="0065020D">
          <w:rPr>
            <w:rStyle w:val="Hyperlink"/>
            <w:noProof/>
          </w:rPr>
          <w:t>Maintenance/Modification</w:t>
        </w:r>
        <w:r>
          <w:rPr>
            <w:noProof/>
            <w:webHidden/>
          </w:rPr>
          <w:tab/>
        </w:r>
        <w:r>
          <w:rPr>
            <w:noProof/>
            <w:webHidden/>
          </w:rPr>
          <w:fldChar w:fldCharType="begin"/>
        </w:r>
        <w:r>
          <w:rPr>
            <w:noProof/>
            <w:webHidden/>
          </w:rPr>
          <w:instrText xml:space="preserve"> PAGEREF _Toc500504075 \h </w:instrText>
        </w:r>
        <w:r>
          <w:rPr>
            <w:noProof/>
            <w:webHidden/>
          </w:rPr>
        </w:r>
        <w:r>
          <w:rPr>
            <w:noProof/>
            <w:webHidden/>
          </w:rPr>
          <w:fldChar w:fldCharType="separate"/>
        </w:r>
        <w:r>
          <w:rPr>
            <w:noProof/>
            <w:webHidden/>
          </w:rPr>
          <w:t>2</w:t>
        </w:r>
        <w:r>
          <w:rPr>
            <w:noProof/>
            <w:webHidden/>
          </w:rPr>
          <w:fldChar w:fldCharType="end"/>
        </w:r>
      </w:hyperlink>
    </w:p>
    <w:p w14:paraId="29132FE7" w14:textId="68F05C6E" w:rsidR="005F113C" w:rsidRDefault="005F113C">
      <w:pPr>
        <w:pStyle w:val="TOC1"/>
        <w:rPr>
          <w:rFonts w:asciiTheme="minorHAnsi" w:eastAsiaTheme="minorEastAsia" w:hAnsiTheme="minorHAnsi" w:cstheme="minorBidi"/>
          <w:noProof/>
          <w:sz w:val="22"/>
          <w:szCs w:val="22"/>
        </w:rPr>
      </w:pPr>
      <w:hyperlink w:anchor="_Toc500504076" w:history="1">
        <w:r w:rsidRPr="0065020D">
          <w:rPr>
            <w:rStyle w:val="Hyperlink"/>
            <w:rFonts w:ascii="Times New Roman Bold" w:hAnsi="Times New Roman Bold"/>
            <w:noProof/>
          </w:rPr>
          <w:t>3.0</w:t>
        </w:r>
        <w:r>
          <w:rPr>
            <w:rFonts w:asciiTheme="minorHAnsi" w:eastAsiaTheme="minorEastAsia" w:hAnsiTheme="minorHAnsi" w:cstheme="minorBidi"/>
            <w:noProof/>
            <w:sz w:val="22"/>
            <w:szCs w:val="22"/>
          </w:rPr>
          <w:tab/>
        </w:r>
        <w:r w:rsidRPr="0065020D">
          <w:rPr>
            <w:rStyle w:val="Hyperlink"/>
            <w:noProof/>
          </w:rPr>
          <w:t>PROGRAM DESCRIPTION</w:t>
        </w:r>
        <w:r>
          <w:rPr>
            <w:noProof/>
            <w:webHidden/>
          </w:rPr>
          <w:tab/>
        </w:r>
        <w:r>
          <w:rPr>
            <w:noProof/>
            <w:webHidden/>
          </w:rPr>
          <w:fldChar w:fldCharType="begin"/>
        </w:r>
        <w:r>
          <w:rPr>
            <w:noProof/>
            <w:webHidden/>
          </w:rPr>
          <w:instrText xml:space="preserve"> PAGEREF _Toc500504076 \h </w:instrText>
        </w:r>
        <w:r>
          <w:rPr>
            <w:noProof/>
            <w:webHidden/>
          </w:rPr>
        </w:r>
        <w:r>
          <w:rPr>
            <w:noProof/>
            <w:webHidden/>
          </w:rPr>
          <w:fldChar w:fldCharType="separate"/>
        </w:r>
        <w:r>
          <w:rPr>
            <w:noProof/>
            <w:webHidden/>
          </w:rPr>
          <w:t>2</w:t>
        </w:r>
        <w:r>
          <w:rPr>
            <w:noProof/>
            <w:webHidden/>
          </w:rPr>
          <w:fldChar w:fldCharType="end"/>
        </w:r>
      </w:hyperlink>
    </w:p>
    <w:p w14:paraId="602183DD" w14:textId="578B2B2F" w:rsidR="005F113C" w:rsidRDefault="005F113C">
      <w:pPr>
        <w:pStyle w:val="TOC1"/>
        <w:rPr>
          <w:rFonts w:asciiTheme="minorHAnsi" w:eastAsiaTheme="minorEastAsia" w:hAnsiTheme="minorHAnsi" w:cstheme="minorBidi"/>
          <w:noProof/>
          <w:sz w:val="22"/>
          <w:szCs w:val="22"/>
        </w:rPr>
      </w:pPr>
      <w:hyperlink w:anchor="_Toc500504077" w:history="1">
        <w:r w:rsidRPr="0065020D">
          <w:rPr>
            <w:rStyle w:val="Hyperlink"/>
            <w:rFonts w:ascii="Times New Roman Bold" w:hAnsi="Times New Roman Bold"/>
            <w:noProof/>
          </w:rPr>
          <w:t>4.0</w:t>
        </w:r>
        <w:r>
          <w:rPr>
            <w:rFonts w:asciiTheme="minorHAnsi" w:eastAsiaTheme="minorEastAsia" w:hAnsiTheme="minorHAnsi" w:cstheme="minorBidi"/>
            <w:noProof/>
            <w:sz w:val="22"/>
            <w:szCs w:val="22"/>
          </w:rPr>
          <w:tab/>
        </w:r>
        <w:r w:rsidRPr="0065020D">
          <w:rPr>
            <w:rStyle w:val="Hyperlink"/>
            <w:noProof/>
          </w:rPr>
          <w:t>REFERENCES</w:t>
        </w:r>
        <w:r>
          <w:rPr>
            <w:noProof/>
            <w:webHidden/>
          </w:rPr>
          <w:tab/>
        </w:r>
        <w:r>
          <w:rPr>
            <w:noProof/>
            <w:webHidden/>
          </w:rPr>
          <w:fldChar w:fldCharType="begin"/>
        </w:r>
        <w:r>
          <w:rPr>
            <w:noProof/>
            <w:webHidden/>
          </w:rPr>
          <w:instrText xml:space="preserve"> PAGEREF _Toc500504077 \h </w:instrText>
        </w:r>
        <w:r>
          <w:rPr>
            <w:noProof/>
            <w:webHidden/>
          </w:rPr>
        </w:r>
        <w:r>
          <w:rPr>
            <w:noProof/>
            <w:webHidden/>
          </w:rPr>
          <w:fldChar w:fldCharType="separate"/>
        </w:r>
        <w:r>
          <w:rPr>
            <w:noProof/>
            <w:webHidden/>
          </w:rPr>
          <w:t>3</w:t>
        </w:r>
        <w:r>
          <w:rPr>
            <w:noProof/>
            <w:webHidden/>
          </w:rPr>
          <w:fldChar w:fldCharType="end"/>
        </w:r>
      </w:hyperlink>
    </w:p>
    <w:p w14:paraId="54E6B4B3" w14:textId="2277E6ED" w:rsidR="00A96FFC" w:rsidRDefault="0031189E" w:rsidP="003559A3">
      <w:pPr>
        <w:tabs>
          <w:tab w:val="right" w:leader="dot" w:pos="9720"/>
        </w:tabs>
        <w:jc w:val="left"/>
        <w:rPr>
          <w:bCs/>
        </w:rPr>
      </w:pPr>
      <w:r>
        <w:rPr>
          <w:bCs/>
        </w:rPr>
        <w:fldChar w:fldCharType="end"/>
      </w:r>
    </w:p>
    <w:p w14:paraId="31AF294B" w14:textId="77777777" w:rsidR="00084E8E" w:rsidRPr="00FA370A" w:rsidRDefault="00084E8E" w:rsidP="002441F5">
      <w:pPr>
        <w:jc w:val="left"/>
        <w:rPr>
          <w:bCs/>
        </w:rPr>
      </w:pPr>
    </w:p>
    <w:p w14:paraId="27CFFC29" w14:textId="77777777" w:rsidR="00A96FFC" w:rsidRPr="00A96FFC" w:rsidRDefault="00A96FFC">
      <w:pPr>
        <w:rPr>
          <w:bCs/>
        </w:rPr>
      </w:pPr>
    </w:p>
    <w:p w14:paraId="71098988"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6B9CA861" w14:textId="77777777" w:rsidR="00CE5B8A" w:rsidRPr="00774629" w:rsidRDefault="007D5A75" w:rsidP="007D5A75">
      <w:pPr>
        <w:pStyle w:val="Heading1"/>
      </w:pPr>
      <w:bookmarkStart w:id="1" w:name="_Toc500504071"/>
      <w:r>
        <w:lastRenderedPageBreak/>
        <w:t>INTRODUCTION</w:t>
      </w:r>
      <w:bookmarkEnd w:id="1"/>
    </w:p>
    <w:p w14:paraId="73F48DC4" w14:textId="77777777" w:rsidR="00D435EC" w:rsidRPr="007D5A75" w:rsidRDefault="00D435EC" w:rsidP="005F113C"/>
    <w:p w14:paraId="22996E9B" w14:textId="4EA3EAE3" w:rsidR="00611246" w:rsidRDefault="0017287F" w:rsidP="005F113C">
      <w:r w:rsidRPr="00EC3761">
        <w:t xml:space="preserve">The typical construction of primary beam enclosures (or any other enclosure in which </w:t>
      </w:r>
      <w:r w:rsidR="00F57862" w:rsidRPr="00EC3761">
        <w:t>radiation</w:t>
      </w:r>
      <w:r w:rsidRPr="00EC3761">
        <w:t xml:space="preserve"> is of concern)</w:t>
      </w:r>
      <w:r w:rsidR="004F754D">
        <w:t xml:space="preserve"> is of noncombustible material.</w:t>
      </w:r>
      <w:r w:rsidRPr="00EC3761">
        <w:t xml:space="preserve"> The enclosures typically contain equipment and apparatus of low combustibility.</w:t>
      </w:r>
      <w:r w:rsidR="005E458D" w:rsidRPr="00EC3761">
        <w:t xml:space="preserve"> </w:t>
      </w:r>
      <w:r w:rsidRPr="00EC3761">
        <w:t xml:space="preserve">It is the policy of Fermilab that portable fire extinguishers shall not </w:t>
      </w:r>
      <w:proofErr w:type="gramStart"/>
      <w:r w:rsidRPr="00EC3761">
        <w:t>be located in</w:t>
      </w:r>
      <w:proofErr w:type="gramEnd"/>
      <w:r w:rsidRPr="00EC3761">
        <w:t xml:space="preserve"> primary beam enclosures (or any enclosure in which </w:t>
      </w:r>
      <w:r w:rsidR="00F57862" w:rsidRPr="00EC3761">
        <w:t>radiation</w:t>
      </w:r>
      <w:r w:rsidRPr="00EC3761">
        <w:t xml:space="preserve"> is of concern) </w:t>
      </w:r>
      <w:r w:rsidR="00F57862" w:rsidRPr="00EC3761">
        <w:t>and where</w:t>
      </w:r>
      <w:r w:rsidRPr="00EC3761">
        <w:t xml:space="preserve"> combustible loading</w:t>
      </w:r>
      <w:r w:rsidR="00F57862" w:rsidRPr="00EC3761">
        <w:t xml:space="preserve"> is present</w:t>
      </w:r>
      <w:r w:rsidRPr="00EC3761">
        <w:t>.</w:t>
      </w:r>
      <w:r w:rsidR="005E458D" w:rsidRPr="00EC3761">
        <w:t xml:space="preserve">  </w:t>
      </w:r>
    </w:p>
    <w:p w14:paraId="347AF694" w14:textId="6B3C241C" w:rsidR="00EC3761" w:rsidRPr="00EC3761" w:rsidRDefault="00EC3761" w:rsidP="005F113C">
      <w:r w:rsidRPr="00EC3761">
        <w:t>This chapter onl</w:t>
      </w:r>
      <w:r w:rsidR="004F754D">
        <w:t>y applies to the Fermilab site.</w:t>
      </w:r>
      <w:r w:rsidRPr="00EC3761">
        <w:t xml:space="preserve"> Leased space</w:t>
      </w:r>
      <w:r w:rsidR="004F754D">
        <w:t>s</w:t>
      </w:r>
      <w:r w:rsidRPr="00EC3761">
        <w:t xml:space="preserve"> will follow the rules and regulations set forth by the partnering institute and/or state or local codes and standards.</w:t>
      </w:r>
    </w:p>
    <w:p w14:paraId="3B2112FD" w14:textId="6E20C63A" w:rsidR="005E458D" w:rsidRPr="00C917A1" w:rsidRDefault="005E458D" w:rsidP="00C917A1"/>
    <w:p w14:paraId="686D3912" w14:textId="3C2D80E3" w:rsidR="00BE0C08" w:rsidRDefault="004F754D" w:rsidP="003E2A77">
      <w:pPr>
        <w:pStyle w:val="Heading1"/>
        <w:keepNext w:val="0"/>
      </w:pPr>
      <w:bookmarkStart w:id="2" w:name="_Toc500504072"/>
      <w:r>
        <w:t>RESPONSIBILITIES</w:t>
      </w:r>
      <w:bookmarkEnd w:id="2"/>
    </w:p>
    <w:p w14:paraId="5B4C5D4E" w14:textId="4E7D61E3" w:rsidR="005E458D" w:rsidRPr="005E458D" w:rsidRDefault="005E458D" w:rsidP="005E458D"/>
    <w:p w14:paraId="7A8696BC" w14:textId="77777777" w:rsidR="004F754D" w:rsidRPr="004F754D" w:rsidRDefault="00062ECD" w:rsidP="00062ECD">
      <w:pPr>
        <w:pStyle w:val="Heading2"/>
      </w:pPr>
      <w:bookmarkStart w:id="3" w:name="_Toc500504073"/>
      <w:r w:rsidRPr="004F754D">
        <w:t>D</w:t>
      </w:r>
      <w:r w:rsidR="0017287F" w:rsidRPr="004F754D">
        <w:t>ivision/</w:t>
      </w:r>
      <w:r w:rsidRPr="004F754D">
        <w:t>S</w:t>
      </w:r>
      <w:r w:rsidR="0017287F" w:rsidRPr="004F754D">
        <w:t xml:space="preserve">ection </w:t>
      </w:r>
      <w:r w:rsidR="004F754D" w:rsidRPr="004F754D">
        <w:t>H</w:t>
      </w:r>
      <w:r w:rsidR="0017287F" w:rsidRPr="004F754D">
        <w:t>eads</w:t>
      </w:r>
      <w:bookmarkEnd w:id="3"/>
    </w:p>
    <w:p w14:paraId="6D45303F" w14:textId="26C0C933" w:rsidR="004F754D" w:rsidRPr="005F113C" w:rsidRDefault="004F754D" w:rsidP="005F113C">
      <w:r w:rsidRPr="005F113C">
        <w:t>R</w:t>
      </w:r>
      <w:r w:rsidR="0017287F" w:rsidRPr="005F113C">
        <w:t>equest a review by the Environment, Safety, Health</w:t>
      </w:r>
      <w:r w:rsidR="001F41E6" w:rsidRPr="005F113C">
        <w:t xml:space="preserve"> &amp; Quality</w:t>
      </w:r>
      <w:r w:rsidR="0017287F" w:rsidRPr="005F113C">
        <w:t xml:space="preserve"> Section</w:t>
      </w:r>
      <w:r w:rsidR="001F41E6" w:rsidRPr="005F113C">
        <w:t>’s</w:t>
      </w:r>
      <w:r w:rsidR="0017287F" w:rsidRPr="005F113C">
        <w:t xml:space="preserve"> Fire Protection Engineer (ESH</w:t>
      </w:r>
      <w:r w:rsidR="00062ECD" w:rsidRPr="005F113C">
        <w:t>&amp;Q</w:t>
      </w:r>
      <w:r w:rsidR="0017287F" w:rsidRPr="005F113C">
        <w:t>-FPE) if the combustible loading of any area within an enclosure has changed.</w:t>
      </w:r>
    </w:p>
    <w:p w14:paraId="4CF37C2C" w14:textId="77777777" w:rsidR="005F113C" w:rsidRPr="005F113C" w:rsidRDefault="005F113C" w:rsidP="005F113C"/>
    <w:p w14:paraId="6A49A8A7" w14:textId="469321E4" w:rsidR="0017287F" w:rsidRDefault="005F113C" w:rsidP="005F113C">
      <w:pPr>
        <w:rPr>
          <w:b/>
        </w:rPr>
      </w:pPr>
      <w:r w:rsidRPr="005F113C">
        <w:t>R</w:t>
      </w:r>
      <w:r w:rsidRPr="005F113C">
        <w:t>equest</w:t>
      </w:r>
      <w:r w:rsidRPr="00062ECD">
        <w:t xml:space="preserve"> either the Fermilab Fire Department or the ESH&amp;Q-FPE to recommend the quantity, type and placement of portable fire extinguishers. The Fermilab Fire Department shall be informed of the location of all portable fire extinguishers.  Wherever possible, the portable fire extinguishers should be located just outside the enclosure.</w:t>
      </w:r>
    </w:p>
    <w:p w14:paraId="03623080" w14:textId="77777777" w:rsidR="005F113C" w:rsidRPr="005F113C" w:rsidRDefault="005F113C" w:rsidP="005F113C"/>
    <w:p w14:paraId="1F16AA5C" w14:textId="77777777" w:rsidR="004F754D" w:rsidRDefault="0017287F" w:rsidP="00062ECD">
      <w:pPr>
        <w:pStyle w:val="Heading2"/>
      </w:pPr>
      <w:bookmarkStart w:id="4" w:name="_Toc500504074"/>
      <w:r w:rsidRPr="0017287F">
        <w:t>ESH</w:t>
      </w:r>
      <w:r w:rsidR="00062ECD">
        <w:t>&amp;Q</w:t>
      </w:r>
      <w:r w:rsidR="004F754D">
        <w:t>-FPE</w:t>
      </w:r>
      <w:bookmarkEnd w:id="4"/>
    </w:p>
    <w:p w14:paraId="26D7FC5D" w14:textId="42F9B187" w:rsidR="0017287F" w:rsidRPr="005F113C" w:rsidRDefault="004F754D" w:rsidP="005F113C">
      <w:r w:rsidRPr="005F113C">
        <w:t>P</w:t>
      </w:r>
      <w:r w:rsidR="0017287F" w:rsidRPr="005F113C">
        <w:t>rovide technical guidance as to the combustible loading of the enclosure.  If the ESH</w:t>
      </w:r>
      <w:r w:rsidR="00062ECD" w:rsidRPr="005F113C">
        <w:t>&amp;Q</w:t>
      </w:r>
      <w:r w:rsidR="0017287F" w:rsidRPr="005F113C">
        <w:t xml:space="preserve">-FPE </w:t>
      </w:r>
      <w:r w:rsidR="001F41E6" w:rsidRPr="005F113C">
        <w:t>decides</w:t>
      </w:r>
      <w:r w:rsidR="0017287F" w:rsidRPr="005F113C">
        <w:t xml:space="preserve"> the combustible loading is too high, the</w:t>
      </w:r>
      <w:r w:rsidR="001F41E6" w:rsidRPr="005F113C">
        <w:t>n the</w:t>
      </w:r>
      <w:r w:rsidR="0017287F" w:rsidRPr="005F113C">
        <w:t xml:space="preserve"> ESH</w:t>
      </w:r>
      <w:r w:rsidR="001F41E6" w:rsidRPr="005F113C">
        <w:t>&amp;Q</w:t>
      </w:r>
      <w:r w:rsidR="0017287F" w:rsidRPr="005F113C">
        <w:t>-FPE may request the combustible loading be lowered or adequate local fire extinguishers be provided if that cannot be accomplished.</w:t>
      </w:r>
    </w:p>
    <w:p w14:paraId="6B2F5BDF" w14:textId="36A53373" w:rsidR="0017287F" w:rsidRPr="005F113C" w:rsidRDefault="0017287F" w:rsidP="005F113C"/>
    <w:p w14:paraId="5551B737" w14:textId="77777777" w:rsidR="005F113C" w:rsidRPr="005F113C" w:rsidRDefault="00062ECD" w:rsidP="00062ECD">
      <w:pPr>
        <w:pStyle w:val="Heading2"/>
        <w:rPr>
          <w:b w:val="0"/>
        </w:rPr>
      </w:pPr>
      <w:bookmarkStart w:id="5" w:name="_Toc500504075"/>
      <w:r>
        <w:t>M</w:t>
      </w:r>
      <w:r w:rsidR="0017287F" w:rsidRPr="0017287F">
        <w:t>aintenance/</w:t>
      </w:r>
      <w:r>
        <w:t>M</w:t>
      </w:r>
      <w:r w:rsidR="005F113C">
        <w:t>odification</w:t>
      </w:r>
      <w:bookmarkEnd w:id="5"/>
    </w:p>
    <w:p w14:paraId="3529A9FA" w14:textId="68E480FD" w:rsidR="00D929BC" w:rsidRPr="005F113C" w:rsidRDefault="005F113C" w:rsidP="005F113C">
      <w:r w:rsidRPr="005F113C">
        <w:t>A</w:t>
      </w:r>
      <w:r w:rsidR="0017287F" w:rsidRPr="005F113C">
        <w:t>ctivities which increase the fire hazard, extra portable fire extinguishers shall be provided by the responsible division/section or contractor and removed upon completion of the maintenance/modification activity.  (The division/section can borrow fire extinguishers from the Fermilab Fire Department.)  Permanent fire extinguishers should not be relocated for maintenance/modification activities.</w:t>
      </w:r>
    </w:p>
    <w:p w14:paraId="08486855" w14:textId="77777777" w:rsidR="004F754D" w:rsidRPr="004F754D" w:rsidRDefault="004F754D" w:rsidP="004F754D"/>
    <w:p w14:paraId="6341347A" w14:textId="701F1C4E" w:rsidR="004F754D" w:rsidRDefault="004F754D" w:rsidP="004F754D">
      <w:pPr>
        <w:pStyle w:val="Heading1"/>
        <w:keepNext w:val="0"/>
      </w:pPr>
      <w:bookmarkStart w:id="6" w:name="_Toc187993400"/>
      <w:bookmarkStart w:id="7" w:name="_Toc500504076"/>
      <w:r>
        <w:t>PROGRAM DESCRIPTION</w:t>
      </w:r>
      <w:bookmarkEnd w:id="7"/>
    </w:p>
    <w:p w14:paraId="748DC502" w14:textId="77777777" w:rsidR="004F754D" w:rsidRPr="004F754D" w:rsidRDefault="004F754D" w:rsidP="005F113C"/>
    <w:p w14:paraId="22F2F7E3" w14:textId="77777777" w:rsidR="004F754D" w:rsidRPr="001703D0" w:rsidRDefault="004F754D" w:rsidP="005F113C">
      <w:pPr>
        <w:rPr>
          <w:color w:val="000000"/>
        </w:rPr>
      </w:pPr>
      <w:r w:rsidRPr="001703D0">
        <w:rPr>
          <w:color w:val="000000"/>
        </w:rPr>
        <w:t xml:space="preserve">The basis for this </w:t>
      </w:r>
      <w:r>
        <w:rPr>
          <w:color w:val="000000"/>
        </w:rPr>
        <w:t>chapter</w:t>
      </w:r>
      <w:r w:rsidRPr="001703D0">
        <w:rPr>
          <w:color w:val="000000"/>
        </w:rPr>
        <w:t xml:space="preserve"> is as follows:</w:t>
      </w:r>
    </w:p>
    <w:p w14:paraId="5E1C88BE" w14:textId="77777777" w:rsidR="004F754D" w:rsidRPr="001703D0" w:rsidRDefault="004F754D" w:rsidP="005F113C">
      <w:pPr>
        <w:rPr>
          <w:color w:val="000000"/>
        </w:rPr>
      </w:pPr>
    </w:p>
    <w:p w14:paraId="07B6D398" w14:textId="77777777" w:rsidR="004F754D" w:rsidRPr="001703D0" w:rsidRDefault="004F754D" w:rsidP="005F113C">
      <w:pPr>
        <w:rPr>
          <w:color w:val="000000"/>
        </w:rPr>
      </w:pPr>
      <w:bookmarkStart w:id="8" w:name="_Toc344468621"/>
      <w:r w:rsidRPr="001703D0">
        <w:rPr>
          <w:color w:val="000000"/>
        </w:rPr>
        <w:t>Emergency procedures require that personnel immediately evacuate if a fire occurs in a radiation enclosure involving radioactive material. Unprotected personnel are not to attempt to fight a fire inv</w:t>
      </w:r>
      <w:r>
        <w:rPr>
          <w:color w:val="000000"/>
        </w:rPr>
        <w:t>olving radioactive materials.</w:t>
      </w:r>
      <w:r w:rsidRPr="001703D0">
        <w:rPr>
          <w:color w:val="000000"/>
        </w:rPr>
        <w:t xml:space="preserve"> Only personnel wearing a Self-Contained Breathing Apparatus (SCBA) and protective clothing </w:t>
      </w:r>
      <w:proofErr w:type="gramStart"/>
      <w:r w:rsidRPr="001703D0">
        <w:rPr>
          <w:color w:val="000000"/>
        </w:rPr>
        <w:t>are allowed to</w:t>
      </w:r>
      <w:proofErr w:type="gramEnd"/>
      <w:r w:rsidRPr="001703D0">
        <w:rPr>
          <w:color w:val="000000"/>
        </w:rPr>
        <w:t xml:space="preserve"> re-enter the area and/or fight the fire.</w:t>
      </w:r>
      <w:bookmarkEnd w:id="8"/>
    </w:p>
    <w:p w14:paraId="0BE01748" w14:textId="77777777" w:rsidR="004F754D" w:rsidRPr="001703D0" w:rsidRDefault="004F754D" w:rsidP="005F113C">
      <w:pPr>
        <w:rPr>
          <w:color w:val="000000"/>
        </w:rPr>
      </w:pPr>
      <w:bookmarkStart w:id="9" w:name="_Toc344468622"/>
      <w:r w:rsidRPr="001703D0">
        <w:rPr>
          <w:color w:val="000000"/>
        </w:rPr>
        <w:t>Regular access to extinguishers in primary beam enclosures for inspection by the Fermilab Fire Department is not possible without severe programmatic impact due to the "No Access" status of enclosures during beam-on periods.</w:t>
      </w:r>
      <w:bookmarkEnd w:id="9"/>
    </w:p>
    <w:p w14:paraId="184625FD" w14:textId="34E7659D" w:rsidR="004F754D" w:rsidRPr="005F113C" w:rsidRDefault="004F754D" w:rsidP="005F113C">
      <w:pPr>
        <w:rPr>
          <w:color w:val="000000"/>
        </w:rPr>
      </w:pPr>
      <w:bookmarkStart w:id="10" w:name="_Toc344468623"/>
      <w:r w:rsidRPr="001703D0">
        <w:rPr>
          <w:color w:val="000000"/>
        </w:rPr>
        <w:t>Exposure to primary beam results in radio-activation of extinguisher shells and contents.</w:t>
      </w:r>
      <w:bookmarkEnd w:id="10"/>
    </w:p>
    <w:p w14:paraId="57870782" w14:textId="77777777" w:rsidR="004F754D" w:rsidRPr="005E458D" w:rsidRDefault="004F754D" w:rsidP="004F754D"/>
    <w:p w14:paraId="59AD4B20" w14:textId="072A7ACD" w:rsidR="004F754D" w:rsidRDefault="004F754D" w:rsidP="004F754D">
      <w:pPr>
        <w:pStyle w:val="Heading1"/>
        <w:keepNext w:val="0"/>
      </w:pPr>
      <w:bookmarkStart w:id="11" w:name="_Toc500504077"/>
      <w:r w:rsidRPr="00B25DFE">
        <w:lastRenderedPageBreak/>
        <w:t>REFERENCES</w:t>
      </w:r>
      <w:bookmarkEnd w:id="6"/>
      <w:bookmarkEnd w:id="11"/>
    </w:p>
    <w:p w14:paraId="6827EBE1" w14:textId="77777777" w:rsidR="004F754D" w:rsidRDefault="004F754D" w:rsidP="005F113C"/>
    <w:p w14:paraId="5E910E19" w14:textId="77777777" w:rsidR="004F754D" w:rsidRDefault="004F754D" w:rsidP="005F113C">
      <w:r>
        <w:t>FESHM 2010, Planning and Review of Accelerator Facilities and Their Operations</w:t>
      </w:r>
    </w:p>
    <w:p w14:paraId="7DD6BC7B" w14:textId="77777777" w:rsidR="004F754D" w:rsidRPr="0017287F" w:rsidRDefault="004F754D" w:rsidP="005F113C">
      <w:r>
        <w:t>FESHM 6010, Fire Protection Program</w:t>
      </w:r>
    </w:p>
    <w:p w14:paraId="3209AE00" w14:textId="77777777" w:rsidR="004F754D" w:rsidRDefault="004F754D" w:rsidP="005F113C">
      <w:r>
        <w:t>NFPA 10, Standard for Portable Fire Extinguishers, 2013</w:t>
      </w:r>
    </w:p>
    <w:p w14:paraId="27DEFF67" w14:textId="77777777" w:rsidR="004F754D" w:rsidRPr="004F754D" w:rsidRDefault="004F754D" w:rsidP="004F754D"/>
    <w:sectPr w:rsidR="004F754D" w:rsidRPr="004F754D" w:rsidSect="00BB1050">
      <w:headerReference w:type="default" r:id="rId14"/>
      <w:footerReference w:type="default" r:id="rId1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273F2" w14:textId="77777777" w:rsidR="00115407" w:rsidRDefault="00115407" w:rsidP="00CB66DF">
      <w:r>
        <w:separator/>
      </w:r>
    </w:p>
  </w:endnote>
  <w:endnote w:type="continuationSeparator" w:id="0">
    <w:p w14:paraId="5948F52A" w14:textId="77777777" w:rsidR="00115407" w:rsidRDefault="0011540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41BF" w14:textId="163177BF" w:rsidR="009028AC" w:rsidRDefault="009028AC"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6020.1-</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F113C">
      <w:rPr>
        <w:rFonts w:ascii="Palatino" w:hAnsi="Palatino"/>
        <w:noProof/>
        <w:sz w:val="18"/>
      </w:rPr>
      <w:t>1</w:t>
    </w:r>
    <w:r>
      <w:rPr>
        <w:rFonts w:ascii="Palatino" w:hAnsi="Palatino"/>
        <w:sz w:val="18"/>
      </w:rPr>
      <w:fldChar w:fldCharType="end"/>
    </w:r>
  </w:p>
  <w:p w14:paraId="7C811781" w14:textId="1BCD6C44" w:rsidR="009028AC" w:rsidRDefault="009028AC" w:rsidP="00B072B8">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12/</w:t>
    </w:r>
    <w:r w:rsidRPr="00A71082">
      <w:rPr>
        <w:sz w:val="18"/>
        <w:szCs w:val="18"/>
      </w:rPr>
      <w:t>201</w:t>
    </w:r>
    <w:r w:rsidR="004F754D">
      <w:rPr>
        <w:sz w:val="18"/>
        <w:szCs w:val="18"/>
      </w:rPr>
      <w:t>7</w:t>
    </w:r>
    <w:r w:rsidRPr="00A71082">
      <w:rPr>
        <w:rFonts w:ascii="Palatino" w:hAnsi="Palatino"/>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70866" w14:textId="21D59B30" w:rsidR="009028AC" w:rsidRDefault="009028AC"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sz w:val="18"/>
      </w:rPr>
      <w:t>6020.1</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F113C">
      <w:rPr>
        <w:rFonts w:ascii="Palatino" w:hAnsi="Palatino"/>
        <w:noProof/>
        <w:sz w:val="18"/>
      </w:rPr>
      <w:t>3</w:t>
    </w:r>
    <w:r>
      <w:rPr>
        <w:rFonts w:ascii="Palatino" w:hAnsi="Palatino"/>
        <w:sz w:val="18"/>
      </w:rPr>
      <w:fldChar w:fldCharType="end"/>
    </w:r>
  </w:p>
  <w:p w14:paraId="6E349E0D" w14:textId="3FBD3378" w:rsidR="009028AC" w:rsidRPr="00BD7030" w:rsidRDefault="009028AC" w:rsidP="00062ECD">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Rev.12</w:t>
    </w:r>
    <w:r w:rsidRPr="00A71082">
      <w:rPr>
        <w:sz w:val="18"/>
        <w:szCs w:val="18"/>
      </w:rPr>
      <w:t>/201</w:t>
    </w:r>
    <w:r w:rsidR="004F754D">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E2C6" w14:textId="77777777" w:rsidR="00115407" w:rsidRDefault="00115407" w:rsidP="00CB66DF">
      <w:r>
        <w:separator/>
      </w:r>
    </w:p>
  </w:footnote>
  <w:footnote w:type="continuationSeparator" w:id="0">
    <w:p w14:paraId="63369077" w14:textId="77777777" w:rsidR="00115407" w:rsidRDefault="0011540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AA11CE" w:rsidRPr="00423E3B" w14:paraId="3E2F3FED" w14:textId="77777777" w:rsidTr="008F6076">
      <w:trPr>
        <w:trHeight w:val="611"/>
      </w:trPr>
      <w:tc>
        <w:tcPr>
          <w:tcW w:w="1490" w:type="dxa"/>
        </w:tcPr>
        <w:p w14:paraId="23762F91" w14:textId="77777777" w:rsidR="00AA11CE" w:rsidRDefault="00AA11CE" w:rsidP="00AA11CE">
          <w:r w:rsidRPr="00684839">
            <w:rPr>
              <w:noProof/>
            </w:rPr>
            <w:drawing>
              <wp:anchor distT="0" distB="0" distL="114300" distR="114300" simplePos="0" relativeHeight="251657216" behindDoc="0" locked="0" layoutInCell="1" allowOverlap="0" wp14:anchorId="35B434F3" wp14:editId="5D601D8D">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80B9B3B" w14:textId="77777777" w:rsidR="00AA11CE" w:rsidRDefault="00AA11CE" w:rsidP="00AA11CE">
          <w:pPr>
            <w:jc w:val="center"/>
          </w:pPr>
          <w:r>
            <w:t>ES&amp;H Manual</w:t>
          </w:r>
        </w:p>
      </w:tc>
      <w:tc>
        <w:tcPr>
          <w:tcW w:w="3188" w:type="dxa"/>
          <w:vAlign w:val="center"/>
        </w:tcPr>
        <w:p w14:paraId="404ED9D6" w14:textId="262535F4" w:rsidR="00AA11CE" w:rsidRPr="00423E3B" w:rsidRDefault="00AA11CE" w:rsidP="00AA11CE">
          <w:pPr>
            <w:jc w:val="center"/>
          </w:pPr>
          <w:r>
            <w:t>FESHM 6020.1</w:t>
          </w:r>
        </w:p>
        <w:p w14:paraId="2C07B172" w14:textId="0C8CA15C" w:rsidR="00AA11CE" w:rsidRPr="00423E3B" w:rsidRDefault="004F754D" w:rsidP="00AA11CE">
          <w:pPr>
            <w:jc w:val="center"/>
          </w:pPr>
          <w:r>
            <w:t>December 2017</w:t>
          </w:r>
        </w:p>
      </w:tc>
    </w:tr>
  </w:tbl>
  <w:p w14:paraId="601BA8D5" w14:textId="77777777" w:rsidR="009028AC" w:rsidRDefault="009028AC"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AA11CE" w:rsidRPr="00423E3B" w14:paraId="0691E9D4" w14:textId="77777777" w:rsidTr="008F6076">
      <w:trPr>
        <w:trHeight w:val="611"/>
      </w:trPr>
      <w:tc>
        <w:tcPr>
          <w:tcW w:w="1490" w:type="dxa"/>
        </w:tcPr>
        <w:p w14:paraId="44BC6922" w14:textId="77777777" w:rsidR="00AA11CE" w:rsidRDefault="00AA11CE" w:rsidP="00AA11CE">
          <w:r w:rsidRPr="00684839">
            <w:rPr>
              <w:noProof/>
            </w:rPr>
            <w:drawing>
              <wp:anchor distT="0" distB="0" distL="114300" distR="114300" simplePos="0" relativeHeight="251674624" behindDoc="0" locked="0" layoutInCell="1" allowOverlap="0" wp14:anchorId="26C42210" wp14:editId="4D5B948E">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B1A23DB" w14:textId="77777777" w:rsidR="00AA11CE" w:rsidRDefault="00AA11CE" w:rsidP="00AA11CE">
          <w:pPr>
            <w:jc w:val="center"/>
          </w:pPr>
          <w:r>
            <w:t>ES&amp;H Manual</w:t>
          </w:r>
        </w:p>
      </w:tc>
      <w:tc>
        <w:tcPr>
          <w:tcW w:w="3188" w:type="dxa"/>
          <w:vAlign w:val="center"/>
        </w:tcPr>
        <w:p w14:paraId="04DE4E9F" w14:textId="1AED9E86" w:rsidR="00AA11CE" w:rsidRPr="00423E3B" w:rsidRDefault="00AA11CE" w:rsidP="00AA11CE">
          <w:pPr>
            <w:jc w:val="center"/>
          </w:pPr>
          <w:r>
            <w:t>FESHM 6020.1</w:t>
          </w:r>
        </w:p>
        <w:p w14:paraId="5F7AD6DE" w14:textId="610037A2" w:rsidR="00AA11CE" w:rsidRPr="00423E3B" w:rsidRDefault="004F754D" w:rsidP="00AA11CE">
          <w:pPr>
            <w:jc w:val="center"/>
          </w:pPr>
          <w:r>
            <w:t>December 2017</w:t>
          </w:r>
        </w:p>
      </w:tc>
    </w:tr>
  </w:tbl>
  <w:p w14:paraId="6E8B90E2" w14:textId="77777777" w:rsidR="009028AC" w:rsidRDefault="009028AC"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6974271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1634BD9"/>
    <w:multiLevelType w:val="hybridMultilevel"/>
    <w:tmpl w:val="24A8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 w15:restartNumberingAfterBreak="0">
    <w:nsid w:val="794F1B35"/>
    <w:multiLevelType w:val="hybridMultilevel"/>
    <w:tmpl w:val="023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3"/>
  </w:num>
  <w:num w:numId="5">
    <w:abstractNumId w:val="7"/>
  </w:num>
  <w:num w:numId="6">
    <w:abstractNumId w:val="1"/>
  </w:num>
  <w:num w:numId="7">
    <w:abstractNumId w:val="0"/>
  </w:num>
  <w:num w:numId="8">
    <w:abstractNumId w:val="4"/>
  </w:num>
  <w:num w:numId="9">
    <w:abstractNumId w:val="8"/>
  </w:num>
  <w:num w:numId="10">
    <w:abstractNumId w:val="2"/>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2ECD"/>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5407"/>
    <w:rsid w:val="001160E1"/>
    <w:rsid w:val="00120D90"/>
    <w:rsid w:val="00121965"/>
    <w:rsid w:val="00124813"/>
    <w:rsid w:val="00130521"/>
    <w:rsid w:val="00130CEF"/>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287F"/>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7801"/>
    <w:rsid w:val="001D7A73"/>
    <w:rsid w:val="001E20EF"/>
    <w:rsid w:val="001E3FC1"/>
    <w:rsid w:val="001E4839"/>
    <w:rsid w:val="001E4A8A"/>
    <w:rsid w:val="001E7609"/>
    <w:rsid w:val="001F0772"/>
    <w:rsid w:val="001F1994"/>
    <w:rsid w:val="001F1FA5"/>
    <w:rsid w:val="001F36C2"/>
    <w:rsid w:val="001F38CB"/>
    <w:rsid w:val="001F3CEC"/>
    <w:rsid w:val="001F41E6"/>
    <w:rsid w:val="001F6F81"/>
    <w:rsid w:val="002024AE"/>
    <w:rsid w:val="002028EB"/>
    <w:rsid w:val="00203E01"/>
    <w:rsid w:val="002070AE"/>
    <w:rsid w:val="002078BB"/>
    <w:rsid w:val="00207EAC"/>
    <w:rsid w:val="00210CB6"/>
    <w:rsid w:val="002114B4"/>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3E46"/>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189E"/>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4AD6"/>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A37"/>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B58C9"/>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4F754D"/>
    <w:rsid w:val="005006F2"/>
    <w:rsid w:val="00500D7F"/>
    <w:rsid w:val="0050301A"/>
    <w:rsid w:val="0050529C"/>
    <w:rsid w:val="00507CCC"/>
    <w:rsid w:val="00510511"/>
    <w:rsid w:val="00514461"/>
    <w:rsid w:val="0051575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458D"/>
    <w:rsid w:val="005E54C9"/>
    <w:rsid w:val="005E55D1"/>
    <w:rsid w:val="005E6896"/>
    <w:rsid w:val="005F0345"/>
    <w:rsid w:val="005F113C"/>
    <w:rsid w:val="005F3DAF"/>
    <w:rsid w:val="005F421A"/>
    <w:rsid w:val="006078FB"/>
    <w:rsid w:val="00610220"/>
    <w:rsid w:val="006104CF"/>
    <w:rsid w:val="00611246"/>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1D44"/>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49C"/>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2B0"/>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28AC"/>
    <w:rsid w:val="00905BFC"/>
    <w:rsid w:val="00905E67"/>
    <w:rsid w:val="009062A9"/>
    <w:rsid w:val="00906E7C"/>
    <w:rsid w:val="009079C3"/>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34A7"/>
    <w:rsid w:val="00A341B7"/>
    <w:rsid w:val="00A4075B"/>
    <w:rsid w:val="00A428EF"/>
    <w:rsid w:val="00A4316F"/>
    <w:rsid w:val="00A4491A"/>
    <w:rsid w:val="00A4679F"/>
    <w:rsid w:val="00A50F2A"/>
    <w:rsid w:val="00A50F36"/>
    <w:rsid w:val="00A524DE"/>
    <w:rsid w:val="00A5262D"/>
    <w:rsid w:val="00A56003"/>
    <w:rsid w:val="00A619B5"/>
    <w:rsid w:val="00A63A70"/>
    <w:rsid w:val="00A70984"/>
    <w:rsid w:val="00A71082"/>
    <w:rsid w:val="00A77CCE"/>
    <w:rsid w:val="00A805B8"/>
    <w:rsid w:val="00A84E18"/>
    <w:rsid w:val="00A85501"/>
    <w:rsid w:val="00A869F2"/>
    <w:rsid w:val="00A9001C"/>
    <w:rsid w:val="00A96FFC"/>
    <w:rsid w:val="00A9781C"/>
    <w:rsid w:val="00A97D31"/>
    <w:rsid w:val="00AA11CE"/>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604"/>
    <w:rsid w:val="00B14F1F"/>
    <w:rsid w:val="00B17AC0"/>
    <w:rsid w:val="00B25DFE"/>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4503"/>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1050"/>
    <w:rsid w:val="00BB4B88"/>
    <w:rsid w:val="00BB50D0"/>
    <w:rsid w:val="00BB6D37"/>
    <w:rsid w:val="00BC28A6"/>
    <w:rsid w:val="00BC3922"/>
    <w:rsid w:val="00BC3D90"/>
    <w:rsid w:val="00BD056C"/>
    <w:rsid w:val="00BD0818"/>
    <w:rsid w:val="00BD17E2"/>
    <w:rsid w:val="00BD270B"/>
    <w:rsid w:val="00BD577E"/>
    <w:rsid w:val="00BD7030"/>
    <w:rsid w:val="00BE0B51"/>
    <w:rsid w:val="00BE0C08"/>
    <w:rsid w:val="00BE698E"/>
    <w:rsid w:val="00BF19A0"/>
    <w:rsid w:val="00BF3072"/>
    <w:rsid w:val="00BF4030"/>
    <w:rsid w:val="00BF41F5"/>
    <w:rsid w:val="00BF54F4"/>
    <w:rsid w:val="00C02A84"/>
    <w:rsid w:val="00C02DBE"/>
    <w:rsid w:val="00C02EAF"/>
    <w:rsid w:val="00C035A5"/>
    <w:rsid w:val="00C05982"/>
    <w:rsid w:val="00C11AA5"/>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17A1"/>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6AA1"/>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77EC4"/>
    <w:rsid w:val="00E814FF"/>
    <w:rsid w:val="00E86128"/>
    <w:rsid w:val="00E91BA9"/>
    <w:rsid w:val="00EA09FC"/>
    <w:rsid w:val="00EA6DEF"/>
    <w:rsid w:val="00EA7011"/>
    <w:rsid w:val="00EB39F6"/>
    <w:rsid w:val="00EB3C8E"/>
    <w:rsid w:val="00EB6851"/>
    <w:rsid w:val="00EC23F0"/>
    <w:rsid w:val="00EC3761"/>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533F0"/>
    <w:rsid w:val="00F57862"/>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56D0F97F-8D42-42EB-9528-26FD29BD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D56AA1"/>
  </w:style>
  <w:style w:type="paragraph" w:styleId="BodyTextIndent2">
    <w:name w:val="Body Text Indent 2"/>
    <w:basedOn w:val="Normal"/>
    <w:link w:val="BodyTextIndent2Char"/>
    <w:rsid w:val="00EC3761"/>
    <w:pPr>
      <w:spacing w:after="120" w:line="480" w:lineRule="auto"/>
      <w:ind w:left="360"/>
      <w:jc w:val="left"/>
    </w:pPr>
    <w:rPr>
      <w:rFonts w:ascii="New York" w:hAnsi="New York"/>
      <w:sz w:val="20"/>
      <w:szCs w:val="20"/>
    </w:rPr>
  </w:style>
  <w:style w:type="character" w:customStyle="1" w:styleId="BodyTextIndent2Char">
    <w:name w:val="Body Text Indent 2 Char"/>
    <w:basedOn w:val="DefaultParagraphFont"/>
    <w:link w:val="BodyTextIndent2"/>
    <w:rsid w:val="00EC3761"/>
    <w:rPr>
      <w:rFonts w:ascii="New York" w:hAnsi="New Yor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84d57e-1e2d-4e4e-b964-3c7a0f1fc74b">-594-1352</_dlc_DocId>
    <_dlc_DocIdUrl xmlns="0684d57e-1e2d-4e4e-b964-3c7a0f1fc74b">
      <Url>https://fermipoint.fnal.gov/organization/eshq/fhs/_layouts/15/DocIdRedir.aspx?ID=-594-1352</Url>
      <Description>-594-1352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2CBBCE1-964F-45A7-A8D1-2CB2AB5C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8064E-1E33-4544-81CF-9B6DD67F4644}">
  <ds:schemaRefs>
    <ds:schemaRef ds:uri="http://schemas.microsoft.com/office/2006/metadata/properties"/>
    <ds:schemaRef ds:uri="http://schemas.microsoft.com/office/infopath/2007/PartnerControls"/>
    <ds:schemaRef ds:uri="0684d57e-1e2d-4e4e-b964-3c7a0f1fc74b"/>
  </ds:schemaRefs>
</ds:datastoreItem>
</file>

<file path=customXml/itemProps3.xml><?xml version="1.0" encoding="utf-8"?>
<ds:datastoreItem xmlns:ds="http://schemas.openxmlformats.org/officeDocument/2006/customXml" ds:itemID="{DA50E814-CC6E-4349-8934-47E7DF680052}">
  <ds:schemaRefs>
    <ds:schemaRef ds:uri="http://schemas.microsoft.com/sharepoint/v3/contenttype/forms"/>
  </ds:schemaRefs>
</ds:datastoreItem>
</file>

<file path=customXml/itemProps4.xml><?xml version="1.0" encoding="utf-8"?>
<ds:datastoreItem xmlns:ds="http://schemas.openxmlformats.org/officeDocument/2006/customXml" ds:itemID="{D22BA722-B394-43B5-8D67-7770042AF634}">
  <ds:schemaRefs>
    <ds:schemaRef ds:uri="http://schemas.microsoft.com/sharepoint/events"/>
  </ds:schemaRefs>
</ds:datastoreItem>
</file>

<file path=customXml/itemProps5.xml><?xml version="1.0" encoding="utf-8"?>
<ds:datastoreItem xmlns:ds="http://schemas.openxmlformats.org/officeDocument/2006/customXml" ds:itemID="{F31FEC88-8175-4D62-8C64-60C6C1DF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3893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priest@fnal.gov</dc:creator>
  <cp:lastModifiedBy>T.J. Sarlina x5741</cp:lastModifiedBy>
  <cp:revision>5</cp:revision>
  <cp:lastPrinted>2014-12-02T13:58:00Z</cp:lastPrinted>
  <dcterms:created xsi:type="dcterms:W3CDTF">2015-08-31T18:17:00Z</dcterms:created>
  <dcterms:modified xsi:type="dcterms:W3CDTF">2017-12-08T19:46:00Z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08edc206-1a12-4de4-9b22-4d0d09ddc540</vt:lpwstr>
  </property>
</Properties>
</file>