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A30F4" w14:textId="1AA9EDCF" w:rsidR="00142C80" w:rsidRDefault="00142C80" w:rsidP="005D3032">
      <w:pPr>
        <w:rPr>
          <w:b/>
          <w:sz w:val="28"/>
          <w:szCs w:val="28"/>
        </w:rPr>
      </w:pPr>
    </w:p>
    <w:p w14:paraId="5E9A30F6" w14:textId="0920BEF9" w:rsidR="00142C80" w:rsidRDefault="00142C80" w:rsidP="005D3032">
      <w:pPr>
        <w:rPr>
          <w:b/>
          <w:sz w:val="28"/>
          <w:szCs w:val="28"/>
        </w:rPr>
      </w:pPr>
    </w:p>
    <w:p w14:paraId="5E9A30F7"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7D318C">
        <w:rPr>
          <w:color w:val="000000"/>
          <w:sz w:val="36"/>
          <w:szCs w:val="36"/>
        </w:rPr>
        <w:t>5032.3:  TRANSPORTING GASES IN BUILDING ELEVATORS</w:t>
      </w:r>
    </w:p>
    <w:p w14:paraId="5E9A30FA" w14:textId="37014BAB" w:rsidR="00142C80" w:rsidRDefault="00142C80" w:rsidP="005D3032">
      <w:pPr>
        <w:rPr>
          <w:b/>
          <w:sz w:val="28"/>
          <w:szCs w:val="28"/>
        </w:rPr>
      </w:pPr>
    </w:p>
    <w:p w14:paraId="5E9A30FB" w14:textId="77777777" w:rsidR="00142C80" w:rsidRDefault="00142C80" w:rsidP="00142C80">
      <w:pPr>
        <w:jc w:val="center"/>
        <w:rPr>
          <w:b/>
          <w:sz w:val="28"/>
          <w:szCs w:val="28"/>
        </w:rPr>
      </w:pPr>
    </w:p>
    <w:p w14:paraId="5E9A30FC" w14:textId="77777777" w:rsidR="00DB5D5A" w:rsidRPr="008B60C4" w:rsidRDefault="00743FAE" w:rsidP="00DB5D5A">
      <w:pPr>
        <w:ind w:right="-140"/>
        <w:jc w:val="center"/>
        <w:rPr>
          <w:b/>
          <w:color w:val="000000"/>
        </w:rPr>
      </w:pPr>
      <w:r>
        <w:rPr>
          <w:b/>
          <w:color w:val="000000"/>
        </w:rPr>
        <w:t>Revision History</w:t>
      </w:r>
    </w:p>
    <w:p w14:paraId="5E9A30FD" w14:textId="77777777" w:rsidR="00DB5D5A" w:rsidRPr="008B60C4" w:rsidRDefault="00DB5D5A" w:rsidP="00DB5D5A">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6120"/>
        <w:gridCol w:w="1800"/>
      </w:tblGrid>
      <w:tr w:rsidR="00743FAE" w:rsidRPr="00E331D3" w14:paraId="5E9A3101" w14:textId="77777777" w:rsidTr="00EC6633">
        <w:tc>
          <w:tcPr>
            <w:tcW w:w="1908" w:type="dxa"/>
          </w:tcPr>
          <w:p w14:paraId="5E9A30FE" w14:textId="77777777" w:rsidR="00743FAE" w:rsidRPr="00D115E0" w:rsidRDefault="00743FAE" w:rsidP="00F52ACA">
            <w:pPr>
              <w:tabs>
                <w:tab w:val="left" w:pos="720"/>
              </w:tabs>
              <w:jc w:val="center"/>
              <w:rPr>
                <w:b/>
              </w:rPr>
            </w:pPr>
            <w:r w:rsidRPr="00D115E0">
              <w:rPr>
                <w:b/>
              </w:rPr>
              <w:t>Author</w:t>
            </w:r>
          </w:p>
        </w:tc>
        <w:tc>
          <w:tcPr>
            <w:tcW w:w="6120" w:type="dxa"/>
          </w:tcPr>
          <w:p w14:paraId="5E9A30FF" w14:textId="77777777" w:rsidR="00743FAE" w:rsidRPr="00D115E0" w:rsidRDefault="00743FAE" w:rsidP="00F52ACA">
            <w:pPr>
              <w:tabs>
                <w:tab w:val="left" w:pos="720"/>
              </w:tabs>
              <w:jc w:val="center"/>
              <w:rPr>
                <w:b/>
              </w:rPr>
            </w:pPr>
            <w:r w:rsidRPr="00D115E0">
              <w:rPr>
                <w:b/>
              </w:rPr>
              <w:t>Description of Change</w:t>
            </w:r>
          </w:p>
        </w:tc>
        <w:tc>
          <w:tcPr>
            <w:tcW w:w="1800" w:type="dxa"/>
          </w:tcPr>
          <w:p w14:paraId="5E9A3100" w14:textId="76D94A55" w:rsidR="00743FAE" w:rsidRPr="00D115E0" w:rsidRDefault="00AB48EE" w:rsidP="00F52ACA">
            <w:pPr>
              <w:tabs>
                <w:tab w:val="left" w:pos="720"/>
              </w:tabs>
              <w:jc w:val="center"/>
              <w:rPr>
                <w:b/>
              </w:rPr>
            </w:pPr>
            <w:r>
              <w:rPr>
                <w:b/>
              </w:rPr>
              <w:t>Revision</w:t>
            </w:r>
            <w:r w:rsidR="00743FAE" w:rsidRPr="00D115E0">
              <w:rPr>
                <w:b/>
              </w:rPr>
              <w:t xml:space="preserve"> Date</w:t>
            </w:r>
          </w:p>
        </w:tc>
      </w:tr>
      <w:tr w:rsidR="00471413" w:rsidRPr="00E331D3" w14:paraId="512AE68A" w14:textId="77777777" w:rsidTr="00EC6633">
        <w:tc>
          <w:tcPr>
            <w:tcW w:w="1908" w:type="dxa"/>
          </w:tcPr>
          <w:p w14:paraId="02D2301E" w14:textId="306C88E5" w:rsidR="00471413" w:rsidRDefault="00471413" w:rsidP="00D115E0">
            <w:pPr>
              <w:tabs>
                <w:tab w:val="left" w:pos="720"/>
              </w:tabs>
              <w:jc w:val="left"/>
              <w:rPr>
                <w:szCs w:val="22"/>
              </w:rPr>
            </w:pPr>
            <w:r>
              <w:rPr>
                <w:szCs w:val="22"/>
              </w:rPr>
              <w:t>William Soyars</w:t>
            </w:r>
          </w:p>
        </w:tc>
        <w:tc>
          <w:tcPr>
            <w:tcW w:w="6120" w:type="dxa"/>
            <w:vAlign w:val="bottom"/>
          </w:tcPr>
          <w:p w14:paraId="548C926A" w14:textId="59E36C60" w:rsidR="00471413" w:rsidRDefault="0061643A" w:rsidP="00EC6633">
            <w:pPr>
              <w:tabs>
                <w:tab w:val="left" w:pos="720"/>
              </w:tabs>
              <w:spacing w:after="60"/>
              <w:rPr>
                <w:szCs w:val="22"/>
              </w:rPr>
            </w:pPr>
            <w:r>
              <w:rPr>
                <w:szCs w:val="22"/>
              </w:rPr>
              <w:t>In</w:t>
            </w:r>
            <w:r w:rsidR="00471413">
              <w:rPr>
                <w:szCs w:val="22"/>
              </w:rPr>
              <w:t xml:space="preserve"> </w:t>
            </w:r>
            <w:r>
              <w:rPr>
                <w:szCs w:val="22"/>
              </w:rPr>
              <w:t>1.0</w:t>
            </w:r>
            <w:r w:rsidR="00471413">
              <w:rPr>
                <w:szCs w:val="22"/>
              </w:rPr>
              <w:t xml:space="preserve"> </w:t>
            </w:r>
            <w:r w:rsidR="00784D80">
              <w:rPr>
                <w:szCs w:val="22"/>
              </w:rPr>
              <w:t>specify</w:t>
            </w:r>
            <w:r>
              <w:rPr>
                <w:szCs w:val="22"/>
              </w:rPr>
              <w:t xml:space="preserve"> that this procedure is applicable only at Fermilab site.</w:t>
            </w:r>
          </w:p>
        </w:tc>
        <w:tc>
          <w:tcPr>
            <w:tcW w:w="1800" w:type="dxa"/>
          </w:tcPr>
          <w:p w14:paraId="2FD9CA19" w14:textId="0B622FCF" w:rsidR="00471413" w:rsidRDefault="00EC6633" w:rsidP="00A97E1A">
            <w:pPr>
              <w:tabs>
                <w:tab w:val="left" w:pos="720"/>
              </w:tabs>
              <w:jc w:val="left"/>
              <w:rPr>
                <w:szCs w:val="22"/>
              </w:rPr>
            </w:pPr>
            <w:r>
              <w:rPr>
                <w:szCs w:val="22"/>
              </w:rPr>
              <w:t>January</w:t>
            </w:r>
            <w:r w:rsidR="001531F9">
              <w:rPr>
                <w:szCs w:val="22"/>
              </w:rPr>
              <w:t xml:space="preserve"> 201</w:t>
            </w:r>
            <w:r>
              <w:rPr>
                <w:szCs w:val="22"/>
              </w:rPr>
              <w:t>8</w:t>
            </w:r>
          </w:p>
        </w:tc>
      </w:tr>
      <w:tr w:rsidR="00743FAE" w:rsidRPr="00E331D3" w14:paraId="5E9A3109" w14:textId="77777777" w:rsidTr="00EC6633">
        <w:tc>
          <w:tcPr>
            <w:tcW w:w="1908" w:type="dxa"/>
          </w:tcPr>
          <w:p w14:paraId="5E9A3102" w14:textId="41A55410" w:rsidR="00743FAE" w:rsidRPr="00E331D3" w:rsidRDefault="00A97E1A" w:rsidP="00D115E0">
            <w:pPr>
              <w:tabs>
                <w:tab w:val="left" w:pos="720"/>
              </w:tabs>
              <w:jc w:val="left"/>
            </w:pPr>
            <w:r>
              <w:rPr>
                <w:szCs w:val="22"/>
              </w:rPr>
              <w:t>Michael Geynisman</w:t>
            </w:r>
          </w:p>
        </w:tc>
        <w:tc>
          <w:tcPr>
            <w:tcW w:w="6120" w:type="dxa"/>
            <w:vAlign w:val="bottom"/>
          </w:tcPr>
          <w:p w14:paraId="5E9A3104" w14:textId="46700213" w:rsidR="00076AE8" w:rsidRDefault="007D318C" w:rsidP="007D318C">
            <w:pPr>
              <w:tabs>
                <w:tab w:val="left" w:pos="720"/>
              </w:tabs>
              <w:rPr>
                <w:szCs w:val="22"/>
              </w:rPr>
            </w:pPr>
            <w:r>
              <w:rPr>
                <w:szCs w:val="22"/>
              </w:rPr>
              <w:t>Incorporated comments from experts and includes minor editorial changes</w:t>
            </w:r>
            <w:r w:rsidR="00743FAE" w:rsidRPr="00E331D3">
              <w:rPr>
                <w:szCs w:val="22"/>
              </w:rPr>
              <w:t>.</w:t>
            </w:r>
          </w:p>
          <w:p w14:paraId="0AB2A42B" w14:textId="77777777" w:rsidR="00A97E1A" w:rsidRPr="00A97E1A" w:rsidRDefault="00A97E1A" w:rsidP="00EC6633">
            <w:pPr>
              <w:pStyle w:val="ListParagraph"/>
              <w:numPr>
                <w:ilvl w:val="0"/>
                <w:numId w:val="61"/>
              </w:numPr>
              <w:ind w:left="526"/>
              <w:rPr>
                <w:rFonts w:ascii="Times" w:hAnsi="Times"/>
              </w:rPr>
            </w:pPr>
            <w:r w:rsidRPr="00A97E1A">
              <w:rPr>
                <w:rFonts w:ascii="Times" w:hAnsi="Times"/>
              </w:rPr>
              <w:t>Remove “fully empty” condition from definition</w:t>
            </w:r>
          </w:p>
          <w:p w14:paraId="0250AD7D" w14:textId="77777777" w:rsidR="00A97E1A" w:rsidRDefault="00A97E1A" w:rsidP="00EC6633">
            <w:pPr>
              <w:pStyle w:val="ListParagraph"/>
              <w:numPr>
                <w:ilvl w:val="0"/>
                <w:numId w:val="61"/>
              </w:numPr>
              <w:ind w:left="526"/>
              <w:rPr>
                <w:rFonts w:ascii="Times" w:hAnsi="Times"/>
              </w:rPr>
            </w:pPr>
            <w:r w:rsidRPr="00A97E1A">
              <w:rPr>
                <w:rFonts w:ascii="Times" w:hAnsi="Times"/>
              </w:rPr>
              <w:t>Include “all dewars” in scope</w:t>
            </w:r>
          </w:p>
          <w:p w14:paraId="0CF53CDA" w14:textId="372C3862" w:rsidR="00D26777" w:rsidRPr="00A97E1A" w:rsidRDefault="00D26777" w:rsidP="00EC6633">
            <w:pPr>
              <w:pStyle w:val="ListParagraph"/>
              <w:numPr>
                <w:ilvl w:val="0"/>
                <w:numId w:val="61"/>
              </w:numPr>
              <w:ind w:left="526"/>
              <w:rPr>
                <w:rFonts w:ascii="Times" w:hAnsi="Times"/>
              </w:rPr>
            </w:pPr>
            <w:r>
              <w:rPr>
                <w:rFonts w:ascii="Times" w:hAnsi="Times"/>
              </w:rPr>
              <w:t>Remove list of dewar types</w:t>
            </w:r>
          </w:p>
          <w:p w14:paraId="6C1C39CC" w14:textId="77777777" w:rsidR="00A97E1A" w:rsidRPr="00A97E1A" w:rsidRDefault="00A97E1A" w:rsidP="00EC6633">
            <w:pPr>
              <w:pStyle w:val="ListParagraph"/>
              <w:numPr>
                <w:ilvl w:val="0"/>
                <w:numId w:val="61"/>
              </w:numPr>
              <w:ind w:left="526"/>
              <w:rPr>
                <w:rFonts w:ascii="Times" w:hAnsi="Times"/>
              </w:rPr>
            </w:pPr>
            <w:r w:rsidRPr="00A97E1A">
              <w:rPr>
                <w:rFonts w:ascii="Times" w:hAnsi="Times"/>
              </w:rPr>
              <w:t>Added “personnel not permitted to ride in elevator with dewars”</w:t>
            </w:r>
          </w:p>
          <w:p w14:paraId="11E23975" w14:textId="3150BC6C" w:rsidR="00A97E1A" w:rsidRPr="00A97E1A" w:rsidRDefault="00A97E1A" w:rsidP="00EC6633">
            <w:pPr>
              <w:pStyle w:val="ListParagraph"/>
              <w:numPr>
                <w:ilvl w:val="0"/>
                <w:numId w:val="61"/>
              </w:numPr>
              <w:ind w:left="526"/>
              <w:rPr>
                <w:rFonts w:ascii="Times" w:hAnsi="Times"/>
              </w:rPr>
            </w:pPr>
            <w:r w:rsidRPr="00A97E1A">
              <w:rPr>
                <w:rFonts w:ascii="Times" w:hAnsi="Times"/>
              </w:rPr>
              <w:t xml:space="preserve">Restricted number of dewars </w:t>
            </w:r>
            <w:r w:rsidR="00874477">
              <w:rPr>
                <w:rFonts w:ascii="Times" w:hAnsi="Times"/>
              </w:rPr>
              <w:t xml:space="preserve">in elevator </w:t>
            </w:r>
            <w:r w:rsidRPr="00A97E1A">
              <w:rPr>
                <w:rFonts w:ascii="Times" w:hAnsi="Times"/>
              </w:rPr>
              <w:t>to two</w:t>
            </w:r>
            <w:r w:rsidR="00874477">
              <w:rPr>
                <w:rFonts w:ascii="Times" w:hAnsi="Times"/>
              </w:rPr>
              <w:t xml:space="preserve"> at a time</w:t>
            </w:r>
          </w:p>
          <w:p w14:paraId="2EC2E897" w14:textId="341A1F66" w:rsidR="00A97E1A" w:rsidRPr="00A97E1A" w:rsidRDefault="00A97E1A" w:rsidP="00EC6633">
            <w:pPr>
              <w:pStyle w:val="ListParagraph"/>
              <w:numPr>
                <w:ilvl w:val="0"/>
                <w:numId w:val="61"/>
              </w:numPr>
              <w:ind w:left="526"/>
              <w:rPr>
                <w:rFonts w:ascii="Times" w:hAnsi="Times"/>
              </w:rPr>
            </w:pPr>
            <w:r w:rsidRPr="00A97E1A">
              <w:rPr>
                <w:rFonts w:ascii="Times" w:hAnsi="Times"/>
              </w:rPr>
              <w:t>Included requirements for properl</w:t>
            </w:r>
            <w:r w:rsidR="00874477">
              <w:rPr>
                <w:rFonts w:ascii="Times" w:hAnsi="Times"/>
              </w:rPr>
              <w:t>y parking the cart where dewar</w:t>
            </w:r>
            <w:r w:rsidRPr="00A97E1A">
              <w:rPr>
                <w:rFonts w:ascii="Times" w:hAnsi="Times"/>
              </w:rPr>
              <w:t xml:space="preserve"> is seated</w:t>
            </w:r>
          </w:p>
          <w:p w14:paraId="5E9A3107" w14:textId="0661AD58" w:rsidR="00076AE8" w:rsidRPr="00E331D3" w:rsidRDefault="00A97E1A" w:rsidP="00EC6633">
            <w:pPr>
              <w:numPr>
                <w:ilvl w:val="0"/>
                <w:numId w:val="61"/>
              </w:numPr>
              <w:tabs>
                <w:tab w:val="left" w:pos="720"/>
              </w:tabs>
              <w:spacing w:after="60"/>
              <w:ind w:left="526"/>
            </w:pPr>
            <w:r w:rsidRPr="00A97E1A">
              <w:rPr>
                <w:rFonts w:ascii="Times" w:hAnsi="Times"/>
              </w:rPr>
              <w:t>Added a statement related to no stopping at intermediate floors</w:t>
            </w:r>
          </w:p>
        </w:tc>
        <w:tc>
          <w:tcPr>
            <w:tcW w:w="1800" w:type="dxa"/>
          </w:tcPr>
          <w:p w14:paraId="5E9A3108" w14:textId="401BFC88" w:rsidR="00743FAE" w:rsidRPr="00E331D3" w:rsidRDefault="00A97E1A" w:rsidP="00A97E1A">
            <w:pPr>
              <w:tabs>
                <w:tab w:val="left" w:pos="720"/>
              </w:tabs>
              <w:jc w:val="left"/>
            </w:pPr>
            <w:r>
              <w:rPr>
                <w:szCs w:val="22"/>
              </w:rPr>
              <w:t>December 2013</w:t>
            </w:r>
          </w:p>
        </w:tc>
      </w:tr>
      <w:tr w:rsidR="00A97E1A" w:rsidRPr="00E331D3" w14:paraId="4CBF9704" w14:textId="77777777" w:rsidTr="00EC6633">
        <w:tc>
          <w:tcPr>
            <w:tcW w:w="1908" w:type="dxa"/>
          </w:tcPr>
          <w:p w14:paraId="4BC43F00" w14:textId="62C1EF95" w:rsidR="00A97E1A" w:rsidRPr="00E331D3" w:rsidRDefault="00A97E1A" w:rsidP="00F52ACA">
            <w:pPr>
              <w:tabs>
                <w:tab w:val="left" w:pos="720"/>
              </w:tabs>
              <w:jc w:val="left"/>
            </w:pPr>
            <w:r w:rsidRPr="00A97E1A">
              <w:rPr>
                <w:szCs w:val="22"/>
              </w:rPr>
              <w:t>Akadiy Klebaner</w:t>
            </w:r>
          </w:p>
        </w:tc>
        <w:tc>
          <w:tcPr>
            <w:tcW w:w="6120" w:type="dxa"/>
            <w:vAlign w:val="bottom"/>
          </w:tcPr>
          <w:p w14:paraId="7581766F" w14:textId="5086FD45" w:rsidR="00A97E1A" w:rsidRDefault="00A97E1A" w:rsidP="00A97E1A">
            <w:pPr>
              <w:tabs>
                <w:tab w:val="left" w:pos="720"/>
              </w:tabs>
              <w:rPr>
                <w:szCs w:val="22"/>
              </w:rPr>
            </w:pPr>
            <w:r>
              <w:rPr>
                <w:szCs w:val="22"/>
              </w:rPr>
              <w:t>Incorporated comments from experts and includes minor editorial changes</w:t>
            </w:r>
            <w:r w:rsidRPr="00E331D3">
              <w:rPr>
                <w:szCs w:val="22"/>
              </w:rPr>
              <w:t>.</w:t>
            </w:r>
          </w:p>
          <w:p w14:paraId="7E5F58D4" w14:textId="65777ED4" w:rsidR="00A97E1A" w:rsidRDefault="00A97E1A" w:rsidP="00EC6633">
            <w:pPr>
              <w:autoSpaceDE w:val="0"/>
              <w:autoSpaceDN w:val="0"/>
              <w:adjustRightInd w:val="0"/>
              <w:ind w:left="526" w:hanging="432"/>
              <w:jc w:val="left"/>
              <w:rPr>
                <w:rFonts w:ascii="Times" w:hAnsi="Times"/>
              </w:rPr>
            </w:pPr>
            <w:r>
              <w:rPr>
                <w:rFonts w:ascii="Times" w:hAnsi="Times"/>
              </w:rPr>
              <w:t xml:space="preserve">1. </w:t>
            </w:r>
            <w:r w:rsidR="00EC6633">
              <w:rPr>
                <w:rFonts w:ascii="Times" w:hAnsi="Times"/>
              </w:rPr>
              <w:t xml:space="preserve">Changed Division/Section to </w:t>
            </w:r>
            <w:r w:rsidRPr="00A97E1A">
              <w:rPr>
                <w:rFonts w:ascii="Times" w:hAnsi="Times"/>
              </w:rPr>
              <w:t>Division/Section/Center</w:t>
            </w:r>
          </w:p>
          <w:p w14:paraId="36A6B5AF" w14:textId="18001785" w:rsidR="00A97E1A" w:rsidRPr="00EC6633" w:rsidRDefault="00A97E1A" w:rsidP="00EC6633">
            <w:pPr>
              <w:autoSpaceDE w:val="0"/>
              <w:autoSpaceDN w:val="0"/>
              <w:adjustRightInd w:val="0"/>
              <w:ind w:left="526" w:hanging="432"/>
              <w:jc w:val="left"/>
              <w:rPr>
                <w:rFonts w:ascii="Times" w:hAnsi="Times"/>
              </w:rPr>
            </w:pPr>
            <w:r>
              <w:rPr>
                <w:rFonts w:ascii="Times" w:hAnsi="Times"/>
              </w:rPr>
              <w:t>2. C</w:t>
            </w:r>
            <w:r w:rsidRPr="00A97E1A">
              <w:rPr>
                <w:rFonts w:ascii="Times" w:hAnsi="Times"/>
              </w:rPr>
              <w:t>hanged Laboratory Safety Committee to FESHCom</w:t>
            </w:r>
          </w:p>
        </w:tc>
        <w:tc>
          <w:tcPr>
            <w:tcW w:w="1800" w:type="dxa"/>
          </w:tcPr>
          <w:p w14:paraId="3494D517" w14:textId="372AC096" w:rsidR="00A97E1A" w:rsidRPr="00E331D3" w:rsidRDefault="00A97E1A" w:rsidP="00A97E1A">
            <w:pPr>
              <w:tabs>
                <w:tab w:val="left" w:pos="720"/>
              </w:tabs>
              <w:jc w:val="left"/>
            </w:pPr>
            <w:r>
              <w:rPr>
                <w:szCs w:val="22"/>
              </w:rPr>
              <w:t>February 2011</w:t>
            </w:r>
          </w:p>
        </w:tc>
      </w:tr>
    </w:tbl>
    <w:p w14:paraId="5E9A310C" w14:textId="77777777" w:rsidR="00142C80" w:rsidRDefault="00142C80" w:rsidP="00A97E1A">
      <w:pPr>
        <w:rPr>
          <w:b/>
          <w:sz w:val="28"/>
          <w:szCs w:val="28"/>
        </w:rPr>
      </w:pPr>
    </w:p>
    <w:p w14:paraId="5E9A310D" w14:textId="77777777" w:rsidR="00142C80" w:rsidRDefault="00142C80" w:rsidP="00142C80">
      <w:pPr>
        <w:jc w:val="center"/>
        <w:rPr>
          <w:b/>
          <w:sz w:val="28"/>
          <w:szCs w:val="28"/>
        </w:rPr>
      </w:pPr>
    </w:p>
    <w:p w14:paraId="5E9A310E" w14:textId="77777777" w:rsidR="008648A9" w:rsidRDefault="008648A9" w:rsidP="00142C80">
      <w:pPr>
        <w:jc w:val="left"/>
        <w:rPr>
          <w:b/>
          <w:sz w:val="28"/>
          <w:szCs w:val="28"/>
        </w:rPr>
      </w:pPr>
    </w:p>
    <w:p w14:paraId="5E9A310F" w14:textId="77777777" w:rsidR="008648A9" w:rsidRDefault="008648A9" w:rsidP="00142C80">
      <w:pPr>
        <w:jc w:val="left"/>
        <w:rPr>
          <w:b/>
          <w:sz w:val="28"/>
          <w:szCs w:val="28"/>
        </w:rPr>
      </w:pPr>
    </w:p>
    <w:p w14:paraId="5E9A3110" w14:textId="77777777" w:rsidR="008648A9" w:rsidRDefault="008648A9" w:rsidP="008648A9">
      <w:pPr>
        <w:jc w:val="left"/>
        <w:rPr>
          <w:b/>
          <w:sz w:val="28"/>
          <w:szCs w:val="28"/>
        </w:rPr>
        <w:sectPr w:rsidR="008648A9" w:rsidSect="00142C80">
          <w:headerReference w:type="default" r:id="rId11"/>
          <w:footerReference w:type="default" r:id="rId12"/>
          <w:pgSz w:w="12240" w:h="15840" w:code="1"/>
          <w:pgMar w:top="720" w:right="1080" w:bottom="720" w:left="1440" w:header="720" w:footer="389" w:gutter="0"/>
          <w:cols w:space="720"/>
          <w:docGrid w:linePitch="360"/>
        </w:sectPr>
      </w:pPr>
    </w:p>
    <w:p w14:paraId="5E9A3111" w14:textId="77777777" w:rsidR="00A96FFC" w:rsidRPr="001A2CF3" w:rsidRDefault="00A96FFC" w:rsidP="001A2CF3">
      <w:pPr>
        <w:jc w:val="center"/>
        <w:rPr>
          <w:b/>
          <w:sz w:val="28"/>
          <w:szCs w:val="28"/>
        </w:rPr>
      </w:pPr>
      <w:r w:rsidRPr="001A2CF3">
        <w:rPr>
          <w:b/>
          <w:sz w:val="28"/>
          <w:szCs w:val="28"/>
        </w:rPr>
        <w:lastRenderedPageBreak/>
        <w:t>TABLE OF CONTENTS</w:t>
      </w:r>
    </w:p>
    <w:p w14:paraId="5E9A3112" w14:textId="77777777" w:rsidR="00A96FFC" w:rsidRDefault="00A96FFC">
      <w:pPr>
        <w:rPr>
          <w:bCs/>
        </w:rPr>
      </w:pPr>
    </w:p>
    <w:p w14:paraId="0513E3DD" w14:textId="32905D08" w:rsidR="00AC007D" w:rsidRDefault="007739E4">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3532335" w:history="1">
        <w:r w:rsidR="00AC007D" w:rsidRPr="00131ABE">
          <w:rPr>
            <w:rStyle w:val="Hyperlink"/>
            <w:rFonts w:ascii="Times New Roman Bold" w:hAnsi="Times New Roman Bold"/>
            <w:noProof/>
          </w:rPr>
          <w:t>1.0</w:t>
        </w:r>
        <w:r w:rsidR="00AC007D">
          <w:rPr>
            <w:rFonts w:asciiTheme="minorHAnsi" w:eastAsiaTheme="minorEastAsia" w:hAnsiTheme="minorHAnsi" w:cstheme="minorBidi"/>
            <w:noProof/>
            <w:sz w:val="22"/>
            <w:szCs w:val="22"/>
          </w:rPr>
          <w:tab/>
        </w:r>
        <w:r w:rsidR="00AC007D" w:rsidRPr="00131ABE">
          <w:rPr>
            <w:rStyle w:val="Hyperlink"/>
            <w:noProof/>
          </w:rPr>
          <w:t>INTRODUCTION</w:t>
        </w:r>
        <w:r w:rsidR="00AC007D">
          <w:rPr>
            <w:noProof/>
            <w:webHidden/>
          </w:rPr>
          <w:tab/>
        </w:r>
        <w:r w:rsidR="00AC007D">
          <w:rPr>
            <w:noProof/>
            <w:webHidden/>
          </w:rPr>
          <w:fldChar w:fldCharType="begin"/>
        </w:r>
        <w:r w:rsidR="00AC007D">
          <w:rPr>
            <w:noProof/>
            <w:webHidden/>
          </w:rPr>
          <w:instrText xml:space="preserve"> PAGEREF _Toc503532335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67194649" w14:textId="5086411A" w:rsidR="00AC007D" w:rsidRDefault="0046413C">
      <w:pPr>
        <w:pStyle w:val="TOC1"/>
        <w:rPr>
          <w:rFonts w:asciiTheme="minorHAnsi" w:eastAsiaTheme="minorEastAsia" w:hAnsiTheme="minorHAnsi" w:cstheme="minorBidi"/>
          <w:noProof/>
          <w:sz w:val="22"/>
          <w:szCs w:val="22"/>
        </w:rPr>
      </w:pPr>
      <w:hyperlink w:anchor="_Toc503532336" w:history="1">
        <w:r w:rsidR="00AC007D" w:rsidRPr="00131ABE">
          <w:rPr>
            <w:rStyle w:val="Hyperlink"/>
            <w:rFonts w:ascii="Times New Roman Bold" w:hAnsi="Times New Roman Bold"/>
            <w:noProof/>
          </w:rPr>
          <w:t>2.0</w:t>
        </w:r>
        <w:r w:rsidR="00AC007D">
          <w:rPr>
            <w:rFonts w:asciiTheme="minorHAnsi" w:eastAsiaTheme="minorEastAsia" w:hAnsiTheme="minorHAnsi" w:cstheme="minorBidi"/>
            <w:noProof/>
            <w:sz w:val="22"/>
            <w:szCs w:val="22"/>
          </w:rPr>
          <w:tab/>
        </w:r>
        <w:r w:rsidR="00AC007D" w:rsidRPr="00131ABE">
          <w:rPr>
            <w:rStyle w:val="Hyperlink"/>
            <w:noProof/>
          </w:rPr>
          <w:t>DEFINITIONS</w:t>
        </w:r>
        <w:r w:rsidR="00AC007D">
          <w:rPr>
            <w:noProof/>
            <w:webHidden/>
          </w:rPr>
          <w:tab/>
        </w:r>
        <w:r w:rsidR="00AC007D">
          <w:rPr>
            <w:noProof/>
            <w:webHidden/>
          </w:rPr>
          <w:fldChar w:fldCharType="begin"/>
        </w:r>
        <w:r w:rsidR="00AC007D">
          <w:rPr>
            <w:noProof/>
            <w:webHidden/>
          </w:rPr>
          <w:instrText xml:space="preserve"> PAGEREF _Toc503532336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4FAA56C7" w14:textId="68A0E97A" w:rsidR="00AC007D" w:rsidRDefault="0046413C">
      <w:pPr>
        <w:pStyle w:val="TOC1"/>
        <w:rPr>
          <w:rFonts w:asciiTheme="minorHAnsi" w:eastAsiaTheme="minorEastAsia" w:hAnsiTheme="minorHAnsi" w:cstheme="minorBidi"/>
          <w:noProof/>
          <w:sz w:val="22"/>
          <w:szCs w:val="22"/>
        </w:rPr>
      </w:pPr>
      <w:hyperlink w:anchor="_Toc503532337" w:history="1">
        <w:r w:rsidR="00AC007D" w:rsidRPr="00131ABE">
          <w:rPr>
            <w:rStyle w:val="Hyperlink"/>
            <w:rFonts w:ascii="Times New Roman Bold" w:hAnsi="Times New Roman Bold"/>
            <w:noProof/>
          </w:rPr>
          <w:t>3.0</w:t>
        </w:r>
        <w:r w:rsidR="00AC007D">
          <w:rPr>
            <w:rFonts w:asciiTheme="minorHAnsi" w:eastAsiaTheme="minorEastAsia" w:hAnsiTheme="minorHAnsi" w:cstheme="minorBidi"/>
            <w:noProof/>
            <w:sz w:val="22"/>
            <w:szCs w:val="22"/>
          </w:rPr>
          <w:tab/>
        </w:r>
        <w:r w:rsidR="00AC007D" w:rsidRPr="00131ABE">
          <w:rPr>
            <w:rStyle w:val="Hyperlink"/>
            <w:noProof/>
          </w:rPr>
          <w:t>RESPONSIBLILITIES</w:t>
        </w:r>
        <w:r w:rsidR="00AC007D">
          <w:rPr>
            <w:noProof/>
            <w:webHidden/>
          </w:rPr>
          <w:tab/>
        </w:r>
        <w:r w:rsidR="00AC007D">
          <w:rPr>
            <w:noProof/>
            <w:webHidden/>
          </w:rPr>
          <w:fldChar w:fldCharType="begin"/>
        </w:r>
        <w:r w:rsidR="00AC007D">
          <w:rPr>
            <w:noProof/>
            <w:webHidden/>
          </w:rPr>
          <w:instrText xml:space="preserve"> PAGEREF _Toc503532337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54CFFE96" w14:textId="4C97576E" w:rsidR="00AC007D" w:rsidRDefault="0046413C">
      <w:pPr>
        <w:pStyle w:val="TOC2"/>
        <w:rPr>
          <w:rFonts w:asciiTheme="minorHAnsi" w:eastAsiaTheme="minorEastAsia" w:hAnsiTheme="minorHAnsi" w:cstheme="minorBidi"/>
          <w:noProof/>
          <w:sz w:val="22"/>
          <w:szCs w:val="22"/>
        </w:rPr>
      </w:pPr>
      <w:hyperlink w:anchor="_Toc503532338" w:history="1">
        <w:r w:rsidR="00AC007D" w:rsidRPr="00131ABE">
          <w:rPr>
            <w:rStyle w:val="Hyperlink"/>
            <w:rFonts w:ascii="Times New Roman Bold" w:hAnsi="Times New Roman Bold"/>
            <w:noProof/>
          </w:rPr>
          <w:t>3.1</w:t>
        </w:r>
        <w:r w:rsidR="00AC007D">
          <w:rPr>
            <w:rFonts w:asciiTheme="minorHAnsi" w:eastAsiaTheme="minorEastAsia" w:hAnsiTheme="minorHAnsi" w:cstheme="minorBidi"/>
            <w:noProof/>
            <w:sz w:val="22"/>
            <w:szCs w:val="22"/>
          </w:rPr>
          <w:tab/>
        </w:r>
        <w:r w:rsidR="00AC007D" w:rsidRPr="00131ABE">
          <w:rPr>
            <w:rStyle w:val="Hyperlink"/>
            <w:noProof/>
          </w:rPr>
          <w:t>The Division/Section/Project Head (D/S/P)</w:t>
        </w:r>
        <w:r w:rsidR="00AC007D">
          <w:rPr>
            <w:noProof/>
            <w:webHidden/>
          </w:rPr>
          <w:tab/>
        </w:r>
        <w:r w:rsidR="00AC007D">
          <w:rPr>
            <w:noProof/>
            <w:webHidden/>
          </w:rPr>
          <w:fldChar w:fldCharType="begin"/>
        </w:r>
        <w:r w:rsidR="00AC007D">
          <w:rPr>
            <w:noProof/>
            <w:webHidden/>
          </w:rPr>
          <w:instrText xml:space="preserve"> PAGEREF _Toc503532338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4A66A8B8" w14:textId="1F183C98" w:rsidR="00AC007D" w:rsidRDefault="0046413C">
      <w:pPr>
        <w:pStyle w:val="TOC2"/>
        <w:rPr>
          <w:rFonts w:asciiTheme="minorHAnsi" w:eastAsiaTheme="minorEastAsia" w:hAnsiTheme="minorHAnsi" w:cstheme="minorBidi"/>
          <w:noProof/>
          <w:sz w:val="22"/>
          <w:szCs w:val="22"/>
        </w:rPr>
      </w:pPr>
      <w:hyperlink w:anchor="_Toc503532339" w:history="1">
        <w:r w:rsidR="00AC007D" w:rsidRPr="00131ABE">
          <w:rPr>
            <w:rStyle w:val="Hyperlink"/>
            <w:rFonts w:ascii="Times New Roman Bold" w:hAnsi="Times New Roman Bold"/>
            <w:noProof/>
          </w:rPr>
          <w:t>3.2</w:t>
        </w:r>
        <w:r w:rsidR="00AC007D">
          <w:rPr>
            <w:rFonts w:asciiTheme="minorHAnsi" w:eastAsiaTheme="minorEastAsia" w:hAnsiTheme="minorHAnsi" w:cstheme="minorBidi"/>
            <w:noProof/>
            <w:sz w:val="22"/>
            <w:szCs w:val="22"/>
          </w:rPr>
          <w:tab/>
        </w:r>
        <w:r w:rsidR="00AC007D" w:rsidRPr="00131ABE">
          <w:rPr>
            <w:rStyle w:val="Hyperlink"/>
            <w:noProof/>
          </w:rPr>
          <w:t>The Cryogenic Safety Subcommittee (CSS)</w:t>
        </w:r>
        <w:r w:rsidR="00AC007D">
          <w:rPr>
            <w:noProof/>
            <w:webHidden/>
          </w:rPr>
          <w:tab/>
        </w:r>
        <w:r w:rsidR="00AC007D">
          <w:rPr>
            <w:noProof/>
            <w:webHidden/>
          </w:rPr>
          <w:fldChar w:fldCharType="begin"/>
        </w:r>
        <w:r w:rsidR="00AC007D">
          <w:rPr>
            <w:noProof/>
            <w:webHidden/>
          </w:rPr>
          <w:instrText xml:space="preserve"> PAGEREF _Toc503532339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5F6367B8" w14:textId="65332869" w:rsidR="00AC007D" w:rsidRDefault="0046413C">
      <w:pPr>
        <w:pStyle w:val="TOC2"/>
        <w:rPr>
          <w:rFonts w:asciiTheme="minorHAnsi" w:eastAsiaTheme="minorEastAsia" w:hAnsiTheme="minorHAnsi" w:cstheme="minorBidi"/>
          <w:noProof/>
          <w:sz w:val="22"/>
          <w:szCs w:val="22"/>
        </w:rPr>
      </w:pPr>
      <w:hyperlink w:anchor="_Toc503532340" w:history="1">
        <w:r w:rsidR="00AC007D" w:rsidRPr="00131ABE">
          <w:rPr>
            <w:rStyle w:val="Hyperlink"/>
            <w:rFonts w:ascii="Times New Roman Bold" w:hAnsi="Times New Roman Bold"/>
            <w:noProof/>
          </w:rPr>
          <w:t>3.3</w:t>
        </w:r>
        <w:r w:rsidR="00AC007D">
          <w:rPr>
            <w:rFonts w:asciiTheme="minorHAnsi" w:eastAsiaTheme="minorEastAsia" w:hAnsiTheme="minorHAnsi" w:cstheme="minorBidi"/>
            <w:noProof/>
            <w:sz w:val="22"/>
            <w:szCs w:val="22"/>
          </w:rPr>
          <w:tab/>
        </w:r>
        <w:r w:rsidR="00AC007D" w:rsidRPr="00131ABE">
          <w:rPr>
            <w:rStyle w:val="Hyperlink"/>
            <w:noProof/>
          </w:rPr>
          <w:t>The Environment, Safety, Health, &amp; Quality Section (ESHQ)</w:t>
        </w:r>
        <w:r w:rsidR="00AC007D">
          <w:rPr>
            <w:noProof/>
            <w:webHidden/>
          </w:rPr>
          <w:tab/>
        </w:r>
        <w:r w:rsidR="00AC007D">
          <w:rPr>
            <w:noProof/>
            <w:webHidden/>
          </w:rPr>
          <w:fldChar w:fldCharType="begin"/>
        </w:r>
        <w:r w:rsidR="00AC007D">
          <w:rPr>
            <w:noProof/>
            <w:webHidden/>
          </w:rPr>
          <w:instrText xml:space="preserve"> PAGEREF _Toc503532340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038EE5A0" w14:textId="7C18ED1A" w:rsidR="00AC007D" w:rsidRDefault="0046413C">
      <w:pPr>
        <w:pStyle w:val="TOC1"/>
        <w:rPr>
          <w:rFonts w:asciiTheme="minorHAnsi" w:eastAsiaTheme="minorEastAsia" w:hAnsiTheme="minorHAnsi" w:cstheme="minorBidi"/>
          <w:noProof/>
          <w:sz w:val="22"/>
          <w:szCs w:val="22"/>
        </w:rPr>
      </w:pPr>
      <w:hyperlink w:anchor="_Toc503532341" w:history="1">
        <w:r w:rsidR="00AC007D" w:rsidRPr="00131ABE">
          <w:rPr>
            <w:rStyle w:val="Hyperlink"/>
            <w:rFonts w:ascii="Times New Roman Bold" w:hAnsi="Times New Roman Bold"/>
            <w:noProof/>
          </w:rPr>
          <w:t>4.0</w:t>
        </w:r>
        <w:r w:rsidR="00AC007D">
          <w:rPr>
            <w:rFonts w:asciiTheme="minorHAnsi" w:eastAsiaTheme="minorEastAsia" w:hAnsiTheme="minorHAnsi" w:cstheme="minorBidi"/>
            <w:noProof/>
            <w:sz w:val="22"/>
            <w:szCs w:val="22"/>
          </w:rPr>
          <w:tab/>
        </w:r>
        <w:r w:rsidR="00AC007D" w:rsidRPr="00131ABE">
          <w:rPr>
            <w:rStyle w:val="Hyperlink"/>
            <w:noProof/>
          </w:rPr>
          <w:t>PROCEDURE FOR CRYOGENIC DEWARS AT FERMILAB</w:t>
        </w:r>
        <w:r w:rsidR="00AC007D">
          <w:rPr>
            <w:noProof/>
            <w:webHidden/>
          </w:rPr>
          <w:tab/>
        </w:r>
        <w:r w:rsidR="00AC007D">
          <w:rPr>
            <w:noProof/>
            <w:webHidden/>
          </w:rPr>
          <w:fldChar w:fldCharType="begin"/>
        </w:r>
        <w:r w:rsidR="00AC007D">
          <w:rPr>
            <w:noProof/>
            <w:webHidden/>
          </w:rPr>
          <w:instrText xml:space="preserve"> PAGEREF _Toc503532341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1C0BCE32" w14:textId="4938547B" w:rsidR="00AC007D" w:rsidRDefault="0046413C">
      <w:pPr>
        <w:pStyle w:val="TOC2"/>
        <w:rPr>
          <w:rFonts w:asciiTheme="minorHAnsi" w:eastAsiaTheme="minorEastAsia" w:hAnsiTheme="minorHAnsi" w:cstheme="minorBidi"/>
          <w:noProof/>
          <w:sz w:val="22"/>
          <w:szCs w:val="22"/>
        </w:rPr>
      </w:pPr>
      <w:hyperlink w:anchor="_Toc503532342" w:history="1">
        <w:r w:rsidR="00AC007D" w:rsidRPr="00131ABE">
          <w:rPr>
            <w:rStyle w:val="Hyperlink"/>
            <w:rFonts w:ascii="Times New Roman Bold" w:hAnsi="Times New Roman Bold"/>
            <w:noProof/>
          </w:rPr>
          <w:t>4.1</w:t>
        </w:r>
        <w:r w:rsidR="00AC007D">
          <w:rPr>
            <w:rFonts w:asciiTheme="minorHAnsi" w:eastAsiaTheme="minorEastAsia" w:hAnsiTheme="minorHAnsi" w:cstheme="minorBidi"/>
            <w:noProof/>
            <w:sz w:val="22"/>
            <w:szCs w:val="22"/>
          </w:rPr>
          <w:tab/>
        </w:r>
        <w:r w:rsidR="00AC007D" w:rsidRPr="00131ABE">
          <w:rPr>
            <w:rStyle w:val="Hyperlink"/>
            <w:noProof/>
          </w:rPr>
          <w:t>Scope</w:t>
        </w:r>
        <w:r w:rsidR="00AC007D">
          <w:rPr>
            <w:noProof/>
            <w:webHidden/>
          </w:rPr>
          <w:tab/>
        </w:r>
        <w:r w:rsidR="00AC007D">
          <w:rPr>
            <w:noProof/>
            <w:webHidden/>
          </w:rPr>
          <w:fldChar w:fldCharType="begin"/>
        </w:r>
        <w:r w:rsidR="00AC007D">
          <w:rPr>
            <w:noProof/>
            <w:webHidden/>
          </w:rPr>
          <w:instrText xml:space="preserve"> PAGEREF _Toc503532342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0BF207F1" w14:textId="5697995E" w:rsidR="00AC007D" w:rsidRDefault="0046413C">
      <w:pPr>
        <w:pStyle w:val="TOC2"/>
        <w:rPr>
          <w:rFonts w:asciiTheme="minorHAnsi" w:eastAsiaTheme="minorEastAsia" w:hAnsiTheme="minorHAnsi" w:cstheme="minorBidi"/>
          <w:noProof/>
          <w:sz w:val="22"/>
          <w:szCs w:val="22"/>
        </w:rPr>
      </w:pPr>
      <w:hyperlink w:anchor="_Toc503532343" w:history="1">
        <w:r w:rsidR="00AC007D" w:rsidRPr="00131ABE">
          <w:rPr>
            <w:rStyle w:val="Hyperlink"/>
            <w:rFonts w:ascii="Times New Roman Bold" w:hAnsi="Times New Roman Bold"/>
            <w:noProof/>
          </w:rPr>
          <w:t>4.2</w:t>
        </w:r>
        <w:r w:rsidR="00AC007D">
          <w:rPr>
            <w:rFonts w:asciiTheme="minorHAnsi" w:eastAsiaTheme="minorEastAsia" w:hAnsiTheme="minorHAnsi" w:cstheme="minorBidi"/>
            <w:noProof/>
            <w:sz w:val="22"/>
            <w:szCs w:val="22"/>
          </w:rPr>
          <w:tab/>
        </w:r>
        <w:r w:rsidR="00AC007D" w:rsidRPr="00131ABE">
          <w:rPr>
            <w:rStyle w:val="Hyperlink"/>
            <w:noProof/>
          </w:rPr>
          <w:t>Inspection</w:t>
        </w:r>
        <w:r w:rsidR="00AC007D">
          <w:rPr>
            <w:noProof/>
            <w:webHidden/>
          </w:rPr>
          <w:tab/>
        </w:r>
        <w:r w:rsidR="00AC007D">
          <w:rPr>
            <w:noProof/>
            <w:webHidden/>
          </w:rPr>
          <w:fldChar w:fldCharType="begin"/>
        </w:r>
        <w:r w:rsidR="00AC007D">
          <w:rPr>
            <w:noProof/>
            <w:webHidden/>
          </w:rPr>
          <w:instrText xml:space="preserve"> PAGEREF _Toc503532343 \h </w:instrText>
        </w:r>
        <w:r w:rsidR="00AC007D">
          <w:rPr>
            <w:noProof/>
            <w:webHidden/>
          </w:rPr>
        </w:r>
        <w:r w:rsidR="00AC007D">
          <w:rPr>
            <w:noProof/>
            <w:webHidden/>
          </w:rPr>
          <w:fldChar w:fldCharType="separate"/>
        </w:r>
        <w:r w:rsidR="00F7035C">
          <w:rPr>
            <w:noProof/>
            <w:webHidden/>
          </w:rPr>
          <w:t>3</w:t>
        </w:r>
        <w:r w:rsidR="00AC007D">
          <w:rPr>
            <w:noProof/>
            <w:webHidden/>
          </w:rPr>
          <w:fldChar w:fldCharType="end"/>
        </w:r>
      </w:hyperlink>
    </w:p>
    <w:p w14:paraId="5F276FBB" w14:textId="098E51E5" w:rsidR="00AC007D" w:rsidRDefault="0046413C">
      <w:pPr>
        <w:pStyle w:val="TOC2"/>
        <w:rPr>
          <w:rFonts w:asciiTheme="minorHAnsi" w:eastAsiaTheme="minorEastAsia" w:hAnsiTheme="minorHAnsi" w:cstheme="minorBidi"/>
          <w:noProof/>
          <w:sz w:val="22"/>
          <w:szCs w:val="22"/>
        </w:rPr>
      </w:pPr>
      <w:hyperlink w:anchor="_Toc503532344" w:history="1">
        <w:r w:rsidR="00AC007D" w:rsidRPr="00131ABE">
          <w:rPr>
            <w:rStyle w:val="Hyperlink"/>
            <w:rFonts w:ascii="Times New Roman Bold" w:hAnsi="Times New Roman Bold"/>
            <w:noProof/>
          </w:rPr>
          <w:t>4.3</w:t>
        </w:r>
        <w:r w:rsidR="00AC007D">
          <w:rPr>
            <w:rFonts w:asciiTheme="minorHAnsi" w:eastAsiaTheme="minorEastAsia" w:hAnsiTheme="minorHAnsi" w:cstheme="minorBidi"/>
            <w:noProof/>
            <w:sz w:val="22"/>
            <w:szCs w:val="22"/>
          </w:rPr>
          <w:tab/>
        </w:r>
        <w:r w:rsidR="00AC007D" w:rsidRPr="00131ABE">
          <w:rPr>
            <w:rStyle w:val="Hyperlink"/>
            <w:noProof/>
          </w:rPr>
          <w:t>Moving the dewar</w:t>
        </w:r>
        <w:r w:rsidR="00AC007D">
          <w:rPr>
            <w:noProof/>
            <w:webHidden/>
          </w:rPr>
          <w:tab/>
        </w:r>
        <w:r w:rsidR="00AC007D">
          <w:rPr>
            <w:noProof/>
            <w:webHidden/>
          </w:rPr>
          <w:fldChar w:fldCharType="begin"/>
        </w:r>
        <w:r w:rsidR="00AC007D">
          <w:rPr>
            <w:noProof/>
            <w:webHidden/>
          </w:rPr>
          <w:instrText xml:space="preserve"> PAGEREF _Toc503532344 \h </w:instrText>
        </w:r>
        <w:r w:rsidR="00AC007D">
          <w:rPr>
            <w:noProof/>
            <w:webHidden/>
          </w:rPr>
        </w:r>
        <w:r w:rsidR="00AC007D">
          <w:rPr>
            <w:noProof/>
            <w:webHidden/>
          </w:rPr>
          <w:fldChar w:fldCharType="separate"/>
        </w:r>
        <w:r w:rsidR="00F7035C">
          <w:rPr>
            <w:noProof/>
            <w:webHidden/>
          </w:rPr>
          <w:t>4</w:t>
        </w:r>
        <w:r w:rsidR="00AC007D">
          <w:rPr>
            <w:noProof/>
            <w:webHidden/>
          </w:rPr>
          <w:fldChar w:fldCharType="end"/>
        </w:r>
      </w:hyperlink>
    </w:p>
    <w:p w14:paraId="06F64835" w14:textId="746F6CE2" w:rsidR="00AC007D" w:rsidRDefault="0046413C">
      <w:pPr>
        <w:pStyle w:val="TOC1"/>
        <w:rPr>
          <w:rFonts w:asciiTheme="minorHAnsi" w:eastAsiaTheme="minorEastAsia" w:hAnsiTheme="minorHAnsi" w:cstheme="minorBidi"/>
          <w:noProof/>
          <w:sz w:val="22"/>
          <w:szCs w:val="22"/>
        </w:rPr>
      </w:pPr>
      <w:hyperlink w:anchor="_Toc503532345" w:history="1">
        <w:r w:rsidR="00AC007D" w:rsidRPr="00131ABE">
          <w:rPr>
            <w:rStyle w:val="Hyperlink"/>
            <w:rFonts w:ascii="Times New Roman Bold" w:hAnsi="Times New Roman Bold"/>
            <w:noProof/>
          </w:rPr>
          <w:t>5.0</w:t>
        </w:r>
        <w:r w:rsidR="00AC007D">
          <w:rPr>
            <w:rFonts w:asciiTheme="minorHAnsi" w:eastAsiaTheme="minorEastAsia" w:hAnsiTheme="minorHAnsi" w:cstheme="minorBidi"/>
            <w:noProof/>
            <w:sz w:val="22"/>
            <w:szCs w:val="22"/>
          </w:rPr>
          <w:tab/>
        </w:r>
        <w:r w:rsidR="00AC007D" w:rsidRPr="00131ABE">
          <w:rPr>
            <w:rStyle w:val="Hyperlink"/>
            <w:noProof/>
          </w:rPr>
          <w:t>PROCEDURES FOR GAS CYLINDERS AT FERMILAB</w:t>
        </w:r>
        <w:r w:rsidR="00AC007D">
          <w:rPr>
            <w:noProof/>
            <w:webHidden/>
          </w:rPr>
          <w:tab/>
        </w:r>
        <w:r w:rsidR="00AC007D">
          <w:rPr>
            <w:noProof/>
            <w:webHidden/>
          </w:rPr>
          <w:fldChar w:fldCharType="begin"/>
        </w:r>
        <w:r w:rsidR="00AC007D">
          <w:rPr>
            <w:noProof/>
            <w:webHidden/>
          </w:rPr>
          <w:instrText xml:space="preserve"> PAGEREF _Toc503532345 \h </w:instrText>
        </w:r>
        <w:r w:rsidR="00AC007D">
          <w:rPr>
            <w:noProof/>
            <w:webHidden/>
          </w:rPr>
        </w:r>
        <w:r w:rsidR="00AC007D">
          <w:rPr>
            <w:noProof/>
            <w:webHidden/>
          </w:rPr>
          <w:fldChar w:fldCharType="separate"/>
        </w:r>
        <w:r w:rsidR="00F7035C">
          <w:rPr>
            <w:noProof/>
            <w:webHidden/>
          </w:rPr>
          <w:t>4</w:t>
        </w:r>
        <w:r w:rsidR="00AC007D">
          <w:rPr>
            <w:noProof/>
            <w:webHidden/>
          </w:rPr>
          <w:fldChar w:fldCharType="end"/>
        </w:r>
      </w:hyperlink>
    </w:p>
    <w:p w14:paraId="313CC29E" w14:textId="3425DFA6" w:rsidR="00AC007D" w:rsidRDefault="0046413C">
      <w:pPr>
        <w:pStyle w:val="TOC2"/>
        <w:rPr>
          <w:rFonts w:asciiTheme="minorHAnsi" w:eastAsiaTheme="minorEastAsia" w:hAnsiTheme="minorHAnsi" w:cstheme="minorBidi"/>
          <w:noProof/>
          <w:sz w:val="22"/>
          <w:szCs w:val="22"/>
        </w:rPr>
      </w:pPr>
      <w:hyperlink w:anchor="_Toc503532346" w:history="1">
        <w:r w:rsidR="00AC007D" w:rsidRPr="00131ABE">
          <w:rPr>
            <w:rStyle w:val="Hyperlink"/>
            <w:rFonts w:ascii="Times New Roman Bold" w:hAnsi="Times New Roman Bold"/>
            <w:noProof/>
          </w:rPr>
          <w:t>5.1</w:t>
        </w:r>
        <w:r w:rsidR="00AC007D">
          <w:rPr>
            <w:rFonts w:asciiTheme="minorHAnsi" w:eastAsiaTheme="minorEastAsia" w:hAnsiTheme="minorHAnsi" w:cstheme="minorBidi"/>
            <w:noProof/>
            <w:sz w:val="22"/>
            <w:szCs w:val="22"/>
          </w:rPr>
          <w:tab/>
        </w:r>
        <w:r w:rsidR="00AC007D" w:rsidRPr="00131ABE">
          <w:rPr>
            <w:rStyle w:val="Hyperlink"/>
            <w:noProof/>
          </w:rPr>
          <w:t>Scope</w:t>
        </w:r>
        <w:r w:rsidR="00AC007D">
          <w:rPr>
            <w:noProof/>
            <w:webHidden/>
          </w:rPr>
          <w:tab/>
        </w:r>
        <w:r w:rsidR="00AC007D">
          <w:rPr>
            <w:noProof/>
            <w:webHidden/>
          </w:rPr>
          <w:fldChar w:fldCharType="begin"/>
        </w:r>
        <w:r w:rsidR="00AC007D">
          <w:rPr>
            <w:noProof/>
            <w:webHidden/>
          </w:rPr>
          <w:instrText xml:space="preserve"> PAGEREF _Toc503532346 \h </w:instrText>
        </w:r>
        <w:r w:rsidR="00AC007D">
          <w:rPr>
            <w:noProof/>
            <w:webHidden/>
          </w:rPr>
        </w:r>
        <w:r w:rsidR="00AC007D">
          <w:rPr>
            <w:noProof/>
            <w:webHidden/>
          </w:rPr>
          <w:fldChar w:fldCharType="separate"/>
        </w:r>
        <w:r w:rsidR="00F7035C">
          <w:rPr>
            <w:noProof/>
            <w:webHidden/>
          </w:rPr>
          <w:t>4</w:t>
        </w:r>
        <w:r w:rsidR="00AC007D">
          <w:rPr>
            <w:noProof/>
            <w:webHidden/>
          </w:rPr>
          <w:fldChar w:fldCharType="end"/>
        </w:r>
      </w:hyperlink>
    </w:p>
    <w:p w14:paraId="0302E512" w14:textId="391A96AE" w:rsidR="00AC007D" w:rsidRDefault="0046413C">
      <w:pPr>
        <w:pStyle w:val="TOC2"/>
        <w:rPr>
          <w:rFonts w:asciiTheme="minorHAnsi" w:eastAsiaTheme="minorEastAsia" w:hAnsiTheme="minorHAnsi" w:cstheme="minorBidi"/>
          <w:noProof/>
          <w:sz w:val="22"/>
          <w:szCs w:val="22"/>
        </w:rPr>
      </w:pPr>
      <w:hyperlink w:anchor="_Toc503532347" w:history="1">
        <w:r w:rsidR="00AC007D" w:rsidRPr="00131ABE">
          <w:rPr>
            <w:rStyle w:val="Hyperlink"/>
            <w:rFonts w:ascii="Times New Roman Bold" w:hAnsi="Times New Roman Bold"/>
            <w:noProof/>
          </w:rPr>
          <w:t>5.2</w:t>
        </w:r>
        <w:r w:rsidR="00AC007D">
          <w:rPr>
            <w:rFonts w:asciiTheme="minorHAnsi" w:eastAsiaTheme="minorEastAsia" w:hAnsiTheme="minorHAnsi" w:cstheme="minorBidi"/>
            <w:noProof/>
            <w:sz w:val="22"/>
            <w:szCs w:val="22"/>
          </w:rPr>
          <w:tab/>
        </w:r>
        <w:r w:rsidR="00AC007D" w:rsidRPr="00131ABE">
          <w:rPr>
            <w:rStyle w:val="Hyperlink"/>
            <w:noProof/>
          </w:rPr>
          <w:t>Moving the cylinders</w:t>
        </w:r>
        <w:r w:rsidR="00AC007D">
          <w:rPr>
            <w:noProof/>
            <w:webHidden/>
          </w:rPr>
          <w:tab/>
        </w:r>
        <w:r w:rsidR="00AC007D">
          <w:rPr>
            <w:noProof/>
            <w:webHidden/>
          </w:rPr>
          <w:fldChar w:fldCharType="begin"/>
        </w:r>
        <w:r w:rsidR="00AC007D">
          <w:rPr>
            <w:noProof/>
            <w:webHidden/>
          </w:rPr>
          <w:instrText xml:space="preserve"> PAGEREF _Toc503532347 \h </w:instrText>
        </w:r>
        <w:r w:rsidR="00AC007D">
          <w:rPr>
            <w:noProof/>
            <w:webHidden/>
          </w:rPr>
        </w:r>
        <w:r w:rsidR="00AC007D">
          <w:rPr>
            <w:noProof/>
            <w:webHidden/>
          </w:rPr>
          <w:fldChar w:fldCharType="separate"/>
        </w:r>
        <w:r w:rsidR="00F7035C">
          <w:rPr>
            <w:noProof/>
            <w:webHidden/>
          </w:rPr>
          <w:t>4</w:t>
        </w:r>
        <w:r w:rsidR="00AC007D">
          <w:rPr>
            <w:noProof/>
            <w:webHidden/>
          </w:rPr>
          <w:fldChar w:fldCharType="end"/>
        </w:r>
      </w:hyperlink>
    </w:p>
    <w:p w14:paraId="5E9A311D" w14:textId="6A3B6EBB" w:rsidR="00A96FFC" w:rsidRDefault="007739E4" w:rsidP="003559A3">
      <w:pPr>
        <w:tabs>
          <w:tab w:val="right" w:leader="dot" w:pos="9720"/>
        </w:tabs>
        <w:jc w:val="left"/>
        <w:rPr>
          <w:bCs/>
        </w:rPr>
      </w:pPr>
      <w:r>
        <w:rPr>
          <w:bCs/>
        </w:rPr>
        <w:fldChar w:fldCharType="end"/>
      </w:r>
    </w:p>
    <w:p w14:paraId="5E9A311E" w14:textId="77777777" w:rsidR="00084E8E" w:rsidRPr="00FA370A" w:rsidRDefault="00084E8E" w:rsidP="002441F5">
      <w:pPr>
        <w:jc w:val="left"/>
        <w:rPr>
          <w:bCs/>
        </w:rPr>
      </w:pPr>
    </w:p>
    <w:p w14:paraId="5E9A311F" w14:textId="77777777" w:rsidR="00A96FFC" w:rsidRPr="00A96FFC" w:rsidRDefault="00A96FFC">
      <w:pPr>
        <w:rPr>
          <w:bCs/>
        </w:rPr>
      </w:pPr>
    </w:p>
    <w:p w14:paraId="5E9A3120" w14:textId="77777777" w:rsidR="00A96FFC" w:rsidRPr="00A96FFC" w:rsidRDefault="00A96FFC">
      <w:pPr>
        <w:rPr>
          <w:bCs/>
        </w:rPr>
        <w:sectPr w:rsidR="00A96FFC" w:rsidRPr="00A96FFC" w:rsidSect="00F7035C">
          <w:pgSz w:w="12240" w:h="15840" w:code="1"/>
          <w:pgMar w:top="720" w:right="1080" w:bottom="720" w:left="1440" w:header="720" w:footer="389" w:gutter="0"/>
          <w:pgNumType w:start="2"/>
          <w:cols w:space="720"/>
          <w:docGrid w:linePitch="360"/>
        </w:sectPr>
      </w:pPr>
      <w:bookmarkStart w:id="0" w:name="_GoBack"/>
      <w:bookmarkEnd w:id="0"/>
    </w:p>
    <w:p w14:paraId="5E9A3123" w14:textId="07E524FE" w:rsidR="00D435EC" w:rsidRPr="007D5A75" w:rsidRDefault="007D5A75" w:rsidP="00FE7320">
      <w:pPr>
        <w:pStyle w:val="Heading1"/>
      </w:pPr>
      <w:bookmarkStart w:id="1" w:name="_Toc503532335"/>
      <w:r>
        <w:lastRenderedPageBreak/>
        <w:t>INTRODUCTION</w:t>
      </w:r>
      <w:bookmarkEnd w:id="1"/>
    </w:p>
    <w:p w14:paraId="5E9A3125" w14:textId="69762BD8" w:rsidR="007D5A75" w:rsidRDefault="007D318C" w:rsidP="005D3032">
      <w:pPr>
        <w:pStyle w:val="NormalWeb"/>
      </w:pPr>
      <w:r w:rsidRPr="000F49DD">
        <w:t xml:space="preserve">Transporting cryogenic dewars and room temperature gas cylinders in enclosed building elevators could be hazardous to passengers under certain conditions. This chapter defines procedures to be used for this operation at </w:t>
      </w:r>
      <w:r w:rsidR="003B59B7">
        <w:t xml:space="preserve">the </w:t>
      </w:r>
      <w:r w:rsidRPr="000F49DD">
        <w:t>Fermilab</w:t>
      </w:r>
      <w:r w:rsidR="003B59B7">
        <w:t xml:space="preserve"> site in</w:t>
      </w:r>
      <w:r w:rsidR="00420900">
        <w:t xml:space="preserve"> Batavia</w:t>
      </w:r>
      <w:r w:rsidR="003B59B7">
        <w:t>, Illinois</w:t>
      </w:r>
      <w:r w:rsidRPr="000F49DD">
        <w:t xml:space="preserve">. </w:t>
      </w:r>
    </w:p>
    <w:p w14:paraId="5E9A3127" w14:textId="54A89301" w:rsidR="007D5A75" w:rsidRPr="005D3032" w:rsidRDefault="007D5A75" w:rsidP="00E00D72">
      <w:pPr>
        <w:pStyle w:val="Heading1"/>
        <w:rPr>
          <w:kern w:val="0"/>
        </w:rPr>
      </w:pPr>
      <w:bookmarkStart w:id="2" w:name="_Toc503532336"/>
      <w:r>
        <w:rPr>
          <w:kern w:val="0"/>
        </w:rPr>
        <w:t>DEFINITIONS</w:t>
      </w:r>
      <w:bookmarkEnd w:id="2"/>
    </w:p>
    <w:p w14:paraId="5E9A3128" w14:textId="77777777" w:rsidR="007E11AB" w:rsidRPr="000F49DD" w:rsidRDefault="007E11AB" w:rsidP="007E11AB">
      <w:pPr>
        <w:pStyle w:val="NormalWeb"/>
      </w:pPr>
      <w:r w:rsidRPr="000F49DD">
        <w:t xml:space="preserve">A </w:t>
      </w:r>
      <w:r w:rsidRPr="000F49DD">
        <w:rPr>
          <w:u w:val="single"/>
        </w:rPr>
        <w:t>building elevator</w:t>
      </w:r>
      <w:r w:rsidRPr="000F49DD">
        <w:t xml:space="preserve"> is an enclosed car which has only a fan for ventilation when the door is closed. </w:t>
      </w:r>
    </w:p>
    <w:p w14:paraId="0006656A" w14:textId="70F527C0" w:rsidR="00A97E1A" w:rsidRDefault="007E11AB" w:rsidP="00FE7320">
      <w:pPr>
        <w:pStyle w:val="NormalWeb"/>
        <w:rPr>
          <w:rStyle w:val="CommentReference"/>
        </w:rPr>
      </w:pPr>
      <w:r w:rsidRPr="000F49DD">
        <w:rPr>
          <w:u w:val="single"/>
        </w:rPr>
        <w:t>Platform lifts</w:t>
      </w:r>
      <w:r w:rsidRPr="000F49DD">
        <w:t xml:space="preserve"> with no sides or roof are not included in this chapter. </w:t>
      </w:r>
    </w:p>
    <w:p w14:paraId="37BDE561" w14:textId="07C229E9" w:rsidR="00511992" w:rsidRDefault="00511992" w:rsidP="00511992">
      <w:pPr>
        <w:pStyle w:val="Heading1"/>
        <w:keepNext w:val="0"/>
      </w:pPr>
      <w:bookmarkStart w:id="3" w:name="_Toc503532337"/>
      <w:r>
        <w:t>RESPONSIBLILITIES</w:t>
      </w:r>
      <w:bookmarkEnd w:id="3"/>
    </w:p>
    <w:p w14:paraId="3ECE819F" w14:textId="77777777" w:rsidR="005D3032" w:rsidRPr="005D3032" w:rsidRDefault="005D3032" w:rsidP="005D3032"/>
    <w:p w14:paraId="05C4913D" w14:textId="2935775A" w:rsidR="007206E2" w:rsidRPr="003B59B7" w:rsidRDefault="007E11AB" w:rsidP="003B59B7">
      <w:pPr>
        <w:pStyle w:val="Heading2"/>
      </w:pPr>
      <w:bookmarkStart w:id="4" w:name="_Toc503532338"/>
      <w:r w:rsidRPr="003B59B7">
        <w:t>The Division/Section/</w:t>
      </w:r>
      <w:r w:rsidR="00FE7320" w:rsidRPr="003B59B7">
        <w:t>Project</w:t>
      </w:r>
      <w:r w:rsidR="007206E2" w:rsidRPr="003B59B7">
        <w:t xml:space="preserve"> </w:t>
      </w:r>
      <w:r w:rsidR="00FE7320" w:rsidRPr="003B59B7">
        <w:t>H</w:t>
      </w:r>
      <w:r w:rsidRPr="003B59B7">
        <w:t>ead</w:t>
      </w:r>
      <w:r w:rsidR="007206E2" w:rsidRPr="003B59B7">
        <w:t xml:space="preserve"> (D/S/P)</w:t>
      </w:r>
      <w:bookmarkEnd w:id="4"/>
    </w:p>
    <w:p w14:paraId="31293D55" w14:textId="1AB8A524" w:rsidR="00FE7320" w:rsidRDefault="007206E2" w:rsidP="005D3032">
      <w:pPr>
        <w:pStyle w:val="NormalWeb"/>
        <w:spacing w:before="0" w:beforeAutospacing="0" w:after="0" w:afterAutospacing="0"/>
      </w:pPr>
      <w:r>
        <w:t>D/S/P controling</w:t>
      </w:r>
      <w:r w:rsidR="007E11AB" w:rsidRPr="000F49DD">
        <w:t xml:space="preserve"> the operation using the dewar</w:t>
      </w:r>
      <w:r w:rsidR="00B47DA5">
        <w:t xml:space="preserve"> or gas cylinder</w:t>
      </w:r>
      <w:r w:rsidR="007E11AB" w:rsidRPr="000F49DD">
        <w:t xml:space="preserve"> is responsible for carrying out th</w:t>
      </w:r>
      <w:r w:rsidR="00FE7320">
        <w:t>e requirements of this chapter.</w:t>
      </w:r>
    </w:p>
    <w:p w14:paraId="61051651" w14:textId="77777777" w:rsidR="00FE7320" w:rsidRDefault="00FE7320" w:rsidP="005D3032">
      <w:pPr>
        <w:pStyle w:val="NormalWeb"/>
        <w:spacing w:before="0" w:beforeAutospacing="0" w:after="0" w:afterAutospacing="0"/>
      </w:pPr>
    </w:p>
    <w:p w14:paraId="2E3761C5" w14:textId="3B586A95" w:rsidR="007206E2" w:rsidRPr="003B59B7" w:rsidRDefault="007E11AB" w:rsidP="003B59B7">
      <w:pPr>
        <w:pStyle w:val="Heading2"/>
      </w:pPr>
      <w:bookmarkStart w:id="5" w:name="_Toc503532339"/>
      <w:r w:rsidRPr="003B59B7">
        <w:t>The Cryogenic Safety Subcommittee</w:t>
      </w:r>
      <w:r w:rsidR="007206E2" w:rsidRPr="003B59B7">
        <w:t xml:space="preserve"> (CSS)</w:t>
      </w:r>
      <w:bookmarkEnd w:id="5"/>
    </w:p>
    <w:p w14:paraId="72B9998B" w14:textId="6C04A350" w:rsidR="00FE7320" w:rsidRDefault="007206E2" w:rsidP="005D3032">
      <w:pPr>
        <w:pStyle w:val="NormalWeb"/>
        <w:spacing w:before="0" w:beforeAutospacing="0" w:after="0" w:afterAutospacing="0"/>
      </w:pPr>
      <w:r>
        <w:t xml:space="preserve">CSS </w:t>
      </w:r>
      <w:r w:rsidR="007E11AB" w:rsidRPr="000F49DD">
        <w:t xml:space="preserve">will serve the </w:t>
      </w:r>
      <w:r w:rsidR="00FE7320">
        <w:t>D</w:t>
      </w:r>
      <w:r w:rsidR="00FE7320" w:rsidRPr="000F49DD">
        <w:t>ivision/</w:t>
      </w:r>
      <w:r w:rsidR="00FE7320">
        <w:t>S</w:t>
      </w:r>
      <w:r w:rsidR="00FE7320" w:rsidRPr="000F49DD">
        <w:t>ection</w:t>
      </w:r>
      <w:r w:rsidR="00FE7320">
        <w:t>/Project H</w:t>
      </w:r>
      <w:r w:rsidR="00FE7320" w:rsidRPr="000F49DD">
        <w:t xml:space="preserve">ead </w:t>
      </w:r>
      <w:r w:rsidR="007E11AB" w:rsidRPr="000F49DD">
        <w:t xml:space="preserve">as consultant in all matters </w:t>
      </w:r>
      <w:r w:rsidR="00FE7320">
        <w:t>concerning this chapter.</w:t>
      </w:r>
    </w:p>
    <w:p w14:paraId="6917A4F9" w14:textId="77777777" w:rsidR="00FE7320" w:rsidRDefault="00FE7320" w:rsidP="005D3032">
      <w:pPr>
        <w:pStyle w:val="NormalWeb"/>
        <w:spacing w:before="0" w:beforeAutospacing="0" w:after="0" w:afterAutospacing="0"/>
      </w:pPr>
    </w:p>
    <w:p w14:paraId="446AD40E" w14:textId="06203213" w:rsidR="007206E2" w:rsidRPr="003B59B7" w:rsidRDefault="00AB48EE" w:rsidP="003B59B7">
      <w:pPr>
        <w:pStyle w:val="Heading2"/>
      </w:pPr>
      <w:bookmarkStart w:id="6" w:name="_Toc503532340"/>
      <w:r w:rsidRPr="003B59B7">
        <w:t>The E</w:t>
      </w:r>
      <w:r w:rsidR="007206E2" w:rsidRPr="003B59B7">
        <w:t xml:space="preserve">nvironment, </w:t>
      </w:r>
      <w:r w:rsidRPr="003B59B7">
        <w:t>S</w:t>
      </w:r>
      <w:r w:rsidR="007206E2" w:rsidRPr="003B59B7">
        <w:t xml:space="preserve">afety, </w:t>
      </w:r>
      <w:r w:rsidR="007E11AB" w:rsidRPr="003B59B7">
        <w:t>H</w:t>
      </w:r>
      <w:r w:rsidR="007206E2" w:rsidRPr="003B59B7">
        <w:t xml:space="preserve">ealth, </w:t>
      </w:r>
      <w:r w:rsidRPr="003B59B7">
        <w:t>&amp;</w:t>
      </w:r>
      <w:r w:rsidR="007206E2" w:rsidRPr="003B59B7">
        <w:t xml:space="preserve"> </w:t>
      </w:r>
      <w:r w:rsidRPr="003B59B7">
        <w:t>Q</w:t>
      </w:r>
      <w:r w:rsidR="007206E2" w:rsidRPr="003B59B7">
        <w:t>uality</w:t>
      </w:r>
      <w:r w:rsidR="007E11AB" w:rsidRPr="003B59B7">
        <w:t xml:space="preserve"> Section</w:t>
      </w:r>
      <w:r w:rsidR="007206E2" w:rsidRPr="003B59B7">
        <w:t xml:space="preserve"> (ESHQ)</w:t>
      </w:r>
      <w:bookmarkEnd w:id="6"/>
    </w:p>
    <w:p w14:paraId="5E9A312D" w14:textId="25AF7BEF" w:rsidR="00C552C0" w:rsidRPr="007E11AB" w:rsidRDefault="007206E2" w:rsidP="005D3032">
      <w:pPr>
        <w:pStyle w:val="NormalWeb"/>
        <w:spacing w:before="0" w:beforeAutospacing="0" w:after="0" w:afterAutospacing="0"/>
      </w:pPr>
      <w:r>
        <w:t xml:space="preserve">ESHQ </w:t>
      </w:r>
      <w:r w:rsidR="007E11AB" w:rsidRPr="000F49DD">
        <w:t>shall audit divisions/sections</w:t>
      </w:r>
      <w:r w:rsidR="00FE7320">
        <w:t>/projects</w:t>
      </w:r>
      <w:r w:rsidR="007E11AB" w:rsidRPr="000F49DD">
        <w:t xml:space="preserve"> for compliance to this chapter. </w:t>
      </w:r>
      <w:r w:rsidR="007D5A75" w:rsidRPr="008532CC">
        <w:rPr>
          <w:color w:val="000000"/>
        </w:rPr>
        <w:t xml:space="preserve"> </w:t>
      </w:r>
    </w:p>
    <w:p w14:paraId="5E9A312E" w14:textId="77777777" w:rsidR="00244E31" w:rsidRDefault="00244E31" w:rsidP="00E00D72"/>
    <w:p w14:paraId="5E9A312F" w14:textId="3E55BF8A" w:rsidR="00E47427" w:rsidRDefault="00021BF3" w:rsidP="00E47427">
      <w:pPr>
        <w:pStyle w:val="Heading1"/>
      </w:pPr>
      <w:bookmarkStart w:id="7" w:name="_Toc503532341"/>
      <w:r>
        <w:t>PRO</w:t>
      </w:r>
      <w:r w:rsidR="007E11AB">
        <w:t>CEDURE FOR CRYOGENIC DEWARS</w:t>
      </w:r>
      <w:r w:rsidR="00471413">
        <w:t xml:space="preserve"> AT FERMILAB</w:t>
      </w:r>
      <w:bookmarkEnd w:id="7"/>
    </w:p>
    <w:p w14:paraId="5E9A3130" w14:textId="77777777" w:rsidR="00E47427" w:rsidRDefault="00E47427" w:rsidP="00E00D72"/>
    <w:p w14:paraId="5E9A3131" w14:textId="77777777" w:rsidR="007E11AB" w:rsidRDefault="007E11AB" w:rsidP="007E11AB">
      <w:pPr>
        <w:pStyle w:val="Heading2"/>
      </w:pPr>
      <w:bookmarkStart w:id="8" w:name="_Toc503532342"/>
      <w:r w:rsidRPr="00C22BE8">
        <w:t>Scope</w:t>
      </w:r>
      <w:bookmarkEnd w:id="8"/>
    </w:p>
    <w:p w14:paraId="5E9A3132" w14:textId="5D2E6B68" w:rsidR="007E11AB" w:rsidRPr="000F49DD" w:rsidRDefault="007E11AB" w:rsidP="005D3032">
      <w:pPr>
        <w:pStyle w:val="NormalWeb"/>
        <w:spacing w:before="0" w:beforeAutospacing="0" w:after="0" w:afterAutospacing="0"/>
      </w:pPr>
      <w:r w:rsidRPr="000F49DD">
        <w:t xml:space="preserve">This procedure is to be followed when transporting </w:t>
      </w:r>
      <w:r w:rsidR="009D3D5F">
        <w:t xml:space="preserve">all </w:t>
      </w:r>
      <w:r w:rsidRPr="000F49DD">
        <w:t xml:space="preserve">dewars, whether open or closed mouthed dewars, in enclosed elevators. </w:t>
      </w:r>
    </w:p>
    <w:p w14:paraId="3E43D704" w14:textId="77777777" w:rsidR="005D3032" w:rsidRDefault="005D3032" w:rsidP="005D3032">
      <w:pPr>
        <w:pStyle w:val="NormalWeb"/>
        <w:spacing w:before="0" w:beforeAutospacing="0" w:after="0" w:afterAutospacing="0"/>
      </w:pPr>
    </w:p>
    <w:p w14:paraId="5E9A3133" w14:textId="66CD3269" w:rsidR="007E11AB" w:rsidRDefault="00511992" w:rsidP="005D3032">
      <w:pPr>
        <w:pStyle w:val="NormalWeb"/>
        <w:spacing w:before="0" w:beforeAutospacing="0" w:after="0" w:afterAutospacing="0"/>
      </w:pPr>
      <w:r>
        <w:t>O</w:t>
      </w:r>
      <w:r w:rsidR="007E11AB" w:rsidRPr="000F49DD">
        <w:t>pen-flask style dewars are not to be used for tra</w:t>
      </w:r>
      <w:r w:rsidR="005D3032">
        <w:t>nsporting liquid in elevators.</w:t>
      </w:r>
    </w:p>
    <w:p w14:paraId="6913E18D" w14:textId="77777777" w:rsidR="005D3032" w:rsidRPr="000F49DD" w:rsidRDefault="005D3032" w:rsidP="005D3032">
      <w:pPr>
        <w:pStyle w:val="NormalWeb"/>
        <w:spacing w:before="0" w:beforeAutospacing="0" w:after="0" w:afterAutospacing="0"/>
      </w:pPr>
    </w:p>
    <w:p w14:paraId="5E9A3135" w14:textId="1CEF8BB3" w:rsidR="007E11AB" w:rsidRDefault="007E11AB" w:rsidP="007E11AB">
      <w:pPr>
        <w:pStyle w:val="Heading2"/>
        <w:ind w:left="540" w:hanging="540"/>
      </w:pPr>
      <w:bookmarkStart w:id="9" w:name="_Toc503532343"/>
      <w:r w:rsidRPr="00C22BE8">
        <w:t>Inspection</w:t>
      </w:r>
      <w:bookmarkEnd w:id="9"/>
    </w:p>
    <w:p w14:paraId="5E9A3136" w14:textId="304BCC25" w:rsidR="007E11AB" w:rsidRPr="000F49DD" w:rsidRDefault="007E11AB" w:rsidP="005D3032">
      <w:pPr>
        <w:pStyle w:val="NormalWeb"/>
        <w:spacing w:before="0" w:beforeAutospacing="0" w:after="0" w:afterAutospacing="0"/>
      </w:pPr>
      <w:r w:rsidRPr="000F49DD">
        <w:t xml:space="preserve">Before a dewar is placed on the elevator, it is to be inspected for the following: </w:t>
      </w:r>
    </w:p>
    <w:p w14:paraId="5E9A3137" w14:textId="77777777" w:rsidR="007E11AB" w:rsidRPr="000F49DD" w:rsidRDefault="007E11AB" w:rsidP="007E11AB">
      <w:pPr>
        <w:pStyle w:val="NormalWeb"/>
        <w:ind w:left="630" w:hanging="270"/>
      </w:pPr>
      <w:r w:rsidRPr="000F49DD">
        <w:t xml:space="preserve">a. No frost, sweating, or venting of dewar contents may be present to transport a dewar. </w:t>
      </w:r>
    </w:p>
    <w:p w14:paraId="5E9A3138" w14:textId="1546FA69" w:rsidR="007E11AB" w:rsidRPr="000F49DD" w:rsidRDefault="007E11AB" w:rsidP="007E11AB">
      <w:pPr>
        <w:pStyle w:val="NormalWeb"/>
        <w:ind w:left="630" w:hanging="270"/>
      </w:pPr>
      <w:r w:rsidRPr="000F49DD">
        <w:t>b. The pressure building valve</w:t>
      </w:r>
      <w:r w:rsidR="009D3D5F">
        <w:t>(s)</w:t>
      </w:r>
      <w:r w:rsidRPr="000F49DD">
        <w:t xml:space="preserve"> must be closed on any dewar transported in an elevator. </w:t>
      </w:r>
    </w:p>
    <w:p w14:paraId="5E9A3140" w14:textId="32033A2B" w:rsidR="007E11AB" w:rsidRPr="000F49DD" w:rsidRDefault="007E11AB" w:rsidP="00FE7320">
      <w:pPr>
        <w:pStyle w:val="NormalWeb"/>
        <w:ind w:left="630" w:hanging="270"/>
      </w:pPr>
      <w:r w:rsidRPr="000F49DD">
        <w:t xml:space="preserve">c. The pressure of any dewar to be loaded into an elevator must be less than </w:t>
      </w:r>
      <w:r w:rsidRPr="00FE7320">
        <w:rPr>
          <w:vertAlign w:val="superscript"/>
        </w:rPr>
        <w:t>1</w:t>
      </w:r>
      <w:r w:rsidRPr="000F49DD">
        <w:t>/</w:t>
      </w:r>
      <w:r w:rsidRPr="00FE7320">
        <w:rPr>
          <w:vertAlign w:val="subscript"/>
        </w:rPr>
        <w:t>2</w:t>
      </w:r>
      <w:r w:rsidRPr="000F49DD">
        <w:t xml:space="preserve"> of the pressure setting of the dewar's main relief valve.</w:t>
      </w:r>
    </w:p>
    <w:p w14:paraId="5E9A3141" w14:textId="77777777" w:rsidR="007E11AB" w:rsidRDefault="007E11AB" w:rsidP="007E11AB">
      <w:pPr>
        <w:pStyle w:val="Heading2"/>
      </w:pPr>
      <w:bookmarkStart w:id="10" w:name="_Toc503532344"/>
      <w:r w:rsidRPr="00C22BE8">
        <w:lastRenderedPageBreak/>
        <w:t>Moving the dewar</w:t>
      </w:r>
      <w:bookmarkEnd w:id="10"/>
    </w:p>
    <w:p w14:paraId="5E9A3142" w14:textId="77777777" w:rsidR="007E11AB" w:rsidRPr="000F49DD" w:rsidRDefault="007E11AB" w:rsidP="005D3032">
      <w:pPr>
        <w:pStyle w:val="NormalWeb"/>
        <w:spacing w:before="0" w:beforeAutospacing="0" w:after="0" w:afterAutospacing="0"/>
      </w:pPr>
      <w:r w:rsidRPr="000F49DD">
        <w:t xml:space="preserve">The dewar must be moved according to the following: </w:t>
      </w:r>
    </w:p>
    <w:p w14:paraId="28E7491B" w14:textId="5FB86316" w:rsidR="00F71E26" w:rsidRPr="000F49DD" w:rsidRDefault="007E11AB" w:rsidP="00F71E26">
      <w:pPr>
        <w:pStyle w:val="NormalWeb"/>
        <w:ind w:left="630" w:hanging="270"/>
      </w:pPr>
      <w:r w:rsidRPr="000F49DD">
        <w:t xml:space="preserve">a. </w:t>
      </w:r>
      <w:r>
        <w:t xml:space="preserve">Personnel </w:t>
      </w:r>
      <w:r w:rsidR="00F71E26">
        <w:t>is not permitted to ride in elevator with dewars.</w:t>
      </w:r>
      <w:r w:rsidR="00F71E26" w:rsidDel="00F71E26">
        <w:t xml:space="preserve"> </w:t>
      </w:r>
    </w:p>
    <w:p w14:paraId="5E9A3144" w14:textId="7FC036DE" w:rsidR="007E11AB" w:rsidRPr="000F49DD" w:rsidRDefault="007E11AB" w:rsidP="007E11AB">
      <w:pPr>
        <w:pStyle w:val="NormalWeb"/>
        <w:ind w:left="630" w:hanging="270"/>
      </w:pPr>
      <w:r w:rsidRPr="000F49DD">
        <w:t xml:space="preserve">b. Not more than two </w:t>
      </w:r>
      <w:r>
        <w:t>dewars may be moved on an elevator at a time.</w:t>
      </w:r>
    </w:p>
    <w:p w14:paraId="5E9A3145" w14:textId="3074E7E4" w:rsidR="007E11AB" w:rsidRDefault="007E11AB" w:rsidP="007E11AB">
      <w:pPr>
        <w:pStyle w:val="NormalWeb"/>
        <w:ind w:left="630" w:hanging="270"/>
      </w:pPr>
      <w:r>
        <w:t>c. Transport of cryogens in the Wilson Hall elevators is prohibited except by explicit writ</w:t>
      </w:r>
      <w:r w:rsidR="00AB48EE">
        <w:t xml:space="preserve">ten permission from </w:t>
      </w:r>
      <w:r w:rsidR="00FE7320">
        <w:t xml:space="preserve">the </w:t>
      </w:r>
      <w:r w:rsidR="00AB48EE">
        <w:t xml:space="preserve">Fermilab </w:t>
      </w:r>
      <w:r w:rsidR="00FE7320">
        <w:t>Chief Safety Officer. The Chief Safety Officer</w:t>
      </w:r>
      <w:r>
        <w:t xml:space="preserve"> approval is documented by his/her signature on a written Hazard Analysis for the transportation of a dewar(s) in the Wilson Hall elevators. </w:t>
      </w:r>
    </w:p>
    <w:p w14:paraId="64D09023" w14:textId="217C4AA9" w:rsidR="00F71E26" w:rsidRDefault="00F71E26" w:rsidP="007E11AB">
      <w:pPr>
        <w:pStyle w:val="NormalWeb"/>
        <w:ind w:left="630" w:hanging="270"/>
      </w:pPr>
      <w:r>
        <w:t xml:space="preserve">d. </w:t>
      </w:r>
      <w:r w:rsidR="00F96E6C">
        <w:t xml:space="preserve">A dewar must not be removed from its transporting cart. </w:t>
      </w:r>
      <w:r>
        <w:t>If a dewar is transported seated in the cart, then the cart must be properly parked</w:t>
      </w:r>
      <w:r w:rsidR="000710A5">
        <w:t xml:space="preserve"> inside the elevator car.</w:t>
      </w:r>
    </w:p>
    <w:p w14:paraId="2645059F" w14:textId="59699BDC" w:rsidR="00F71E26" w:rsidRPr="000F49DD" w:rsidRDefault="00F71E26" w:rsidP="005D3032">
      <w:pPr>
        <w:pStyle w:val="NormalWeb"/>
        <w:spacing w:before="0" w:beforeAutospacing="0" w:after="0" w:afterAutospacing="0"/>
        <w:ind w:left="630" w:hanging="270"/>
      </w:pPr>
      <w:r>
        <w:t xml:space="preserve">e. </w:t>
      </w:r>
      <w:r w:rsidR="000710A5">
        <w:t>The elevator must be programmed not to stop or open the doors before it reaches the destination floor. Authorized personnel must be the first at the destination floor to enter the elevator car.</w:t>
      </w:r>
    </w:p>
    <w:p w14:paraId="5E9A3146" w14:textId="77777777" w:rsidR="001E4839" w:rsidRPr="001E4839" w:rsidRDefault="001E4839" w:rsidP="00E00D72"/>
    <w:p w14:paraId="5E9A3147" w14:textId="538AABD7" w:rsidR="00BE0C08" w:rsidRDefault="00F86384" w:rsidP="003E2A77">
      <w:pPr>
        <w:pStyle w:val="Heading1"/>
        <w:keepNext w:val="0"/>
      </w:pPr>
      <w:bookmarkStart w:id="11" w:name="_Toc503532345"/>
      <w:r>
        <w:t>PROCEDURE</w:t>
      </w:r>
      <w:r w:rsidR="007E11AB">
        <w:t>S FOR GA</w:t>
      </w:r>
      <w:r>
        <w:t>S</w:t>
      </w:r>
      <w:r w:rsidR="007E11AB">
        <w:t xml:space="preserve"> CYLINDERS</w:t>
      </w:r>
      <w:r w:rsidR="00471413">
        <w:t xml:space="preserve"> AT FERMILAB</w:t>
      </w:r>
      <w:bookmarkEnd w:id="11"/>
    </w:p>
    <w:p w14:paraId="5E9A3148" w14:textId="77777777" w:rsidR="001E4839" w:rsidRPr="001E4839" w:rsidRDefault="001E4839" w:rsidP="00E00D72"/>
    <w:p w14:paraId="5E9A3149" w14:textId="77777777" w:rsidR="007E11AB" w:rsidRDefault="007E11AB" w:rsidP="007E11AB">
      <w:pPr>
        <w:pStyle w:val="Heading2"/>
      </w:pPr>
      <w:bookmarkStart w:id="12" w:name="_Toc503532346"/>
      <w:r w:rsidRPr="00C22BE8">
        <w:t>Scope</w:t>
      </w:r>
      <w:bookmarkEnd w:id="12"/>
    </w:p>
    <w:p w14:paraId="5E9A314A" w14:textId="599AD01B" w:rsidR="007E11AB" w:rsidRDefault="007E11AB" w:rsidP="005D3032">
      <w:pPr>
        <w:pStyle w:val="NormalWeb"/>
        <w:spacing w:before="0" w:beforeAutospacing="0" w:after="0" w:afterAutospacing="0"/>
      </w:pPr>
      <w:r w:rsidRPr="00C22BE8">
        <w:rPr>
          <w:b/>
        </w:rPr>
        <w:t xml:space="preserve"> </w:t>
      </w:r>
      <w:r w:rsidRPr="000F49DD">
        <w:t xml:space="preserve">This procedure is to be used for moving all gas cylinders in enclosed elevators. </w:t>
      </w:r>
    </w:p>
    <w:p w14:paraId="232E889B" w14:textId="77777777" w:rsidR="005D3032" w:rsidRPr="000F49DD" w:rsidRDefault="005D3032" w:rsidP="005D3032">
      <w:pPr>
        <w:pStyle w:val="NormalWeb"/>
        <w:spacing w:before="0" w:beforeAutospacing="0" w:after="0" w:afterAutospacing="0"/>
      </w:pPr>
    </w:p>
    <w:p w14:paraId="6BCFB187" w14:textId="6C95170A" w:rsidR="005D3032" w:rsidRPr="005D3032" w:rsidRDefault="007E11AB" w:rsidP="005D3032">
      <w:pPr>
        <w:pStyle w:val="Heading2"/>
      </w:pPr>
      <w:bookmarkStart w:id="13" w:name="_Toc503532347"/>
      <w:r w:rsidRPr="00C22BE8">
        <w:t>Moving the cylinders</w:t>
      </w:r>
      <w:bookmarkEnd w:id="13"/>
    </w:p>
    <w:p w14:paraId="09C9CA92" w14:textId="6A7C3199" w:rsidR="00F96E6C" w:rsidRDefault="007E11AB" w:rsidP="005D3032">
      <w:pPr>
        <w:pStyle w:val="NormalWeb"/>
        <w:numPr>
          <w:ilvl w:val="7"/>
          <w:numId w:val="34"/>
        </w:numPr>
        <w:spacing w:before="0" w:beforeAutospacing="0" w:after="0" w:afterAutospacing="0"/>
        <w:ind w:left="630" w:hanging="270"/>
      </w:pPr>
      <w:r w:rsidRPr="000F49DD">
        <w:t xml:space="preserve">Gas cylinders to be moved must have the valve cap securely in place. </w:t>
      </w:r>
    </w:p>
    <w:p w14:paraId="2F1A0CA7" w14:textId="77777777" w:rsidR="005D3032" w:rsidRDefault="005D3032" w:rsidP="005D3032">
      <w:pPr>
        <w:pStyle w:val="NormalWeb"/>
        <w:spacing w:before="0" w:beforeAutospacing="0" w:after="0" w:afterAutospacing="0"/>
      </w:pPr>
    </w:p>
    <w:p w14:paraId="2D2BEDD2" w14:textId="0DA3AAFF" w:rsidR="00471413" w:rsidRPr="00471413" w:rsidRDefault="00F96E6C" w:rsidP="005D3032">
      <w:pPr>
        <w:ind w:left="630" w:hanging="270"/>
      </w:pPr>
      <w:r>
        <w:t xml:space="preserve">b. </w:t>
      </w:r>
      <w:r w:rsidR="007E11AB" w:rsidRPr="000F49DD">
        <w:t>Gas cylinders must be moved on a cylinder cart. The cylinders shall be belted or chained to the cylinder cart.</w:t>
      </w:r>
    </w:p>
    <w:sectPr w:rsidR="00471413" w:rsidRPr="00471413" w:rsidSect="00DE35C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4F711" w14:textId="77777777" w:rsidR="0046413C" w:rsidRDefault="0046413C" w:rsidP="00CB66DF">
      <w:r>
        <w:separator/>
      </w:r>
    </w:p>
  </w:endnote>
  <w:endnote w:type="continuationSeparator" w:id="0">
    <w:p w14:paraId="33FC5564" w14:textId="77777777" w:rsidR="0046413C" w:rsidRDefault="0046413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315D" w14:textId="4A915B7B" w:rsidR="00F52ACA" w:rsidRDefault="00F52ACA"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t>5032.3</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F7035C">
      <w:rPr>
        <w:rFonts w:ascii="Palatino" w:hAnsi="Palatino"/>
        <w:noProof/>
        <w:sz w:val="18"/>
      </w:rPr>
      <w:t>2</w:t>
    </w:r>
    <w:r>
      <w:rPr>
        <w:rFonts w:ascii="Palatino" w:hAnsi="Palatino"/>
        <w:sz w:val="18"/>
      </w:rPr>
      <w:fldChar w:fldCharType="end"/>
    </w:r>
  </w:p>
  <w:p w14:paraId="5E9A315E" w14:textId="65936FDE" w:rsidR="00F52ACA" w:rsidRDefault="00F52ACA" w:rsidP="00A7108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sidR="005D3032">
      <w:rPr>
        <w:sz w:val="18"/>
        <w:szCs w:val="18"/>
      </w:rPr>
      <w:t>Rev. 01/2018</w:t>
    </w:r>
    <w:r w:rsidRPr="00A71082">
      <w:rPr>
        <w:rFonts w:ascii="Palatino" w:hAnsi="Palatino"/>
        <w:sz w:val="18"/>
        <w:szCs w:val="18"/>
      </w:rPr>
      <w:t xml:space="preserve"> </w:t>
    </w:r>
    <w:r w:rsidRPr="00E131D2">
      <w:rPr>
        <w:rFonts w:ascii="Palatino" w:hAnsi="Palatino"/>
      </w:rPr>
      <w:t xml:space="preserve">    </w:t>
    </w:r>
  </w:p>
  <w:p w14:paraId="5E9A315F" w14:textId="77777777" w:rsidR="00F52ACA" w:rsidRDefault="00F52ACA"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E9A3160" w14:textId="77777777" w:rsidR="00F52ACA" w:rsidRPr="00DB5D5A" w:rsidRDefault="00F52ACA"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6653" w14:textId="77777777" w:rsidR="0046413C" w:rsidRDefault="0046413C" w:rsidP="00CB66DF">
      <w:r>
        <w:separator/>
      </w:r>
    </w:p>
  </w:footnote>
  <w:footnote w:type="continuationSeparator" w:id="0">
    <w:p w14:paraId="40CC9C19" w14:textId="77777777" w:rsidR="0046413C" w:rsidRDefault="0046413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64"/>
      <w:gridCol w:w="2970"/>
    </w:tblGrid>
    <w:tr w:rsidR="005D3032" w:rsidRPr="00423E3B" w14:paraId="15DC4BD3" w14:textId="77777777" w:rsidTr="005D3032">
      <w:trPr>
        <w:trHeight w:val="611"/>
      </w:trPr>
      <w:tc>
        <w:tcPr>
          <w:tcW w:w="2676" w:type="dxa"/>
        </w:tcPr>
        <w:p w14:paraId="5B9FDCF8" w14:textId="2F29D94D" w:rsidR="005D3032" w:rsidRDefault="005D3032" w:rsidP="005D3032">
          <w:pPr>
            <w:ind w:left="75"/>
          </w:pPr>
          <w:r>
            <w:rPr>
              <w:noProof/>
            </w:rPr>
            <w:drawing>
              <wp:anchor distT="0" distB="0" distL="114300" distR="114300" simplePos="0" relativeHeight="251660800" behindDoc="0" locked="0" layoutInCell="1" allowOverlap="0" wp14:anchorId="1B064C0A" wp14:editId="6429B5A1">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4" w:type="dxa"/>
          <w:vAlign w:val="center"/>
        </w:tcPr>
        <w:p w14:paraId="1EECFEEC" w14:textId="77777777" w:rsidR="005D3032" w:rsidRDefault="005D3032" w:rsidP="005D3032">
          <w:pPr>
            <w:jc w:val="center"/>
          </w:pPr>
          <w:r>
            <w:t>ES&amp;H Manual</w:t>
          </w:r>
        </w:p>
      </w:tc>
      <w:tc>
        <w:tcPr>
          <w:tcW w:w="2970" w:type="dxa"/>
          <w:vAlign w:val="center"/>
        </w:tcPr>
        <w:p w14:paraId="04FC5BA3" w14:textId="7420010A" w:rsidR="005D3032" w:rsidRPr="00423E3B" w:rsidRDefault="005D3032" w:rsidP="005D3032">
          <w:pPr>
            <w:jc w:val="center"/>
          </w:pPr>
          <w:r>
            <w:t>FESHM 5032.3</w:t>
          </w:r>
        </w:p>
        <w:p w14:paraId="60541CA8" w14:textId="77777777" w:rsidR="005D3032" w:rsidRPr="00423E3B" w:rsidRDefault="005D3032" w:rsidP="005D3032">
          <w:pPr>
            <w:jc w:val="center"/>
          </w:pPr>
          <w:r>
            <w:t>January 2018</w:t>
          </w:r>
        </w:p>
      </w:tc>
    </w:tr>
  </w:tbl>
  <w:p w14:paraId="5E9A315B" w14:textId="77777777" w:rsidR="00F52ACA" w:rsidRDefault="00F52ACA" w:rsidP="005D3032">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3"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245485"/>
    <w:multiLevelType w:val="hybridMultilevel"/>
    <w:tmpl w:val="9FF4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7"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5" w15:restartNumberingAfterBreak="0">
    <w:nsid w:val="449D7C29"/>
    <w:multiLevelType w:val="hybridMultilevel"/>
    <w:tmpl w:val="5580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7"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8"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1"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104C14"/>
    <w:multiLevelType w:val="hybridMultilevel"/>
    <w:tmpl w:val="9FF4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6"/>
  </w:num>
  <w:num w:numId="3">
    <w:abstractNumId w:val="34"/>
  </w:num>
  <w:num w:numId="4">
    <w:abstractNumId w:val="4"/>
  </w:num>
  <w:num w:numId="5">
    <w:abstractNumId w:val="38"/>
  </w:num>
  <w:num w:numId="6">
    <w:abstractNumId w:val="23"/>
  </w:num>
  <w:num w:numId="7">
    <w:abstractNumId w:val="8"/>
  </w:num>
  <w:num w:numId="8">
    <w:abstractNumId w:val="28"/>
  </w:num>
  <w:num w:numId="9">
    <w:abstractNumId w:val="49"/>
  </w:num>
  <w:num w:numId="10">
    <w:abstractNumId w:val="29"/>
  </w:num>
  <w:num w:numId="11">
    <w:abstractNumId w:val="37"/>
  </w:num>
  <w:num w:numId="12">
    <w:abstractNumId w:val="59"/>
  </w:num>
  <w:num w:numId="13">
    <w:abstractNumId w:val="52"/>
  </w:num>
  <w:num w:numId="14">
    <w:abstractNumId w:val="41"/>
  </w:num>
  <w:num w:numId="15">
    <w:abstractNumId w:val="1"/>
  </w:num>
  <w:num w:numId="16">
    <w:abstractNumId w:val="0"/>
  </w:num>
  <w:num w:numId="17">
    <w:abstractNumId w:val="27"/>
  </w:num>
  <w:num w:numId="18">
    <w:abstractNumId w:val="45"/>
  </w:num>
  <w:num w:numId="19">
    <w:abstractNumId w:val="12"/>
  </w:num>
  <w:num w:numId="20">
    <w:abstractNumId w:val="32"/>
  </w:num>
  <w:num w:numId="21">
    <w:abstractNumId w:val="47"/>
  </w:num>
  <w:num w:numId="22">
    <w:abstractNumId w:val="26"/>
  </w:num>
  <w:num w:numId="23">
    <w:abstractNumId w:val="15"/>
  </w:num>
  <w:num w:numId="24">
    <w:abstractNumId w:val="25"/>
  </w:num>
  <w:num w:numId="25">
    <w:abstractNumId w:val="18"/>
  </w:num>
  <w:num w:numId="26">
    <w:abstractNumId w:val="24"/>
  </w:num>
  <w:num w:numId="27">
    <w:abstractNumId w:val="42"/>
  </w:num>
  <w:num w:numId="28">
    <w:abstractNumId w:val="7"/>
  </w:num>
  <w:num w:numId="29">
    <w:abstractNumId w:val="60"/>
  </w:num>
  <w:num w:numId="30">
    <w:abstractNumId w:val="44"/>
  </w:num>
  <w:num w:numId="31">
    <w:abstractNumId w:val="6"/>
  </w:num>
  <w:num w:numId="32">
    <w:abstractNumId w:val="20"/>
  </w:num>
  <w:num w:numId="33">
    <w:abstractNumId w:val="5"/>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14"/>
  </w:num>
  <w:num w:numId="38">
    <w:abstractNumId w:val="57"/>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8"/>
  </w:num>
  <w:num w:numId="45">
    <w:abstractNumId w:val="39"/>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9"/>
  </w:num>
  <w:num w:numId="52">
    <w:abstractNumId w:val="13"/>
  </w:num>
  <w:num w:numId="53">
    <w:abstractNumId w:val="10"/>
  </w:num>
  <w:num w:numId="54">
    <w:abstractNumId w:val="51"/>
  </w:num>
  <w:num w:numId="55">
    <w:abstractNumId w:val="2"/>
  </w:num>
  <w:num w:numId="56">
    <w:abstractNumId w:val="22"/>
  </w:num>
  <w:num w:numId="57">
    <w:abstractNumId w:val="11"/>
  </w:num>
  <w:num w:numId="58">
    <w:abstractNumId w:val="21"/>
  </w:num>
  <w:num w:numId="59">
    <w:abstractNumId w:val="58"/>
  </w:num>
  <w:num w:numId="60">
    <w:abstractNumId w:val="40"/>
  </w:num>
  <w:num w:numId="61">
    <w:abstractNumId w:val="35"/>
  </w:num>
  <w:num w:numId="62">
    <w:abstractNumId w:val="53"/>
  </w:num>
  <w:num w:numId="63">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276E2"/>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0A5"/>
    <w:rsid w:val="00071B76"/>
    <w:rsid w:val="00071D86"/>
    <w:rsid w:val="000753FB"/>
    <w:rsid w:val="00076AE8"/>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06C6"/>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1F9"/>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0021"/>
    <w:rsid w:val="002024AE"/>
    <w:rsid w:val="002028EB"/>
    <w:rsid w:val="00203E01"/>
    <w:rsid w:val="002070AE"/>
    <w:rsid w:val="002078BB"/>
    <w:rsid w:val="00207EAC"/>
    <w:rsid w:val="00210CB6"/>
    <w:rsid w:val="002149DE"/>
    <w:rsid w:val="0022039C"/>
    <w:rsid w:val="00221181"/>
    <w:rsid w:val="00224423"/>
    <w:rsid w:val="002308AA"/>
    <w:rsid w:val="00230C9C"/>
    <w:rsid w:val="00231245"/>
    <w:rsid w:val="00237834"/>
    <w:rsid w:val="00240A0C"/>
    <w:rsid w:val="00241C70"/>
    <w:rsid w:val="002423A5"/>
    <w:rsid w:val="002441F5"/>
    <w:rsid w:val="0024447E"/>
    <w:rsid w:val="00244E31"/>
    <w:rsid w:val="002452C2"/>
    <w:rsid w:val="002537CB"/>
    <w:rsid w:val="00256813"/>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2D45"/>
    <w:rsid w:val="002B5B37"/>
    <w:rsid w:val="002C2CF5"/>
    <w:rsid w:val="002C474B"/>
    <w:rsid w:val="002D175B"/>
    <w:rsid w:val="002D19E5"/>
    <w:rsid w:val="002D2A16"/>
    <w:rsid w:val="002D59DB"/>
    <w:rsid w:val="002D7124"/>
    <w:rsid w:val="002E0A3F"/>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5142"/>
    <w:rsid w:val="00335954"/>
    <w:rsid w:val="00336470"/>
    <w:rsid w:val="00337B75"/>
    <w:rsid w:val="003413F8"/>
    <w:rsid w:val="00341753"/>
    <w:rsid w:val="00342FDF"/>
    <w:rsid w:val="003447F8"/>
    <w:rsid w:val="0034499D"/>
    <w:rsid w:val="00346824"/>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94D50"/>
    <w:rsid w:val="003A2C85"/>
    <w:rsid w:val="003A512C"/>
    <w:rsid w:val="003A531C"/>
    <w:rsid w:val="003A5AC0"/>
    <w:rsid w:val="003A7A38"/>
    <w:rsid w:val="003B04C6"/>
    <w:rsid w:val="003B0790"/>
    <w:rsid w:val="003B4D3D"/>
    <w:rsid w:val="003B55B0"/>
    <w:rsid w:val="003B59B7"/>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0900"/>
    <w:rsid w:val="00421E7E"/>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6364"/>
    <w:rsid w:val="00456B16"/>
    <w:rsid w:val="00460BB2"/>
    <w:rsid w:val="00463335"/>
    <w:rsid w:val="0046413C"/>
    <w:rsid w:val="00471413"/>
    <w:rsid w:val="00471E8E"/>
    <w:rsid w:val="00471FD4"/>
    <w:rsid w:val="004721F8"/>
    <w:rsid w:val="00472AD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0653"/>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1992"/>
    <w:rsid w:val="00514461"/>
    <w:rsid w:val="00520642"/>
    <w:rsid w:val="005248D9"/>
    <w:rsid w:val="00525ABA"/>
    <w:rsid w:val="00531918"/>
    <w:rsid w:val="00533AE2"/>
    <w:rsid w:val="00535396"/>
    <w:rsid w:val="00535AFE"/>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0F4F"/>
    <w:rsid w:val="005B2589"/>
    <w:rsid w:val="005B2D92"/>
    <w:rsid w:val="005B44F1"/>
    <w:rsid w:val="005C1138"/>
    <w:rsid w:val="005C1721"/>
    <w:rsid w:val="005C1A08"/>
    <w:rsid w:val="005C3DE2"/>
    <w:rsid w:val="005C422D"/>
    <w:rsid w:val="005C68FC"/>
    <w:rsid w:val="005D3032"/>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2F0"/>
    <w:rsid w:val="005F7078"/>
    <w:rsid w:val="006078FB"/>
    <w:rsid w:val="00610220"/>
    <w:rsid w:val="006104CF"/>
    <w:rsid w:val="00612F85"/>
    <w:rsid w:val="006162B3"/>
    <w:rsid w:val="0061643A"/>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518B"/>
    <w:rsid w:val="00666919"/>
    <w:rsid w:val="00672E7C"/>
    <w:rsid w:val="00675D60"/>
    <w:rsid w:val="00677CDB"/>
    <w:rsid w:val="00685BA7"/>
    <w:rsid w:val="00687887"/>
    <w:rsid w:val="006910A3"/>
    <w:rsid w:val="00692AB4"/>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06E2"/>
    <w:rsid w:val="00721E35"/>
    <w:rsid w:val="00722A85"/>
    <w:rsid w:val="007254D8"/>
    <w:rsid w:val="007271A3"/>
    <w:rsid w:val="00735190"/>
    <w:rsid w:val="00735B88"/>
    <w:rsid w:val="007379E1"/>
    <w:rsid w:val="00742C58"/>
    <w:rsid w:val="00743FAE"/>
    <w:rsid w:val="00746A06"/>
    <w:rsid w:val="00747685"/>
    <w:rsid w:val="00747CA7"/>
    <w:rsid w:val="0075000A"/>
    <w:rsid w:val="007509AD"/>
    <w:rsid w:val="007517A1"/>
    <w:rsid w:val="00754D91"/>
    <w:rsid w:val="007637C5"/>
    <w:rsid w:val="00764DC9"/>
    <w:rsid w:val="00765DBA"/>
    <w:rsid w:val="007739E4"/>
    <w:rsid w:val="00774629"/>
    <w:rsid w:val="007774FE"/>
    <w:rsid w:val="0078282A"/>
    <w:rsid w:val="00784D80"/>
    <w:rsid w:val="007852F2"/>
    <w:rsid w:val="00790515"/>
    <w:rsid w:val="00790CBC"/>
    <w:rsid w:val="00790EC3"/>
    <w:rsid w:val="00791740"/>
    <w:rsid w:val="0079178C"/>
    <w:rsid w:val="00792643"/>
    <w:rsid w:val="00793B05"/>
    <w:rsid w:val="00794290"/>
    <w:rsid w:val="00794AED"/>
    <w:rsid w:val="00797DD5"/>
    <w:rsid w:val="007A03C8"/>
    <w:rsid w:val="007A33A6"/>
    <w:rsid w:val="007A6E0B"/>
    <w:rsid w:val="007B01C7"/>
    <w:rsid w:val="007B24E2"/>
    <w:rsid w:val="007B2A87"/>
    <w:rsid w:val="007B5C03"/>
    <w:rsid w:val="007C1F6E"/>
    <w:rsid w:val="007C6A2B"/>
    <w:rsid w:val="007D318C"/>
    <w:rsid w:val="007D5A75"/>
    <w:rsid w:val="007E0D20"/>
    <w:rsid w:val="007E11AB"/>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572AE"/>
    <w:rsid w:val="008620B7"/>
    <w:rsid w:val="00863AA2"/>
    <w:rsid w:val="008648A9"/>
    <w:rsid w:val="00866DC4"/>
    <w:rsid w:val="00871823"/>
    <w:rsid w:val="008728F9"/>
    <w:rsid w:val="008729A4"/>
    <w:rsid w:val="0087342B"/>
    <w:rsid w:val="00873FC9"/>
    <w:rsid w:val="00874477"/>
    <w:rsid w:val="008768A4"/>
    <w:rsid w:val="008844F1"/>
    <w:rsid w:val="00884552"/>
    <w:rsid w:val="008858C7"/>
    <w:rsid w:val="00892A5D"/>
    <w:rsid w:val="00893ACF"/>
    <w:rsid w:val="008A2DD0"/>
    <w:rsid w:val="008A52FB"/>
    <w:rsid w:val="008A7D0C"/>
    <w:rsid w:val="008B2331"/>
    <w:rsid w:val="008B4030"/>
    <w:rsid w:val="008B5A3F"/>
    <w:rsid w:val="008B5C45"/>
    <w:rsid w:val="008B6836"/>
    <w:rsid w:val="008C0B64"/>
    <w:rsid w:val="008C214E"/>
    <w:rsid w:val="008C2C8E"/>
    <w:rsid w:val="008C3D69"/>
    <w:rsid w:val="008C49CB"/>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3D5F"/>
    <w:rsid w:val="009D6173"/>
    <w:rsid w:val="009E2A1B"/>
    <w:rsid w:val="009E3E4D"/>
    <w:rsid w:val="009E4086"/>
    <w:rsid w:val="009E4D6D"/>
    <w:rsid w:val="009E5CCE"/>
    <w:rsid w:val="009F01C3"/>
    <w:rsid w:val="009F1C25"/>
    <w:rsid w:val="009F6609"/>
    <w:rsid w:val="009F6853"/>
    <w:rsid w:val="00A00040"/>
    <w:rsid w:val="00A031B0"/>
    <w:rsid w:val="00A03519"/>
    <w:rsid w:val="00A03C42"/>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97E1A"/>
    <w:rsid w:val="00AA2923"/>
    <w:rsid w:val="00AA4991"/>
    <w:rsid w:val="00AA5E69"/>
    <w:rsid w:val="00AA7135"/>
    <w:rsid w:val="00AB18EE"/>
    <w:rsid w:val="00AB23E5"/>
    <w:rsid w:val="00AB2B8C"/>
    <w:rsid w:val="00AB4281"/>
    <w:rsid w:val="00AB48EE"/>
    <w:rsid w:val="00AB4D65"/>
    <w:rsid w:val="00AB64E0"/>
    <w:rsid w:val="00AB6725"/>
    <w:rsid w:val="00AB71C1"/>
    <w:rsid w:val="00AC007D"/>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14F1F"/>
    <w:rsid w:val="00B17AC0"/>
    <w:rsid w:val="00B24C10"/>
    <w:rsid w:val="00B26D1E"/>
    <w:rsid w:val="00B32ABB"/>
    <w:rsid w:val="00B32E1C"/>
    <w:rsid w:val="00B40A00"/>
    <w:rsid w:val="00B43813"/>
    <w:rsid w:val="00B44E0F"/>
    <w:rsid w:val="00B44E2B"/>
    <w:rsid w:val="00B47DA5"/>
    <w:rsid w:val="00B53CB2"/>
    <w:rsid w:val="00B574D0"/>
    <w:rsid w:val="00B57588"/>
    <w:rsid w:val="00B618FA"/>
    <w:rsid w:val="00B61C02"/>
    <w:rsid w:val="00B641B2"/>
    <w:rsid w:val="00B72DB2"/>
    <w:rsid w:val="00B74341"/>
    <w:rsid w:val="00B76427"/>
    <w:rsid w:val="00B778ED"/>
    <w:rsid w:val="00B77FEE"/>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05"/>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26777"/>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659F5"/>
    <w:rsid w:val="00D805D3"/>
    <w:rsid w:val="00D85385"/>
    <w:rsid w:val="00D92045"/>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24E29"/>
    <w:rsid w:val="00E3113A"/>
    <w:rsid w:val="00E34ECF"/>
    <w:rsid w:val="00E35D43"/>
    <w:rsid w:val="00E35D71"/>
    <w:rsid w:val="00E46554"/>
    <w:rsid w:val="00E46C36"/>
    <w:rsid w:val="00E47427"/>
    <w:rsid w:val="00E47E94"/>
    <w:rsid w:val="00E5651F"/>
    <w:rsid w:val="00E57C3E"/>
    <w:rsid w:val="00E65340"/>
    <w:rsid w:val="00E66004"/>
    <w:rsid w:val="00E668BC"/>
    <w:rsid w:val="00E7004C"/>
    <w:rsid w:val="00E70F81"/>
    <w:rsid w:val="00E720D5"/>
    <w:rsid w:val="00E72DD6"/>
    <w:rsid w:val="00E7401A"/>
    <w:rsid w:val="00E76B87"/>
    <w:rsid w:val="00E7783D"/>
    <w:rsid w:val="00E814FF"/>
    <w:rsid w:val="00E86128"/>
    <w:rsid w:val="00E91BA9"/>
    <w:rsid w:val="00E963B6"/>
    <w:rsid w:val="00E973A0"/>
    <w:rsid w:val="00EA09FC"/>
    <w:rsid w:val="00EA6DEF"/>
    <w:rsid w:val="00EA7011"/>
    <w:rsid w:val="00EB39F6"/>
    <w:rsid w:val="00EB3C8E"/>
    <w:rsid w:val="00EB4DA0"/>
    <w:rsid w:val="00EB6851"/>
    <w:rsid w:val="00EC23F0"/>
    <w:rsid w:val="00EC5CA2"/>
    <w:rsid w:val="00EC6633"/>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7EDF"/>
    <w:rsid w:val="00F01357"/>
    <w:rsid w:val="00F03105"/>
    <w:rsid w:val="00F03199"/>
    <w:rsid w:val="00F04891"/>
    <w:rsid w:val="00F06C2A"/>
    <w:rsid w:val="00F0718C"/>
    <w:rsid w:val="00F12448"/>
    <w:rsid w:val="00F12EB7"/>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52ACA"/>
    <w:rsid w:val="00F60496"/>
    <w:rsid w:val="00F604F7"/>
    <w:rsid w:val="00F619D6"/>
    <w:rsid w:val="00F622FC"/>
    <w:rsid w:val="00F6531C"/>
    <w:rsid w:val="00F655E2"/>
    <w:rsid w:val="00F66BC7"/>
    <w:rsid w:val="00F674B6"/>
    <w:rsid w:val="00F7035C"/>
    <w:rsid w:val="00F7117D"/>
    <w:rsid w:val="00F71E26"/>
    <w:rsid w:val="00F723A7"/>
    <w:rsid w:val="00F73FE6"/>
    <w:rsid w:val="00F777A7"/>
    <w:rsid w:val="00F8284F"/>
    <w:rsid w:val="00F82A11"/>
    <w:rsid w:val="00F8337F"/>
    <w:rsid w:val="00F86384"/>
    <w:rsid w:val="00F92593"/>
    <w:rsid w:val="00F96059"/>
    <w:rsid w:val="00F96E6C"/>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E7320"/>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E9A30F3"/>
  <w15:docId w15:val="{97E64DF9-E0D9-4FFA-BEC4-814058E7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E1A"/>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EF7EDF"/>
    <w:rPr>
      <w:sz w:val="16"/>
      <w:szCs w:val="16"/>
    </w:rPr>
  </w:style>
  <w:style w:type="paragraph" w:styleId="CommentText">
    <w:name w:val="annotation text"/>
    <w:basedOn w:val="Normal"/>
    <w:link w:val="CommentTextChar"/>
    <w:uiPriority w:val="99"/>
    <w:semiHidden/>
    <w:unhideWhenUsed/>
    <w:rsid w:val="00EF7EDF"/>
    <w:rPr>
      <w:sz w:val="20"/>
      <w:szCs w:val="20"/>
    </w:rPr>
  </w:style>
  <w:style w:type="character" w:customStyle="1" w:styleId="CommentTextChar">
    <w:name w:val="Comment Text Char"/>
    <w:basedOn w:val="DefaultParagraphFont"/>
    <w:link w:val="CommentText"/>
    <w:uiPriority w:val="99"/>
    <w:semiHidden/>
    <w:rsid w:val="00EF7EDF"/>
  </w:style>
  <w:style w:type="paragraph" w:styleId="CommentSubject">
    <w:name w:val="annotation subject"/>
    <w:basedOn w:val="CommentText"/>
    <w:next w:val="CommentText"/>
    <w:link w:val="CommentSubjectChar"/>
    <w:uiPriority w:val="99"/>
    <w:semiHidden/>
    <w:unhideWhenUsed/>
    <w:rsid w:val="00EF7EDF"/>
    <w:rPr>
      <w:b/>
      <w:bCs/>
    </w:rPr>
  </w:style>
  <w:style w:type="character" w:customStyle="1" w:styleId="CommentSubjectChar">
    <w:name w:val="Comment Subject Char"/>
    <w:basedOn w:val="CommentTextChar"/>
    <w:link w:val="CommentSubject"/>
    <w:uiPriority w:val="99"/>
    <w:semiHidden/>
    <w:rsid w:val="00EF7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214C6A4E2CF4BA7A101B5F8FD1F57" ma:contentTypeVersion="0" ma:contentTypeDescription="Create a new document." ma:contentTypeScope="" ma:versionID="36f76348c0fe9fe5e608cf50c40986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09FB585-D41F-4D08-A53F-59F762927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710068-DC8D-4EB0-8963-A550BB2C2805}">
  <ds:schemaRefs>
    <ds:schemaRef ds:uri="http://schemas.microsoft.com/sharepoint/v3/contenttype/forms"/>
  </ds:schemaRefs>
</ds:datastoreItem>
</file>

<file path=customXml/itemProps3.xml><?xml version="1.0" encoding="utf-8"?>
<ds:datastoreItem xmlns:ds="http://schemas.openxmlformats.org/officeDocument/2006/customXml" ds:itemID="{307A6197-D5A2-4CB5-B665-0DE658660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AA674D-457C-44E3-90F7-381DC875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806</Words>
  <Characters>4211</Characters>
  <Application>Microsoft Office Word</Application>
  <DocSecurity>0</DocSecurity>
  <Lines>145</Lines>
  <Paragraphs>100</Paragraphs>
  <ScaleCrop>false</ScaleCrop>
  <HeadingPairs>
    <vt:vector size="2" baseType="variant">
      <vt:variant>
        <vt:lpstr>Title</vt:lpstr>
      </vt:variant>
      <vt:variant>
        <vt:i4>1</vt:i4>
      </vt:variant>
    </vt:vector>
  </HeadingPairs>
  <TitlesOfParts>
    <vt:vector size="1" baseType="lpstr">
      <vt:lpstr>FESHM 5032.3</vt:lpstr>
    </vt:vector>
  </TitlesOfParts>
  <Company>Fermilab</Company>
  <LinksUpToDate>false</LinksUpToDate>
  <CharactersWithSpaces>4917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5032.3</dc:title>
  <dc:subject>Transporting Gasses in Building Elevators</dc:subject>
  <dc:creator>Michael Geynisman;soyars@fnal.gov</dc:creator>
  <cp:lastModifiedBy>T.J. Sarlina x5741</cp:lastModifiedBy>
  <cp:revision>14</cp:revision>
  <cp:lastPrinted>2014-08-05T16:16:00Z</cp:lastPrinted>
  <dcterms:created xsi:type="dcterms:W3CDTF">2014-10-20T18:37:00Z</dcterms:created>
  <dcterms:modified xsi:type="dcterms:W3CDTF">2018-01-12T21:02:00Z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0x0101009C3214C6A4E2CF4BA7A101B5F8FD1F57</vt:lpwstr>
  </property>
</Properties>
</file>