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0EDDF" w14:textId="77777777" w:rsidR="00142C80" w:rsidRDefault="00142C80" w:rsidP="00142C80">
      <w:pPr>
        <w:jc w:val="center"/>
        <w:rPr>
          <w:b/>
          <w:sz w:val="28"/>
          <w:szCs w:val="28"/>
        </w:rPr>
      </w:pPr>
    </w:p>
    <w:p w14:paraId="576326E5" w14:textId="77777777" w:rsidR="00142C80" w:rsidRDefault="00142C80" w:rsidP="00544325">
      <w:pPr>
        <w:rPr>
          <w:b/>
          <w:sz w:val="28"/>
          <w:szCs w:val="28"/>
        </w:rPr>
      </w:pPr>
    </w:p>
    <w:p w14:paraId="11D80D6A" w14:textId="435C6542" w:rsidR="00AB4D65" w:rsidRPr="00AB4D65" w:rsidRDefault="004F254C" w:rsidP="00AB4D65">
      <w:pPr>
        <w:ind w:right="36"/>
        <w:jc w:val="center"/>
        <w:rPr>
          <w:color w:val="000000"/>
          <w:sz w:val="36"/>
          <w:szCs w:val="36"/>
        </w:rPr>
      </w:pPr>
      <w:r w:rsidRPr="00AB4D65">
        <w:rPr>
          <w:color w:val="000000"/>
          <w:sz w:val="36"/>
          <w:szCs w:val="36"/>
        </w:rPr>
        <w:t xml:space="preserve">FESHM </w:t>
      </w:r>
      <w:r w:rsidR="00970F42">
        <w:rPr>
          <w:color w:val="000000"/>
          <w:sz w:val="36"/>
          <w:szCs w:val="36"/>
        </w:rPr>
        <w:t>4320</w:t>
      </w:r>
      <w:r w:rsidRPr="00AB4D65">
        <w:rPr>
          <w:color w:val="000000"/>
          <w:sz w:val="36"/>
          <w:szCs w:val="36"/>
        </w:rPr>
        <w:t xml:space="preserve">: </w:t>
      </w:r>
      <w:r w:rsidR="00970F42">
        <w:rPr>
          <w:color w:val="000000"/>
          <w:sz w:val="36"/>
          <w:szCs w:val="36"/>
        </w:rPr>
        <w:t>RADIO FREQUENCY HAZARDS</w:t>
      </w:r>
    </w:p>
    <w:p w14:paraId="6B0A7E6A" w14:textId="77777777" w:rsidR="00142C80" w:rsidRDefault="00142C80" w:rsidP="00544325">
      <w:pPr>
        <w:rPr>
          <w:b/>
          <w:sz w:val="28"/>
          <w:szCs w:val="28"/>
        </w:rPr>
      </w:pPr>
    </w:p>
    <w:p w14:paraId="0CA08FEA" w14:textId="77777777" w:rsidR="00142C80" w:rsidRDefault="00142C80" w:rsidP="00142C80">
      <w:pPr>
        <w:jc w:val="center"/>
        <w:rPr>
          <w:b/>
          <w:sz w:val="28"/>
          <w:szCs w:val="28"/>
        </w:rPr>
      </w:pPr>
    </w:p>
    <w:p w14:paraId="06BDAA9A" w14:textId="77777777" w:rsidR="00142C80" w:rsidRDefault="00142C80" w:rsidP="00142C80">
      <w:pPr>
        <w:jc w:val="center"/>
        <w:rPr>
          <w:b/>
          <w:sz w:val="28"/>
          <w:szCs w:val="28"/>
        </w:rPr>
      </w:pPr>
    </w:p>
    <w:p w14:paraId="354677F7" w14:textId="77777777" w:rsidR="00DB5D5A" w:rsidRPr="008B60C4" w:rsidRDefault="00743FAE" w:rsidP="00DB5D5A">
      <w:pPr>
        <w:ind w:right="-140"/>
        <w:jc w:val="center"/>
        <w:rPr>
          <w:b/>
          <w:color w:val="000000"/>
        </w:rPr>
      </w:pPr>
      <w:r>
        <w:rPr>
          <w:b/>
          <w:color w:val="000000"/>
        </w:rPr>
        <w:t>Revision History</w:t>
      </w:r>
    </w:p>
    <w:p w14:paraId="6B750409"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6AE9AFCA" w14:textId="77777777" w:rsidTr="00880F07">
        <w:tc>
          <w:tcPr>
            <w:tcW w:w="2088" w:type="dxa"/>
          </w:tcPr>
          <w:p w14:paraId="0328CE26" w14:textId="77777777" w:rsidR="00743FAE" w:rsidRPr="00D115E0" w:rsidRDefault="00743FAE" w:rsidP="00897B1F">
            <w:pPr>
              <w:tabs>
                <w:tab w:val="left" w:pos="720"/>
              </w:tabs>
              <w:jc w:val="center"/>
              <w:rPr>
                <w:b/>
              </w:rPr>
            </w:pPr>
            <w:r w:rsidRPr="00D115E0">
              <w:rPr>
                <w:b/>
              </w:rPr>
              <w:t>Author</w:t>
            </w:r>
          </w:p>
        </w:tc>
        <w:tc>
          <w:tcPr>
            <w:tcW w:w="4500" w:type="dxa"/>
          </w:tcPr>
          <w:p w14:paraId="4F794B77" w14:textId="77777777" w:rsidR="00743FAE" w:rsidRPr="00D115E0" w:rsidRDefault="00743FAE" w:rsidP="00897B1F">
            <w:pPr>
              <w:tabs>
                <w:tab w:val="left" w:pos="720"/>
              </w:tabs>
              <w:jc w:val="center"/>
              <w:rPr>
                <w:b/>
              </w:rPr>
            </w:pPr>
            <w:r w:rsidRPr="00D115E0">
              <w:rPr>
                <w:b/>
              </w:rPr>
              <w:t>Description of Change</w:t>
            </w:r>
          </w:p>
        </w:tc>
        <w:tc>
          <w:tcPr>
            <w:tcW w:w="2700" w:type="dxa"/>
          </w:tcPr>
          <w:p w14:paraId="7B50EEE5" w14:textId="77777777" w:rsidR="00743FAE" w:rsidRPr="00D115E0" w:rsidRDefault="00743FAE" w:rsidP="00880F07">
            <w:pPr>
              <w:tabs>
                <w:tab w:val="left" w:pos="720"/>
              </w:tabs>
              <w:jc w:val="center"/>
              <w:rPr>
                <w:b/>
              </w:rPr>
            </w:pPr>
            <w:r w:rsidRPr="00D115E0">
              <w:rPr>
                <w:b/>
              </w:rPr>
              <w:t>Revision Date</w:t>
            </w:r>
          </w:p>
        </w:tc>
      </w:tr>
      <w:tr w:rsidR="00880F07" w:rsidRPr="00E331D3" w14:paraId="1F5B75ED" w14:textId="77777777" w:rsidTr="00880F07">
        <w:tc>
          <w:tcPr>
            <w:tcW w:w="2088" w:type="dxa"/>
          </w:tcPr>
          <w:p w14:paraId="2209C81A" w14:textId="3B6EC1D0" w:rsidR="00880F07" w:rsidRDefault="00970F42" w:rsidP="00D115E0">
            <w:pPr>
              <w:tabs>
                <w:tab w:val="left" w:pos="720"/>
              </w:tabs>
              <w:jc w:val="left"/>
              <w:rPr>
                <w:szCs w:val="22"/>
              </w:rPr>
            </w:pPr>
            <w:r>
              <w:rPr>
                <w:szCs w:val="22"/>
              </w:rPr>
              <w:t>Matthew Spaw</w:t>
            </w:r>
          </w:p>
        </w:tc>
        <w:tc>
          <w:tcPr>
            <w:tcW w:w="4500" w:type="dxa"/>
            <w:vAlign w:val="bottom"/>
          </w:tcPr>
          <w:p w14:paraId="15E03893" w14:textId="48100A1F" w:rsidR="00880F07" w:rsidRPr="00970F42" w:rsidRDefault="005C7062" w:rsidP="00970F42">
            <w:pPr>
              <w:tabs>
                <w:tab w:val="left" w:pos="324"/>
              </w:tabs>
              <w:rPr>
                <w:szCs w:val="22"/>
              </w:rPr>
            </w:pPr>
            <w:r>
              <w:rPr>
                <w:szCs w:val="22"/>
              </w:rPr>
              <w:t>Initial Release</w:t>
            </w:r>
          </w:p>
        </w:tc>
        <w:tc>
          <w:tcPr>
            <w:tcW w:w="2700" w:type="dxa"/>
          </w:tcPr>
          <w:p w14:paraId="55E723F6" w14:textId="0396012B" w:rsidR="00880F07" w:rsidRDefault="005C7062" w:rsidP="005C7062">
            <w:pPr>
              <w:tabs>
                <w:tab w:val="left" w:pos="720"/>
              </w:tabs>
              <w:jc w:val="center"/>
              <w:rPr>
                <w:szCs w:val="22"/>
              </w:rPr>
            </w:pPr>
            <w:r>
              <w:rPr>
                <w:szCs w:val="22"/>
              </w:rPr>
              <w:t>June</w:t>
            </w:r>
            <w:r w:rsidR="00970F42">
              <w:rPr>
                <w:szCs w:val="22"/>
              </w:rPr>
              <w:t xml:space="preserve"> 2020</w:t>
            </w:r>
          </w:p>
        </w:tc>
      </w:tr>
      <w:tr w:rsidR="00743FAE" w:rsidRPr="00E331D3" w14:paraId="072741FA" w14:textId="77777777" w:rsidTr="00880F07">
        <w:tc>
          <w:tcPr>
            <w:tcW w:w="2088" w:type="dxa"/>
          </w:tcPr>
          <w:p w14:paraId="12C7CB9C" w14:textId="09D33A60" w:rsidR="00743FAE" w:rsidRPr="00E331D3" w:rsidRDefault="00743FAE" w:rsidP="00D115E0">
            <w:pPr>
              <w:tabs>
                <w:tab w:val="left" w:pos="720"/>
              </w:tabs>
              <w:jc w:val="left"/>
            </w:pPr>
          </w:p>
        </w:tc>
        <w:tc>
          <w:tcPr>
            <w:tcW w:w="4500" w:type="dxa"/>
            <w:vAlign w:val="bottom"/>
          </w:tcPr>
          <w:p w14:paraId="15DAD03A" w14:textId="538AAB1C" w:rsidR="00743FAE" w:rsidRPr="00E331D3" w:rsidRDefault="00743FAE" w:rsidP="00743FAE">
            <w:pPr>
              <w:tabs>
                <w:tab w:val="left" w:pos="720"/>
              </w:tabs>
            </w:pPr>
          </w:p>
        </w:tc>
        <w:tc>
          <w:tcPr>
            <w:tcW w:w="2700" w:type="dxa"/>
          </w:tcPr>
          <w:p w14:paraId="06730F86" w14:textId="1C285D29" w:rsidR="00743FAE" w:rsidRPr="00E331D3" w:rsidRDefault="00743FAE" w:rsidP="00880F07">
            <w:pPr>
              <w:tabs>
                <w:tab w:val="left" w:pos="720"/>
              </w:tabs>
              <w:jc w:val="left"/>
            </w:pPr>
          </w:p>
        </w:tc>
      </w:tr>
    </w:tbl>
    <w:p w14:paraId="65A8E1AB" w14:textId="77777777" w:rsidR="00142C80" w:rsidRDefault="00142C80" w:rsidP="00142C80">
      <w:pPr>
        <w:jc w:val="center"/>
        <w:rPr>
          <w:b/>
          <w:sz w:val="28"/>
          <w:szCs w:val="28"/>
        </w:rPr>
      </w:pPr>
    </w:p>
    <w:p w14:paraId="1AE65CF4" w14:textId="77777777" w:rsidR="00142C80" w:rsidRDefault="00142C80" w:rsidP="00142C80">
      <w:pPr>
        <w:jc w:val="center"/>
        <w:rPr>
          <w:b/>
          <w:sz w:val="28"/>
          <w:szCs w:val="28"/>
        </w:rPr>
      </w:pPr>
    </w:p>
    <w:p w14:paraId="1288AB79" w14:textId="77777777" w:rsidR="00142C80" w:rsidRDefault="00142C80" w:rsidP="00142C80">
      <w:pPr>
        <w:jc w:val="center"/>
        <w:rPr>
          <w:b/>
          <w:sz w:val="28"/>
          <w:szCs w:val="28"/>
        </w:rPr>
      </w:pPr>
    </w:p>
    <w:p w14:paraId="20270897" w14:textId="77777777" w:rsidR="00142C80" w:rsidRDefault="00142C80" w:rsidP="00142C80">
      <w:pPr>
        <w:jc w:val="center"/>
        <w:rPr>
          <w:b/>
          <w:sz w:val="28"/>
          <w:szCs w:val="28"/>
        </w:rPr>
      </w:pPr>
    </w:p>
    <w:p w14:paraId="14815536" w14:textId="77777777" w:rsidR="008648A9" w:rsidRDefault="008648A9" w:rsidP="00142C80">
      <w:pPr>
        <w:jc w:val="left"/>
        <w:rPr>
          <w:b/>
          <w:sz w:val="28"/>
          <w:szCs w:val="28"/>
        </w:rPr>
      </w:pPr>
    </w:p>
    <w:p w14:paraId="40AEAF9D" w14:textId="77777777" w:rsidR="008648A9" w:rsidRDefault="008648A9" w:rsidP="00142C80">
      <w:pPr>
        <w:jc w:val="left"/>
        <w:rPr>
          <w:b/>
          <w:sz w:val="28"/>
          <w:szCs w:val="28"/>
        </w:rPr>
      </w:pPr>
    </w:p>
    <w:p w14:paraId="08940051" w14:textId="77777777" w:rsidR="008648A9" w:rsidRDefault="008648A9" w:rsidP="008648A9">
      <w:pPr>
        <w:jc w:val="left"/>
        <w:rPr>
          <w:b/>
          <w:sz w:val="28"/>
          <w:szCs w:val="28"/>
        </w:rPr>
        <w:sectPr w:rsidR="008648A9" w:rsidSect="001A7E90">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652CF405" w14:textId="77777777" w:rsidR="002355E5" w:rsidRDefault="002355E5" w:rsidP="001A2CF3">
      <w:pPr>
        <w:jc w:val="center"/>
        <w:rPr>
          <w:b/>
          <w:sz w:val="28"/>
          <w:szCs w:val="28"/>
        </w:rPr>
      </w:pPr>
    </w:p>
    <w:p w14:paraId="30DCD494" w14:textId="06A4390A" w:rsidR="00A96FFC" w:rsidRPr="001A2CF3" w:rsidRDefault="00A96FFC" w:rsidP="001A2CF3">
      <w:pPr>
        <w:jc w:val="center"/>
        <w:rPr>
          <w:b/>
          <w:sz w:val="28"/>
          <w:szCs w:val="28"/>
        </w:rPr>
      </w:pPr>
      <w:r w:rsidRPr="001A2CF3">
        <w:rPr>
          <w:b/>
          <w:sz w:val="28"/>
          <w:szCs w:val="28"/>
        </w:rPr>
        <w:t>TABLE OF CONTENTS</w:t>
      </w:r>
    </w:p>
    <w:p w14:paraId="22D4119A" w14:textId="77777777" w:rsidR="00A96FFC" w:rsidRDefault="00A96FFC">
      <w:pPr>
        <w:rPr>
          <w:bCs/>
        </w:rPr>
      </w:pPr>
    </w:p>
    <w:p w14:paraId="2F99DDD6" w14:textId="753B6106" w:rsidR="000E216F"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3813884" w:history="1">
        <w:r w:rsidR="000E216F" w:rsidRPr="00E54339">
          <w:rPr>
            <w:rStyle w:val="Hyperlink"/>
            <w:rFonts w:ascii="Times New Roman Bold" w:hAnsi="Times New Roman Bold"/>
            <w:noProof/>
          </w:rPr>
          <w:t>1.0</w:t>
        </w:r>
        <w:r w:rsidR="000E216F">
          <w:rPr>
            <w:rFonts w:asciiTheme="minorHAnsi" w:eastAsiaTheme="minorEastAsia" w:hAnsiTheme="minorHAnsi" w:cstheme="minorBidi"/>
            <w:noProof/>
            <w:sz w:val="22"/>
            <w:szCs w:val="22"/>
          </w:rPr>
          <w:tab/>
        </w:r>
        <w:r w:rsidR="000E216F" w:rsidRPr="00E54339">
          <w:rPr>
            <w:rStyle w:val="Hyperlink"/>
            <w:noProof/>
          </w:rPr>
          <w:t>INTRODUCTION AND SCOPE</w:t>
        </w:r>
        <w:r w:rsidR="000E216F">
          <w:rPr>
            <w:noProof/>
            <w:webHidden/>
          </w:rPr>
          <w:tab/>
        </w:r>
        <w:r w:rsidR="000E216F">
          <w:rPr>
            <w:noProof/>
            <w:webHidden/>
          </w:rPr>
          <w:fldChar w:fldCharType="begin"/>
        </w:r>
        <w:r w:rsidR="000E216F">
          <w:rPr>
            <w:noProof/>
            <w:webHidden/>
          </w:rPr>
          <w:instrText xml:space="preserve"> PAGEREF _Toc43813884 \h </w:instrText>
        </w:r>
        <w:r w:rsidR="000E216F">
          <w:rPr>
            <w:noProof/>
            <w:webHidden/>
          </w:rPr>
        </w:r>
        <w:r w:rsidR="000E216F">
          <w:rPr>
            <w:noProof/>
            <w:webHidden/>
          </w:rPr>
          <w:fldChar w:fldCharType="separate"/>
        </w:r>
        <w:r w:rsidR="00A068BF">
          <w:rPr>
            <w:noProof/>
            <w:webHidden/>
          </w:rPr>
          <w:t>2</w:t>
        </w:r>
        <w:r w:rsidR="000E216F">
          <w:rPr>
            <w:noProof/>
            <w:webHidden/>
          </w:rPr>
          <w:fldChar w:fldCharType="end"/>
        </w:r>
      </w:hyperlink>
    </w:p>
    <w:p w14:paraId="3CE02825" w14:textId="76B8AB6A" w:rsidR="000E216F" w:rsidRDefault="00CE6F9F">
      <w:pPr>
        <w:pStyle w:val="TOC1"/>
        <w:rPr>
          <w:rFonts w:asciiTheme="minorHAnsi" w:eastAsiaTheme="minorEastAsia" w:hAnsiTheme="minorHAnsi" w:cstheme="minorBidi"/>
          <w:noProof/>
          <w:sz w:val="22"/>
          <w:szCs w:val="22"/>
        </w:rPr>
      </w:pPr>
      <w:hyperlink w:anchor="_Toc43813885" w:history="1">
        <w:r w:rsidR="000E216F" w:rsidRPr="00E54339">
          <w:rPr>
            <w:rStyle w:val="Hyperlink"/>
            <w:rFonts w:ascii="Times New Roman Bold" w:hAnsi="Times New Roman Bold"/>
            <w:noProof/>
          </w:rPr>
          <w:t>2.0</w:t>
        </w:r>
        <w:r w:rsidR="000E216F">
          <w:rPr>
            <w:rFonts w:asciiTheme="minorHAnsi" w:eastAsiaTheme="minorEastAsia" w:hAnsiTheme="minorHAnsi" w:cstheme="minorBidi"/>
            <w:noProof/>
            <w:sz w:val="22"/>
            <w:szCs w:val="22"/>
          </w:rPr>
          <w:tab/>
        </w:r>
        <w:r w:rsidR="000E216F" w:rsidRPr="00E54339">
          <w:rPr>
            <w:rStyle w:val="Hyperlink"/>
            <w:noProof/>
          </w:rPr>
          <w:t>DEFINITIONS</w:t>
        </w:r>
        <w:r w:rsidR="000E216F">
          <w:rPr>
            <w:noProof/>
            <w:webHidden/>
          </w:rPr>
          <w:tab/>
        </w:r>
        <w:r w:rsidR="000E216F">
          <w:rPr>
            <w:noProof/>
            <w:webHidden/>
          </w:rPr>
          <w:fldChar w:fldCharType="begin"/>
        </w:r>
        <w:r w:rsidR="000E216F">
          <w:rPr>
            <w:noProof/>
            <w:webHidden/>
          </w:rPr>
          <w:instrText xml:space="preserve"> PAGEREF _Toc43813885 \h </w:instrText>
        </w:r>
        <w:r w:rsidR="000E216F">
          <w:rPr>
            <w:noProof/>
            <w:webHidden/>
          </w:rPr>
        </w:r>
        <w:r w:rsidR="000E216F">
          <w:rPr>
            <w:noProof/>
            <w:webHidden/>
          </w:rPr>
          <w:fldChar w:fldCharType="separate"/>
        </w:r>
        <w:r w:rsidR="00A068BF">
          <w:rPr>
            <w:noProof/>
            <w:webHidden/>
          </w:rPr>
          <w:t>2</w:t>
        </w:r>
        <w:r w:rsidR="000E216F">
          <w:rPr>
            <w:noProof/>
            <w:webHidden/>
          </w:rPr>
          <w:fldChar w:fldCharType="end"/>
        </w:r>
      </w:hyperlink>
    </w:p>
    <w:p w14:paraId="7E70DF44" w14:textId="5CC37F14" w:rsidR="000E216F" w:rsidRDefault="00CE6F9F">
      <w:pPr>
        <w:pStyle w:val="TOC1"/>
        <w:rPr>
          <w:rFonts w:asciiTheme="minorHAnsi" w:eastAsiaTheme="minorEastAsia" w:hAnsiTheme="minorHAnsi" w:cstheme="minorBidi"/>
          <w:noProof/>
          <w:sz w:val="22"/>
          <w:szCs w:val="22"/>
        </w:rPr>
      </w:pPr>
      <w:hyperlink w:anchor="_Toc43813886" w:history="1">
        <w:r w:rsidR="000E216F" w:rsidRPr="00E54339">
          <w:rPr>
            <w:rStyle w:val="Hyperlink"/>
            <w:rFonts w:ascii="Times New Roman Bold" w:hAnsi="Times New Roman Bold"/>
            <w:noProof/>
          </w:rPr>
          <w:t>3.0</w:t>
        </w:r>
        <w:r w:rsidR="000E216F">
          <w:rPr>
            <w:rFonts w:asciiTheme="minorHAnsi" w:eastAsiaTheme="minorEastAsia" w:hAnsiTheme="minorHAnsi" w:cstheme="minorBidi"/>
            <w:noProof/>
            <w:sz w:val="22"/>
            <w:szCs w:val="22"/>
          </w:rPr>
          <w:tab/>
        </w:r>
        <w:r w:rsidR="000E216F" w:rsidRPr="00E54339">
          <w:rPr>
            <w:rStyle w:val="Hyperlink"/>
            <w:noProof/>
          </w:rPr>
          <w:t>RESPONSIBILITIES</w:t>
        </w:r>
        <w:r w:rsidR="000E216F">
          <w:rPr>
            <w:noProof/>
            <w:webHidden/>
          </w:rPr>
          <w:tab/>
        </w:r>
        <w:r w:rsidR="000E216F">
          <w:rPr>
            <w:noProof/>
            <w:webHidden/>
          </w:rPr>
          <w:fldChar w:fldCharType="begin"/>
        </w:r>
        <w:r w:rsidR="000E216F">
          <w:rPr>
            <w:noProof/>
            <w:webHidden/>
          </w:rPr>
          <w:instrText xml:space="preserve"> PAGEREF _Toc43813886 \h </w:instrText>
        </w:r>
        <w:r w:rsidR="000E216F">
          <w:rPr>
            <w:noProof/>
            <w:webHidden/>
          </w:rPr>
        </w:r>
        <w:r w:rsidR="000E216F">
          <w:rPr>
            <w:noProof/>
            <w:webHidden/>
          </w:rPr>
          <w:fldChar w:fldCharType="separate"/>
        </w:r>
        <w:r w:rsidR="00A068BF">
          <w:rPr>
            <w:noProof/>
            <w:webHidden/>
          </w:rPr>
          <w:t>3</w:t>
        </w:r>
        <w:r w:rsidR="000E216F">
          <w:rPr>
            <w:noProof/>
            <w:webHidden/>
          </w:rPr>
          <w:fldChar w:fldCharType="end"/>
        </w:r>
      </w:hyperlink>
    </w:p>
    <w:p w14:paraId="4B322D03" w14:textId="35F401DA" w:rsidR="000E216F" w:rsidRDefault="00CE6F9F">
      <w:pPr>
        <w:pStyle w:val="TOC1"/>
        <w:rPr>
          <w:rFonts w:asciiTheme="minorHAnsi" w:eastAsiaTheme="minorEastAsia" w:hAnsiTheme="minorHAnsi" w:cstheme="minorBidi"/>
          <w:noProof/>
          <w:sz w:val="22"/>
          <w:szCs w:val="22"/>
        </w:rPr>
      </w:pPr>
      <w:hyperlink w:anchor="_Toc43813887" w:history="1">
        <w:r w:rsidR="000E216F" w:rsidRPr="00E54339">
          <w:rPr>
            <w:rStyle w:val="Hyperlink"/>
            <w:rFonts w:ascii="Times New Roman Bold" w:hAnsi="Times New Roman Bold"/>
            <w:noProof/>
          </w:rPr>
          <w:t>4.0</w:t>
        </w:r>
        <w:r w:rsidR="000E216F">
          <w:rPr>
            <w:rFonts w:asciiTheme="minorHAnsi" w:eastAsiaTheme="minorEastAsia" w:hAnsiTheme="minorHAnsi" w:cstheme="minorBidi"/>
            <w:noProof/>
            <w:sz w:val="22"/>
            <w:szCs w:val="22"/>
          </w:rPr>
          <w:tab/>
        </w:r>
        <w:r w:rsidR="000E216F" w:rsidRPr="00E54339">
          <w:rPr>
            <w:rStyle w:val="Hyperlink"/>
            <w:noProof/>
          </w:rPr>
          <w:t>PROCEDURES</w:t>
        </w:r>
        <w:r w:rsidR="000E216F">
          <w:rPr>
            <w:noProof/>
            <w:webHidden/>
          </w:rPr>
          <w:tab/>
        </w:r>
        <w:r w:rsidR="000E216F">
          <w:rPr>
            <w:noProof/>
            <w:webHidden/>
          </w:rPr>
          <w:fldChar w:fldCharType="begin"/>
        </w:r>
        <w:r w:rsidR="000E216F">
          <w:rPr>
            <w:noProof/>
            <w:webHidden/>
          </w:rPr>
          <w:instrText xml:space="preserve"> PAGEREF _Toc43813887 \h </w:instrText>
        </w:r>
        <w:r w:rsidR="000E216F">
          <w:rPr>
            <w:noProof/>
            <w:webHidden/>
          </w:rPr>
        </w:r>
        <w:r w:rsidR="000E216F">
          <w:rPr>
            <w:noProof/>
            <w:webHidden/>
          </w:rPr>
          <w:fldChar w:fldCharType="separate"/>
        </w:r>
        <w:r w:rsidR="00A068BF">
          <w:rPr>
            <w:noProof/>
            <w:webHidden/>
          </w:rPr>
          <w:t>3</w:t>
        </w:r>
        <w:r w:rsidR="000E216F">
          <w:rPr>
            <w:noProof/>
            <w:webHidden/>
          </w:rPr>
          <w:fldChar w:fldCharType="end"/>
        </w:r>
      </w:hyperlink>
    </w:p>
    <w:p w14:paraId="5EF5A8ED" w14:textId="7AA4BC16" w:rsidR="000E216F" w:rsidRDefault="00CE6F9F">
      <w:pPr>
        <w:pStyle w:val="TOC2"/>
        <w:rPr>
          <w:rFonts w:asciiTheme="minorHAnsi" w:eastAsiaTheme="minorEastAsia" w:hAnsiTheme="minorHAnsi" w:cstheme="minorBidi"/>
          <w:noProof/>
          <w:sz w:val="22"/>
          <w:szCs w:val="22"/>
        </w:rPr>
      </w:pPr>
      <w:hyperlink w:anchor="_Toc43813888" w:history="1">
        <w:r w:rsidR="000E216F" w:rsidRPr="00E54339">
          <w:rPr>
            <w:rStyle w:val="Hyperlink"/>
            <w:rFonts w:ascii="Times New Roman Bold" w:hAnsi="Times New Roman Bold"/>
            <w:noProof/>
          </w:rPr>
          <w:t>4.1</w:t>
        </w:r>
        <w:r w:rsidR="000E216F">
          <w:rPr>
            <w:rFonts w:asciiTheme="minorHAnsi" w:eastAsiaTheme="minorEastAsia" w:hAnsiTheme="minorHAnsi" w:cstheme="minorBidi"/>
            <w:noProof/>
            <w:sz w:val="22"/>
            <w:szCs w:val="22"/>
          </w:rPr>
          <w:tab/>
        </w:r>
        <w:r w:rsidR="000E216F" w:rsidRPr="00E54339">
          <w:rPr>
            <w:rStyle w:val="Hyperlink"/>
            <w:noProof/>
          </w:rPr>
          <w:t>Industrial Hygiene Survey</w:t>
        </w:r>
        <w:r w:rsidR="000E216F">
          <w:rPr>
            <w:noProof/>
            <w:webHidden/>
          </w:rPr>
          <w:tab/>
        </w:r>
        <w:r w:rsidR="000E216F">
          <w:rPr>
            <w:noProof/>
            <w:webHidden/>
          </w:rPr>
          <w:fldChar w:fldCharType="begin"/>
        </w:r>
        <w:r w:rsidR="000E216F">
          <w:rPr>
            <w:noProof/>
            <w:webHidden/>
          </w:rPr>
          <w:instrText xml:space="preserve"> PAGEREF _Toc43813888 \h </w:instrText>
        </w:r>
        <w:r w:rsidR="000E216F">
          <w:rPr>
            <w:noProof/>
            <w:webHidden/>
          </w:rPr>
        </w:r>
        <w:r w:rsidR="000E216F">
          <w:rPr>
            <w:noProof/>
            <w:webHidden/>
          </w:rPr>
          <w:fldChar w:fldCharType="separate"/>
        </w:r>
        <w:r w:rsidR="00A068BF">
          <w:rPr>
            <w:noProof/>
            <w:webHidden/>
          </w:rPr>
          <w:t>3</w:t>
        </w:r>
        <w:r w:rsidR="000E216F">
          <w:rPr>
            <w:noProof/>
            <w:webHidden/>
          </w:rPr>
          <w:fldChar w:fldCharType="end"/>
        </w:r>
      </w:hyperlink>
    </w:p>
    <w:p w14:paraId="115E67F7" w14:textId="0AAD796E" w:rsidR="000E216F" w:rsidRDefault="00CE6F9F">
      <w:pPr>
        <w:pStyle w:val="TOC2"/>
        <w:rPr>
          <w:rFonts w:asciiTheme="minorHAnsi" w:eastAsiaTheme="minorEastAsia" w:hAnsiTheme="minorHAnsi" w:cstheme="minorBidi"/>
          <w:noProof/>
          <w:sz w:val="22"/>
          <w:szCs w:val="22"/>
        </w:rPr>
      </w:pPr>
      <w:hyperlink w:anchor="_Toc43813889" w:history="1">
        <w:r w:rsidR="000E216F" w:rsidRPr="00E54339">
          <w:rPr>
            <w:rStyle w:val="Hyperlink"/>
            <w:rFonts w:ascii="Times New Roman Bold" w:hAnsi="Times New Roman Bold"/>
            <w:noProof/>
          </w:rPr>
          <w:t>4.2</w:t>
        </w:r>
        <w:r w:rsidR="000E216F">
          <w:rPr>
            <w:rFonts w:asciiTheme="minorHAnsi" w:eastAsiaTheme="minorEastAsia" w:hAnsiTheme="minorHAnsi" w:cstheme="minorBidi"/>
            <w:noProof/>
            <w:sz w:val="22"/>
            <w:szCs w:val="22"/>
          </w:rPr>
          <w:tab/>
        </w:r>
        <w:r w:rsidR="000E216F" w:rsidRPr="00E54339">
          <w:rPr>
            <w:rStyle w:val="Hyperlink"/>
            <w:noProof/>
          </w:rPr>
          <w:t>Controlling Occupational Exposures</w:t>
        </w:r>
        <w:r w:rsidR="000E216F">
          <w:rPr>
            <w:noProof/>
            <w:webHidden/>
          </w:rPr>
          <w:tab/>
        </w:r>
        <w:r w:rsidR="000E216F">
          <w:rPr>
            <w:noProof/>
            <w:webHidden/>
          </w:rPr>
          <w:fldChar w:fldCharType="begin"/>
        </w:r>
        <w:r w:rsidR="000E216F">
          <w:rPr>
            <w:noProof/>
            <w:webHidden/>
          </w:rPr>
          <w:instrText xml:space="preserve"> PAGEREF _Toc43813889 \h </w:instrText>
        </w:r>
        <w:r w:rsidR="000E216F">
          <w:rPr>
            <w:noProof/>
            <w:webHidden/>
          </w:rPr>
        </w:r>
        <w:r w:rsidR="000E216F">
          <w:rPr>
            <w:noProof/>
            <w:webHidden/>
          </w:rPr>
          <w:fldChar w:fldCharType="separate"/>
        </w:r>
        <w:r w:rsidR="00A068BF">
          <w:rPr>
            <w:noProof/>
            <w:webHidden/>
          </w:rPr>
          <w:t>4</w:t>
        </w:r>
        <w:r w:rsidR="000E216F">
          <w:rPr>
            <w:noProof/>
            <w:webHidden/>
          </w:rPr>
          <w:fldChar w:fldCharType="end"/>
        </w:r>
      </w:hyperlink>
    </w:p>
    <w:p w14:paraId="6DC7165D" w14:textId="0606C52E" w:rsidR="000E216F" w:rsidRDefault="00CE6F9F">
      <w:pPr>
        <w:pStyle w:val="TOC2"/>
        <w:rPr>
          <w:rFonts w:asciiTheme="minorHAnsi" w:eastAsiaTheme="minorEastAsia" w:hAnsiTheme="minorHAnsi" w:cstheme="minorBidi"/>
          <w:noProof/>
          <w:sz w:val="22"/>
          <w:szCs w:val="22"/>
        </w:rPr>
      </w:pPr>
      <w:hyperlink w:anchor="_Toc43813890" w:history="1">
        <w:r w:rsidR="000E216F" w:rsidRPr="00E54339">
          <w:rPr>
            <w:rStyle w:val="Hyperlink"/>
            <w:rFonts w:ascii="Times New Roman Bold" w:hAnsi="Times New Roman Bold"/>
            <w:noProof/>
          </w:rPr>
          <w:t>4.3</w:t>
        </w:r>
        <w:r w:rsidR="000E216F">
          <w:rPr>
            <w:rFonts w:asciiTheme="minorHAnsi" w:eastAsiaTheme="minorEastAsia" w:hAnsiTheme="minorHAnsi" w:cstheme="minorBidi"/>
            <w:noProof/>
            <w:sz w:val="22"/>
            <w:szCs w:val="22"/>
          </w:rPr>
          <w:tab/>
        </w:r>
        <w:r w:rsidR="000E216F" w:rsidRPr="00E54339">
          <w:rPr>
            <w:rStyle w:val="Hyperlink"/>
            <w:noProof/>
          </w:rPr>
          <w:t>Occupational Exposure Limits</w:t>
        </w:r>
        <w:r w:rsidR="000E216F">
          <w:rPr>
            <w:noProof/>
            <w:webHidden/>
          </w:rPr>
          <w:tab/>
        </w:r>
        <w:r w:rsidR="000E216F">
          <w:rPr>
            <w:noProof/>
            <w:webHidden/>
          </w:rPr>
          <w:fldChar w:fldCharType="begin"/>
        </w:r>
        <w:r w:rsidR="000E216F">
          <w:rPr>
            <w:noProof/>
            <w:webHidden/>
          </w:rPr>
          <w:instrText xml:space="preserve"> PAGEREF _Toc43813890 \h </w:instrText>
        </w:r>
        <w:r w:rsidR="000E216F">
          <w:rPr>
            <w:noProof/>
            <w:webHidden/>
          </w:rPr>
        </w:r>
        <w:r w:rsidR="000E216F">
          <w:rPr>
            <w:noProof/>
            <w:webHidden/>
          </w:rPr>
          <w:fldChar w:fldCharType="separate"/>
        </w:r>
        <w:r w:rsidR="00A068BF">
          <w:rPr>
            <w:noProof/>
            <w:webHidden/>
          </w:rPr>
          <w:t>4</w:t>
        </w:r>
        <w:r w:rsidR="000E216F">
          <w:rPr>
            <w:noProof/>
            <w:webHidden/>
          </w:rPr>
          <w:fldChar w:fldCharType="end"/>
        </w:r>
      </w:hyperlink>
    </w:p>
    <w:p w14:paraId="09B1F15D" w14:textId="1197B030" w:rsidR="000E216F" w:rsidRDefault="00CE6F9F">
      <w:pPr>
        <w:pStyle w:val="TOC3"/>
        <w:tabs>
          <w:tab w:val="left" w:pos="1930"/>
        </w:tabs>
        <w:rPr>
          <w:rFonts w:asciiTheme="minorHAnsi" w:eastAsiaTheme="minorEastAsia" w:hAnsiTheme="minorHAnsi" w:cstheme="minorBidi"/>
          <w:noProof/>
          <w:sz w:val="22"/>
          <w:szCs w:val="22"/>
        </w:rPr>
      </w:pPr>
      <w:hyperlink w:anchor="_Toc43813891" w:history="1">
        <w:r w:rsidR="000E216F" w:rsidRPr="00E54339">
          <w:rPr>
            <w:rStyle w:val="Hyperlink"/>
            <w:rFonts w:ascii="Times New Roman Bold" w:hAnsi="Times New Roman Bold"/>
            <w:noProof/>
          </w:rPr>
          <w:t>4.3.1.</w:t>
        </w:r>
        <w:r w:rsidR="000E216F">
          <w:rPr>
            <w:rFonts w:asciiTheme="minorHAnsi" w:eastAsiaTheme="minorEastAsia" w:hAnsiTheme="minorHAnsi" w:cstheme="minorBidi"/>
            <w:noProof/>
            <w:sz w:val="22"/>
            <w:szCs w:val="22"/>
          </w:rPr>
          <w:tab/>
        </w:r>
        <w:r w:rsidR="000E216F" w:rsidRPr="00E54339">
          <w:rPr>
            <w:rStyle w:val="Hyperlink"/>
            <w:noProof/>
          </w:rPr>
          <w:t>ACGIH TLV</w:t>
        </w:r>
        <w:r w:rsidR="000E216F">
          <w:rPr>
            <w:noProof/>
            <w:webHidden/>
          </w:rPr>
          <w:tab/>
        </w:r>
        <w:r w:rsidR="000E216F">
          <w:rPr>
            <w:noProof/>
            <w:webHidden/>
          </w:rPr>
          <w:fldChar w:fldCharType="begin"/>
        </w:r>
        <w:r w:rsidR="000E216F">
          <w:rPr>
            <w:noProof/>
            <w:webHidden/>
          </w:rPr>
          <w:instrText xml:space="preserve"> PAGEREF _Toc43813891 \h </w:instrText>
        </w:r>
        <w:r w:rsidR="000E216F">
          <w:rPr>
            <w:noProof/>
            <w:webHidden/>
          </w:rPr>
        </w:r>
        <w:r w:rsidR="000E216F">
          <w:rPr>
            <w:noProof/>
            <w:webHidden/>
          </w:rPr>
          <w:fldChar w:fldCharType="separate"/>
        </w:r>
        <w:r w:rsidR="00A068BF">
          <w:rPr>
            <w:noProof/>
            <w:webHidden/>
          </w:rPr>
          <w:t>5</w:t>
        </w:r>
        <w:r w:rsidR="000E216F">
          <w:rPr>
            <w:noProof/>
            <w:webHidden/>
          </w:rPr>
          <w:fldChar w:fldCharType="end"/>
        </w:r>
      </w:hyperlink>
    </w:p>
    <w:p w14:paraId="0A852EC4" w14:textId="02F47F0E" w:rsidR="000E216F" w:rsidRDefault="00CE6F9F">
      <w:pPr>
        <w:pStyle w:val="TOC2"/>
        <w:rPr>
          <w:rFonts w:asciiTheme="minorHAnsi" w:eastAsiaTheme="minorEastAsia" w:hAnsiTheme="minorHAnsi" w:cstheme="minorBidi"/>
          <w:noProof/>
          <w:sz w:val="22"/>
          <w:szCs w:val="22"/>
        </w:rPr>
      </w:pPr>
      <w:hyperlink w:anchor="_Toc43813892" w:history="1">
        <w:r w:rsidR="000E216F" w:rsidRPr="00E54339">
          <w:rPr>
            <w:rStyle w:val="Hyperlink"/>
            <w:rFonts w:ascii="Times New Roman Bold" w:hAnsi="Times New Roman Bold"/>
            <w:noProof/>
          </w:rPr>
          <w:t>4.4</w:t>
        </w:r>
        <w:r w:rsidR="000E216F">
          <w:rPr>
            <w:rFonts w:asciiTheme="minorHAnsi" w:eastAsiaTheme="minorEastAsia" w:hAnsiTheme="minorHAnsi" w:cstheme="minorBidi"/>
            <w:noProof/>
            <w:sz w:val="22"/>
            <w:szCs w:val="22"/>
          </w:rPr>
          <w:tab/>
        </w:r>
        <w:r w:rsidR="000E216F" w:rsidRPr="00E54339">
          <w:rPr>
            <w:rStyle w:val="Hyperlink"/>
            <w:noProof/>
          </w:rPr>
          <w:t>Limits for General Population/Uncontrolled Exposure</w:t>
        </w:r>
        <w:r w:rsidR="000E216F">
          <w:rPr>
            <w:noProof/>
            <w:webHidden/>
          </w:rPr>
          <w:tab/>
        </w:r>
        <w:r w:rsidR="000E216F">
          <w:rPr>
            <w:noProof/>
            <w:webHidden/>
          </w:rPr>
          <w:fldChar w:fldCharType="begin"/>
        </w:r>
        <w:r w:rsidR="000E216F">
          <w:rPr>
            <w:noProof/>
            <w:webHidden/>
          </w:rPr>
          <w:instrText xml:space="preserve"> PAGEREF _Toc43813892 \h </w:instrText>
        </w:r>
        <w:r w:rsidR="000E216F">
          <w:rPr>
            <w:noProof/>
            <w:webHidden/>
          </w:rPr>
        </w:r>
        <w:r w:rsidR="000E216F">
          <w:rPr>
            <w:noProof/>
            <w:webHidden/>
          </w:rPr>
          <w:fldChar w:fldCharType="separate"/>
        </w:r>
        <w:r w:rsidR="00A068BF">
          <w:rPr>
            <w:noProof/>
            <w:webHidden/>
          </w:rPr>
          <w:t>7</w:t>
        </w:r>
        <w:r w:rsidR="000E216F">
          <w:rPr>
            <w:noProof/>
            <w:webHidden/>
          </w:rPr>
          <w:fldChar w:fldCharType="end"/>
        </w:r>
      </w:hyperlink>
    </w:p>
    <w:p w14:paraId="325FCE99" w14:textId="3482C722" w:rsidR="000E216F" w:rsidRDefault="00CE6F9F">
      <w:pPr>
        <w:pStyle w:val="TOC2"/>
        <w:rPr>
          <w:rFonts w:asciiTheme="minorHAnsi" w:eastAsiaTheme="minorEastAsia" w:hAnsiTheme="minorHAnsi" w:cstheme="minorBidi"/>
          <w:noProof/>
          <w:sz w:val="22"/>
          <w:szCs w:val="22"/>
        </w:rPr>
      </w:pPr>
      <w:hyperlink w:anchor="_Toc43813893" w:history="1">
        <w:r w:rsidR="000E216F" w:rsidRPr="00E54339">
          <w:rPr>
            <w:rStyle w:val="Hyperlink"/>
            <w:rFonts w:ascii="Times New Roman Bold" w:hAnsi="Times New Roman Bold"/>
            <w:noProof/>
          </w:rPr>
          <w:t>4.5</w:t>
        </w:r>
        <w:r w:rsidR="000E216F">
          <w:rPr>
            <w:rFonts w:asciiTheme="minorHAnsi" w:eastAsiaTheme="minorEastAsia" w:hAnsiTheme="minorHAnsi" w:cstheme="minorBidi"/>
            <w:noProof/>
            <w:sz w:val="22"/>
            <w:szCs w:val="22"/>
          </w:rPr>
          <w:tab/>
        </w:r>
        <w:r w:rsidR="000E216F" w:rsidRPr="00E54339">
          <w:rPr>
            <w:rStyle w:val="Hyperlink"/>
            <w:noProof/>
          </w:rPr>
          <w:t>Medical Device Consideration</w:t>
        </w:r>
        <w:r w:rsidR="000E216F">
          <w:rPr>
            <w:noProof/>
            <w:webHidden/>
          </w:rPr>
          <w:tab/>
        </w:r>
        <w:r w:rsidR="000E216F">
          <w:rPr>
            <w:noProof/>
            <w:webHidden/>
          </w:rPr>
          <w:fldChar w:fldCharType="begin"/>
        </w:r>
        <w:r w:rsidR="000E216F">
          <w:rPr>
            <w:noProof/>
            <w:webHidden/>
          </w:rPr>
          <w:instrText xml:space="preserve"> PAGEREF _Toc43813893 \h </w:instrText>
        </w:r>
        <w:r w:rsidR="000E216F">
          <w:rPr>
            <w:noProof/>
            <w:webHidden/>
          </w:rPr>
        </w:r>
        <w:r w:rsidR="000E216F">
          <w:rPr>
            <w:noProof/>
            <w:webHidden/>
          </w:rPr>
          <w:fldChar w:fldCharType="separate"/>
        </w:r>
        <w:r w:rsidR="00A068BF">
          <w:rPr>
            <w:noProof/>
            <w:webHidden/>
          </w:rPr>
          <w:t>7</w:t>
        </w:r>
        <w:r w:rsidR="000E216F">
          <w:rPr>
            <w:noProof/>
            <w:webHidden/>
          </w:rPr>
          <w:fldChar w:fldCharType="end"/>
        </w:r>
      </w:hyperlink>
    </w:p>
    <w:p w14:paraId="2085A2AB" w14:textId="59E220B2" w:rsidR="000E216F" w:rsidRDefault="00CE6F9F">
      <w:pPr>
        <w:pStyle w:val="TOC2"/>
        <w:rPr>
          <w:rFonts w:asciiTheme="minorHAnsi" w:eastAsiaTheme="minorEastAsia" w:hAnsiTheme="minorHAnsi" w:cstheme="minorBidi"/>
          <w:noProof/>
          <w:sz w:val="22"/>
          <w:szCs w:val="22"/>
        </w:rPr>
      </w:pPr>
      <w:hyperlink w:anchor="_Toc43813894" w:history="1">
        <w:r w:rsidR="000E216F" w:rsidRPr="00E54339">
          <w:rPr>
            <w:rStyle w:val="Hyperlink"/>
            <w:rFonts w:ascii="Times New Roman Bold" w:hAnsi="Times New Roman Bold"/>
            <w:noProof/>
          </w:rPr>
          <w:t>4.6</w:t>
        </w:r>
        <w:r w:rsidR="000E216F">
          <w:rPr>
            <w:rFonts w:asciiTheme="minorHAnsi" w:eastAsiaTheme="minorEastAsia" w:hAnsiTheme="minorHAnsi" w:cstheme="minorBidi"/>
            <w:noProof/>
            <w:sz w:val="22"/>
            <w:szCs w:val="22"/>
          </w:rPr>
          <w:tab/>
        </w:r>
        <w:r w:rsidR="000E216F" w:rsidRPr="00E54339">
          <w:rPr>
            <w:rStyle w:val="Hyperlink"/>
            <w:noProof/>
          </w:rPr>
          <w:t>RF Hazard Signage</w:t>
        </w:r>
        <w:r w:rsidR="000E216F">
          <w:rPr>
            <w:noProof/>
            <w:webHidden/>
          </w:rPr>
          <w:tab/>
        </w:r>
        <w:r w:rsidR="000E216F">
          <w:rPr>
            <w:noProof/>
            <w:webHidden/>
          </w:rPr>
          <w:fldChar w:fldCharType="begin"/>
        </w:r>
        <w:r w:rsidR="000E216F">
          <w:rPr>
            <w:noProof/>
            <w:webHidden/>
          </w:rPr>
          <w:instrText xml:space="preserve"> PAGEREF _Toc43813894 \h </w:instrText>
        </w:r>
        <w:r w:rsidR="000E216F">
          <w:rPr>
            <w:noProof/>
            <w:webHidden/>
          </w:rPr>
        </w:r>
        <w:r w:rsidR="000E216F">
          <w:rPr>
            <w:noProof/>
            <w:webHidden/>
          </w:rPr>
          <w:fldChar w:fldCharType="separate"/>
        </w:r>
        <w:r w:rsidR="00A068BF">
          <w:rPr>
            <w:noProof/>
            <w:webHidden/>
          </w:rPr>
          <w:t>8</w:t>
        </w:r>
        <w:r w:rsidR="000E216F">
          <w:rPr>
            <w:noProof/>
            <w:webHidden/>
          </w:rPr>
          <w:fldChar w:fldCharType="end"/>
        </w:r>
      </w:hyperlink>
    </w:p>
    <w:p w14:paraId="41BE40DB" w14:textId="3F2B3F41" w:rsidR="000E216F" w:rsidRDefault="00CE6F9F">
      <w:pPr>
        <w:pStyle w:val="TOC1"/>
        <w:rPr>
          <w:rFonts w:asciiTheme="minorHAnsi" w:eastAsiaTheme="minorEastAsia" w:hAnsiTheme="minorHAnsi" w:cstheme="minorBidi"/>
          <w:noProof/>
          <w:sz w:val="22"/>
          <w:szCs w:val="22"/>
        </w:rPr>
      </w:pPr>
      <w:hyperlink w:anchor="_Toc43813895" w:history="1">
        <w:r w:rsidR="000E216F" w:rsidRPr="00E54339">
          <w:rPr>
            <w:rStyle w:val="Hyperlink"/>
            <w:rFonts w:ascii="Times New Roman Bold" w:hAnsi="Times New Roman Bold"/>
            <w:noProof/>
          </w:rPr>
          <w:t>5.0</w:t>
        </w:r>
        <w:r w:rsidR="000E216F">
          <w:rPr>
            <w:rFonts w:asciiTheme="minorHAnsi" w:eastAsiaTheme="minorEastAsia" w:hAnsiTheme="minorHAnsi" w:cstheme="minorBidi"/>
            <w:noProof/>
            <w:sz w:val="22"/>
            <w:szCs w:val="22"/>
          </w:rPr>
          <w:tab/>
        </w:r>
        <w:r w:rsidR="000E216F" w:rsidRPr="00E54339">
          <w:rPr>
            <w:rStyle w:val="Hyperlink"/>
            <w:noProof/>
          </w:rPr>
          <w:t>REFERENCES</w:t>
        </w:r>
        <w:r w:rsidR="000E216F">
          <w:rPr>
            <w:noProof/>
            <w:webHidden/>
          </w:rPr>
          <w:tab/>
        </w:r>
        <w:r w:rsidR="000E216F">
          <w:rPr>
            <w:noProof/>
            <w:webHidden/>
          </w:rPr>
          <w:fldChar w:fldCharType="begin"/>
        </w:r>
        <w:r w:rsidR="000E216F">
          <w:rPr>
            <w:noProof/>
            <w:webHidden/>
          </w:rPr>
          <w:instrText xml:space="preserve"> PAGEREF _Toc43813895 \h </w:instrText>
        </w:r>
        <w:r w:rsidR="000E216F">
          <w:rPr>
            <w:noProof/>
            <w:webHidden/>
          </w:rPr>
        </w:r>
        <w:r w:rsidR="000E216F">
          <w:rPr>
            <w:noProof/>
            <w:webHidden/>
          </w:rPr>
          <w:fldChar w:fldCharType="separate"/>
        </w:r>
        <w:r w:rsidR="00A068BF">
          <w:rPr>
            <w:noProof/>
            <w:webHidden/>
          </w:rPr>
          <w:t>8</w:t>
        </w:r>
        <w:r w:rsidR="000E216F">
          <w:rPr>
            <w:noProof/>
            <w:webHidden/>
          </w:rPr>
          <w:fldChar w:fldCharType="end"/>
        </w:r>
      </w:hyperlink>
    </w:p>
    <w:p w14:paraId="2624BCA1" w14:textId="433050D5" w:rsidR="00A96FFC" w:rsidRDefault="00FF181A" w:rsidP="003559A3">
      <w:pPr>
        <w:tabs>
          <w:tab w:val="right" w:leader="dot" w:pos="9720"/>
        </w:tabs>
        <w:jc w:val="left"/>
        <w:rPr>
          <w:bCs/>
        </w:rPr>
      </w:pPr>
      <w:r>
        <w:rPr>
          <w:bCs/>
        </w:rPr>
        <w:fldChar w:fldCharType="end"/>
      </w:r>
    </w:p>
    <w:p w14:paraId="6A6537A4" w14:textId="77777777" w:rsidR="00084E8E" w:rsidRPr="00FA370A" w:rsidRDefault="00084E8E" w:rsidP="002441F5">
      <w:pPr>
        <w:jc w:val="left"/>
        <w:rPr>
          <w:bCs/>
        </w:rPr>
      </w:pPr>
    </w:p>
    <w:p w14:paraId="5307B642" w14:textId="77777777" w:rsidR="00A96FFC" w:rsidRPr="00A96FFC" w:rsidRDefault="00A96FFC">
      <w:pPr>
        <w:rPr>
          <w:bCs/>
        </w:rPr>
        <w:sectPr w:rsidR="00A96FFC" w:rsidRPr="00A96FFC" w:rsidSect="001F0772">
          <w:headerReference w:type="even" r:id="rId14"/>
          <w:headerReference w:type="default" r:id="rId15"/>
          <w:headerReference w:type="first" r:id="rId16"/>
          <w:pgSz w:w="12240" w:h="15840" w:code="1"/>
          <w:pgMar w:top="720" w:right="1080" w:bottom="720" w:left="1440" w:header="720" w:footer="389" w:gutter="0"/>
          <w:pgNumType w:start="1"/>
          <w:cols w:space="720"/>
          <w:docGrid w:linePitch="360"/>
        </w:sectPr>
      </w:pPr>
    </w:p>
    <w:p w14:paraId="7DA9A0F3" w14:textId="77777777" w:rsidR="00CE5B8A" w:rsidRPr="00774629" w:rsidRDefault="007D5A75" w:rsidP="007D5A75">
      <w:pPr>
        <w:pStyle w:val="Heading1"/>
      </w:pPr>
      <w:bookmarkStart w:id="0" w:name="_Toc43813884"/>
      <w:r>
        <w:lastRenderedPageBreak/>
        <w:t>INTRODUCTION</w:t>
      </w:r>
      <w:r w:rsidR="00C9646B">
        <w:t xml:space="preserve"> AND SCOPE</w:t>
      </w:r>
      <w:bookmarkEnd w:id="0"/>
    </w:p>
    <w:p w14:paraId="6F90871B" w14:textId="77777777" w:rsidR="00D435EC" w:rsidRPr="007D5A75" w:rsidRDefault="00D435EC">
      <w:bookmarkStart w:id="1" w:name="_GoBack"/>
    </w:p>
    <w:bookmarkEnd w:id="1"/>
    <w:p w14:paraId="2F98F79B" w14:textId="77777777" w:rsidR="00940175" w:rsidRDefault="00B07702" w:rsidP="00B07702">
      <w:r>
        <w:t xml:space="preserve">Radiofrequency (RF) radiation is electromagnetic radiation (EMR) at the frequency range of 30 kilohertz (kHz) to 300 GHz.  This includes microwave radiation (300 MHz – 300 GHz), which is a region of the RF spectrum.  At certain power-density levels RF radiation can be hazardous.  </w:t>
      </w:r>
      <w:r w:rsidRPr="000C5DD5">
        <w:t>The hazards are associated with the heating of biological tissue, which occurs when EM radiation is absorbed by the body.</w:t>
      </w:r>
      <w:r w:rsidR="00940175">
        <w:t xml:space="preserve">  </w:t>
      </w:r>
    </w:p>
    <w:p w14:paraId="08F08CD7" w14:textId="77777777" w:rsidR="00940175" w:rsidRDefault="00940175" w:rsidP="00B07702"/>
    <w:p w14:paraId="169C0854" w14:textId="6EE6A5D0" w:rsidR="00B07702" w:rsidRDefault="00A42D12" w:rsidP="00B07702">
      <w:r>
        <w:t>Th</w:t>
      </w:r>
      <w:r w:rsidR="003C73E0">
        <w:t>is</w:t>
      </w:r>
      <w:r>
        <w:t xml:space="preserve"> program applies to equipment capable of emitting RF radiation including klystrons and waveguide systems, communication transmitters, induction heaters</w:t>
      </w:r>
      <w:r w:rsidR="003C73E0">
        <w:t>,</w:t>
      </w:r>
      <w:r>
        <w:t xml:space="preserve"> and ultrasonic cleaners.  </w:t>
      </w:r>
      <w:r w:rsidR="003C73E0">
        <w:t>Consumer items such as microwave ovens and cellphones are exempted.  It</w:t>
      </w:r>
      <w:r w:rsidR="00940175">
        <w:t xml:space="preserve"> applies to all Fermilab personnel, experimenters, temporary employees, users and subcontract/term employees working at Fermilab and any leased spaces.</w:t>
      </w:r>
    </w:p>
    <w:p w14:paraId="130EFF79" w14:textId="77777777" w:rsidR="00124962" w:rsidRDefault="00124962" w:rsidP="00B07702"/>
    <w:p w14:paraId="48AFE845" w14:textId="77777777" w:rsidR="007D5A75" w:rsidRDefault="007D5A75" w:rsidP="007D5A75">
      <w:pPr>
        <w:pStyle w:val="Heading1"/>
        <w:rPr>
          <w:kern w:val="0"/>
        </w:rPr>
      </w:pPr>
      <w:bookmarkStart w:id="2" w:name="_Toc43813885"/>
      <w:r>
        <w:rPr>
          <w:kern w:val="0"/>
        </w:rPr>
        <w:t>DEFINITIONS</w:t>
      </w:r>
      <w:bookmarkEnd w:id="2"/>
    </w:p>
    <w:p w14:paraId="1F6E7CA7" w14:textId="77777777" w:rsidR="007D5A75" w:rsidRPr="007D5A75" w:rsidRDefault="007D5A75" w:rsidP="00E00D72"/>
    <w:p w14:paraId="6CB0E77C" w14:textId="057E1961" w:rsidR="00B07702" w:rsidRDefault="00B07702" w:rsidP="00B07702">
      <w:r w:rsidRPr="009C1F41">
        <w:rPr>
          <w:b/>
          <w:bCs/>
        </w:rPr>
        <w:t>Electric Field Strength (E)</w:t>
      </w:r>
      <w:r>
        <w:t xml:space="preserve"> – </w:t>
      </w:r>
      <w:r w:rsidRPr="009C1F41">
        <w:t>a field vector quantity that represents the force (F) on a positive test charge (q) at a point divided by the charge. E=F/q. Electric field strength is expressed in units of volts per meter (V/m).</w:t>
      </w:r>
    </w:p>
    <w:p w14:paraId="51A05B4E" w14:textId="77777777" w:rsidR="004162A7" w:rsidRPr="009C1F41" w:rsidRDefault="004162A7" w:rsidP="00B07702"/>
    <w:p w14:paraId="59AD7190" w14:textId="564E8F0E" w:rsidR="00B07702" w:rsidRDefault="00B07702" w:rsidP="00B07702">
      <w:r w:rsidRPr="00A708B8">
        <w:rPr>
          <w:b/>
          <w:bCs/>
        </w:rPr>
        <w:t>Electromagnetic radiation (EMR)</w:t>
      </w:r>
      <w:r>
        <w:t xml:space="preserve"> – energy in the form of transverse magnetic and electric waves including microwaves and radio waves</w:t>
      </w:r>
    </w:p>
    <w:p w14:paraId="1ED2FA28" w14:textId="77777777" w:rsidR="004162A7" w:rsidRDefault="004162A7" w:rsidP="00B07702"/>
    <w:p w14:paraId="6DEA8258" w14:textId="18A3875A" w:rsidR="00B07702" w:rsidRDefault="00B07702" w:rsidP="00B07702">
      <w:pPr>
        <w:rPr>
          <w:sz w:val="23"/>
          <w:szCs w:val="23"/>
        </w:rPr>
      </w:pPr>
      <w:r>
        <w:rPr>
          <w:b/>
          <w:bCs/>
          <w:sz w:val="23"/>
          <w:szCs w:val="23"/>
        </w:rPr>
        <w:t xml:space="preserve">Magnetic Field Strength (H) – </w:t>
      </w:r>
      <w:r>
        <w:rPr>
          <w:sz w:val="23"/>
          <w:szCs w:val="23"/>
        </w:rPr>
        <w:t>a vector that is equal to the magnetic flux density divided by the permeability of the medium. Magnetic field strength is expressed in units of amperes per meter (A/m).</w:t>
      </w:r>
    </w:p>
    <w:p w14:paraId="548C400A" w14:textId="77777777" w:rsidR="004162A7" w:rsidRDefault="004162A7" w:rsidP="00B07702">
      <w:pPr>
        <w:rPr>
          <w:sz w:val="23"/>
          <w:szCs w:val="23"/>
        </w:rPr>
      </w:pPr>
    </w:p>
    <w:p w14:paraId="58974C6C" w14:textId="2F1D473B" w:rsidR="00B07702" w:rsidRDefault="00B07702" w:rsidP="00B07702">
      <w:pPr>
        <w:rPr>
          <w:sz w:val="23"/>
          <w:szCs w:val="23"/>
        </w:rPr>
      </w:pPr>
      <w:r w:rsidRPr="00B831AB">
        <w:rPr>
          <w:b/>
          <w:bCs/>
          <w:sz w:val="23"/>
          <w:szCs w:val="23"/>
        </w:rPr>
        <w:t xml:space="preserve">Maximum Permissible Exposure (MPE) – </w:t>
      </w:r>
      <w:r w:rsidRPr="00B831AB">
        <w:rPr>
          <w:sz w:val="23"/>
          <w:szCs w:val="23"/>
        </w:rPr>
        <w:t>the highest rms or peak electric or magnetic field strengths, their squares, or the plane-wave equivalent power densities with these fields, or induced and contact currents to which a person may be exposed without incurring an established adverse health effect and with an acceptable margin of safety.</w:t>
      </w:r>
    </w:p>
    <w:p w14:paraId="1142601A" w14:textId="77777777" w:rsidR="004162A7" w:rsidRDefault="004162A7" w:rsidP="00B07702">
      <w:pPr>
        <w:rPr>
          <w:sz w:val="23"/>
          <w:szCs w:val="23"/>
        </w:rPr>
      </w:pPr>
    </w:p>
    <w:p w14:paraId="3F5BBF26" w14:textId="6C4909DB" w:rsidR="00B07702" w:rsidRDefault="00B07702" w:rsidP="00B07702">
      <w:r w:rsidRPr="000447C0">
        <w:rPr>
          <w:b/>
          <w:bCs/>
          <w:sz w:val="23"/>
          <w:szCs w:val="23"/>
        </w:rPr>
        <w:t>Microwave</w:t>
      </w:r>
      <w:r>
        <w:rPr>
          <w:sz w:val="23"/>
          <w:szCs w:val="23"/>
        </w:rPr>
        <w:t xml:space="preserve"> - </w:t>
      </w:r>
      <w:r>
        <w:t>any of the electromagnetic wave frequencies that lie in the range extending from 3</w:t>
      </w:r>
      <w:r w:rsidR="00646EB3">
        <w:t>0</w:t>
      </w:r>
      <w:r>
        <w:t xml:space="preserve">0 </w:t>
      </w:r>
      <w:r w:rsidR="00646EB3">
        <w:t>M</w:t>
      </w:r>
      <w:r>
        <w:t>Hz – 300 GHz.</w:t>
      </w:r>
    </w:p>
    <w:p w14:paraId="490C0E5E" w14:textId="77777777" w:rsidR="004162A7" w:rsidRDefault="004162A7" w:rsidP="00B07702">
      <w:pPr>
        <w:rPr>
          <w:sz w:val="23"/>
          <w:szCs w:val="23"/>
        </w:rPr>
      </w:pPr>
    </w:p>
    <w:p w14:paraId="3DC0EE92" w14:textId="1CBF0EBB" w:rsidR="00B07702" w:rsidRDefault="00B07702" w:rsidP="00B07702">
      <w:pPr>
        <w:rPr>
          <w:sz w:val="23"/>
          <w:szCs w:val="23"/>
        </w:rPr>
      </w:pPr>
      <w:r>
        <w:rPr>
          <w:b/>
          <w:bCs/>
          <w:sz w:val="23"/>
          <w:szCs w:val="23"/>
        </w:rPr>
        <w:t xml:space="preserve">Power Density (S) – </w:t>
      </w:r>
      <w:r>
        <w:rPr>
          <w:sz w:val="23"/>
          <w:szCs w:val="23"/>
        </w:rPr>
        <w:t>power per unit area normal to the direction of propagation. This is usually expressed in units of watts per square meter (W/m</w:t>
      </w:r>
      <w:r>
        <w:rPr>
          <w:sz w:val="16"/>
          <w:szCs w:val="16"/>
        </w:rPr>
        <w:t>2</w:t>
      </w:r>
      <w:r>
        <w:rPr>
          <w:sz w:val="23"/>
          <w:szCs w:val="23"/>
        </w:rPr>
        <w:t>).</w:t>
      </w:r>
    </w:p>
    <w:p w14:paraId="68A4E117" w14:textId="77777777" w:rsidR="004162A7" w:rsidRDefault="004162A7" w:rsidP="00B07702">
      <w:pPr>
        <w:rPr>
          <w:sz w:val="23"/>
          <w:szCs w:val="23"/>
        </w:rPr>
      </w:pPr>
    </w:p>
    <w:p w14:paraId="2D8D21BE" w14:textId="4AB71B04" w:rsidR="00B07702" w:rsidRDefault="00B07702" w:rsidP="00B07702">
      <w:r w:rsidRPr="000447C0">
        <w:rPr>
          <w:b/>
          <w:bCs/>
        </w:rPr>
        <w:t>Radiofrequency (RF)</w:t>
      </w:r>
      <w:r>
        <w:t xml:space="preserve"> – any of the electromagnetic wave frequencies that lie in the range extending from 30 kHz – 300 GHz. </w:t>
      </w:r>
    </w:p>
    <w:p w14:paraId="6D94388D" w14:textId="77777777" w:rsidR="004162A7" w:rsidRDefault="004162A7" w:rsidP="00B07702"/>
    <w:p w14:paraId="1A545389" w14:textId="602D2B84" w:rsidR="00B07702" w:rsidRDefault="00B07702" w:rsidP="00B07702">
      <w:r w:rsidRPr="00533392">
        <w:rPr>
          <w:b/>
          <w:bCs/>
        </w:rPr>
        <w:t>Root-Mean-Square (rms)</w:t>
      </w:r>
      <w:r>
        <w:t xml:space="preserve"> – effe</w:t>
      </w:r>
      <w:r w:rsidRPr="00533392">
        <w:t>ctive value, or the value associated with the joule heating, of a periodic electromagnetic wave. The rms value is obtained by taking the square root of the mean of the squared value of a function. Note: most meter provide rms values directly.</w:t>
      </w:r>
    </w:p>
    <w:p w14:paraId="3FEB46B6" w14:textId="77777777" w:rsidR="004162A7" w:rsidRDefault="004162A7" w:rsidP="00B07702"/>
    <w:p w14:paraId="30157C9F" w14:textId="69D9992B" w:rsidR="00B07702" w:rsidRDefault="00B07702" w:rsidP="00B07702">
      <w:r w:rsidRPr="00151982">
        <w:rPr>
          <w:b/>
          <w:bCs/>
        </w:rPr>
        <w:lastRenderedPageBreak/>
        <w:t>Spatial Averaging</w:t>
      </w:r>
      <w:r>
        <w:t xml:space="preserve"> – the rms of the </w:t>
      </w:r>
      <w:r w:rsidRPr="004048A4">
        <w:t xml:space="preserve">field over an area equivalent to the vertical cross section of the adult human body, as applied to the measurement of electric or magnetic fields in the assessment of </w:t>
      </w:r>
      <w:r w:rsidR="00B90373" w:rsidRPr="004048A4">
        <w:t>whole-body</w:t>
      </w:r>
      <w:r w:rsidRPr="004048A4">
        <w:t xml:space="preserve"> exposure. This is accomplished by measuring a planar area equivalent to the area occupied by a standing adult human from 0-2m.</w:t>
      </w:r>
    </w:p>
    <w:p w14:paraId="5BD600FA" w14:textId="77777777" w:rsidR="004162A7" w:rsidRDefault="004162A7" w:rsidP="00B07702"/>
    <w:p w14:paraId="435AAF09" w14:textId="463F9A56" w:rsidR="00B07702" w:rsidRDefault="00B07702" w:rsidP="00B07702">
      <w:r w:rsidRPr="00E030DA">
        <w:rPr>
          <w:b/>
          <w:bCs/>
        </w:rPr>
        <w:t>Specific Absorption Rate</w:t>
      </w:r>
      <w:r>
        <w:t xml:space="preserve"> – is </w:t>
      </w:r>
      <w:r w:rsidRPr="009C1F41">
        <w:t>a measure of the rate at which energy is absorbed by the human body when exposed to a radio frequency electromagnetic field.</w:t>
      </w:r>
      <w:r>
        <w:t xml:space="preserve"> </w:t>
      </w:r>
      <w:r w:rsidRPr="009C1F41">
        <w:t xml:space="preserve"> It is defined as the power absorbed per mass of tissue and has units of watts per kilogram (W/kg).</w:t>
      </w:r>
    </w:p>
    <w:p w14:paraId="11109DB3" w14:textId="77777777" w:rsidR="004162A7" w:rsidRDefault="004162A7" w:rsidP="00B07702"/>
    <w:p w14:paraId="5DAC796A" w14:textId="0DFB8385" w:rsidR="00E67B6B" w:rsidRPr="004048A4" w:rsidRDefault="00E67B6B" w:rsidP="00B07702">
      <w:r w:rsidRPr="00E67B6B">
        <w:rPr>
          <w:b/>
          <w:bCs/>
        </w:rPr>
        <w:t>Threshold Limit Value</w:t>
      </w:r>
      <w:r>
        <w:t xml:space="preserve"> (TLV) – the occupational exposure limit under which it is believed that nearly all healthy workers may be repeatedly exposed, day after day, without adverse health effects.</w:t>
      </w:r>
    </w:p>
    <w:p w14:paraId="08F9CCDB" w14:textId="77777777" w:rsidR="006A7918" w:rsidRPr="006A7918" w:rsidRDefault="006A7918" w:rsidP="00E00D72"/>
    <w:p w14:paraId="7234A634" w14:textId="77777777" w:rsidR="00554664" w:rsidRDefault="00554664" w:rsidP="006A7918">
      <w:pPr>
        <w:pStyle w:val="Heading1"/>
        <w:keepNext w:val="0"/>
      </w:pPr>
      <w:bookmarkStart w:id="3" w:name="_Toc43813886"/>
      <w:r>
        <w:t>RESPONSIB</w:t>
      </w:r>
      <w:r w:rsidR="00730FCE">
        <w:t>I</w:t>
      </w:r>
      <w:r>
        <w:t>L</w:t>
      </w:r>
      <w:r w:rsidR="007D5A75">
        <w:t>ITIES</w:t>
      </w:r>
      <w:bookmarkEnd w:id="3"/>
    </w:p>
    <w:p w14:paraId="1B212719" w14:textId="77777777" w:rsidR="00100D48" w:rsidRDefault="00100D48" w:rsidP="00B07702">
      <w:pPr>
        <w:rPr>
          <w:b/>
          <w:bCs/>
        </w:rPr>
      </w:pPr>
    </w:p>
    <w:p w14:paraId="67BC2C78" w14:textId="45B0650B" w:rsidR="00B07702" w:rsidRDefault="00B07702" w:rsidP="00B07702">
      <w:r w:rsidRPr="0092172E">
        <w:rPr>
          <w:b/>
          <w:bCs/>
        </w:rPr>
        <w:t>Division Safety Officer</w:t>
      </w:r>
      <w:r w:rsidR="00467DC2">
        <w:rPr>
          <w:b/>
          <w:bCs/>
        </w:rPr>
        <w:t xml:space="preserve"> (DSO)</w:t>
      </w:r>
      <w:r>
        <w:rPr>
          <w:b/>
          <w:bCs/>
        </w:rPr>
        <w:t xml:space="preserve"> – </w:t>
      </w:r>
      <w:r>
        <w:t>Work with potentially-exposed personnel, managers, and ES</w:t>
      </w:r>
      <w:r w:rsidR="00467DC2">
        <w:t>&amp;</w:t>
      </w:r>
      <w:r>
        <w:t>H in assessing exposures, designing controls, training, and providing signs and labels</w:t>
      </w:r>
    </w:p>
    <w:p w14:paraId="248BC952" w14:textId="77777777" w:rsidR="00B32143" w:rsidRDefault="00B32143" w:rsidP="00B07702">
      <w:pPr>
        <w:rPr>
          <w:b/>
          <w:bCs/>
        </w:rPr>
      </w:pPr>
    </w:p>
    <w:p w14:paraId="3902E6A3" w14:textId="343EC5A5" w:rsidR="00B07702" w:rsidRDefault="00B07702" w:rsidP="00B07702">
      <w:r w:rsidRPr="0092172E">
        <w:rPr>
          <w:b/>
          <w:bCs/>
        </w:rPr>
        <w:t>Supervisor</w:t>
      </w:r>
      <w:r>
        <w:t xml:space="preserve"> – </w:t>
      </w:r>
      <w:r w:rsidR="00D6273D">
        <w:t>Know and understand the potential RF hazards in their work area.  Document required job-specific training and work procedures related to RF hazards.  Ensure workers understand RF hazards in their work are</w:t>
      </w:r>
      <w:r w:rsidR="003E41FF">
        <w:t xml:space="preserve">a.  </w:t>
      </w:r>
      <w:r>
        <w:t xml:space="preserve">Assist in identifying potential exposures and in implementing any necessary controls. Supervisors have a key role in assuring that their </w:t>
      </w:r>
      <w:r w:rsidR="003E41FF">
        <w:t>workers</w:t>
      </w:r>
      <w:r>
        <w:t xml:space="preserve"> adhere to requisite behaviors.</w:t>
      </w:r>
    </w:p>
    <w:p w14:paraId="79102542" w14:textId="77777777" w:rsidR="00B32143" w:rsidRDefault="00B32143" w:rsidP="00B07702">
      <w:pPr>
        <w:rPr>
          <w:b/>
          <w:bCs/>
        </w:rPr>
      </w:pPr>
    </w:p>
    <w:p w14:paraId="3F56DC66" w14:textId="5D03E25E" w:rsidR="00B07702" w:rsidRDefault="00467DC2" w:rsidP="00B07702">
      <w:r>
        <w:rPr>
          <w:b/>
          <w:bCs/>
        </w:rPr>
        <w:t>ES&amp;H</w:t>
      </w:r>
      <w:r w:rsidR="00B07702">
        <w:t xml:space="preserve"> – Assist affected divisions/sections</w:t>
      </w:r>
      <w:r>
        <w:t>/projects</w:t>
      </w:r>
      <w:r w:rsidR="00B07702">
        <w:t xml:space="preserve"> in providing technical advice in this chapter, assessing exposures, designing controls, training, and providing signs and labels. </w:t>
      </w:r>
    </w:p>
    <w:p w14:paraId="561857B6" w14:textId="7EE9B99B" w:rsidR="00467DC2" w:rsidRDefault="00467DC2" w:rsidP="00B07702"/>
    <w:p w14:paraId="67825D00" w14:textId="5EAE5651" w:rsidR="00467DC2" w:rsidRPr="0017653D" w:rsidRDefault="004B1E3C" w:rsidP="00B3166E">
      <w:pPr>
        <w:autoSpaceDE w:val="0"/>
        <w:autoSpaceDN w:val="0"/>
        <w:adjustRightInd w:val="0"/>
      </w:pPr>
      <w:r>
        <w:rPr>
          <w:b/>
          <w:bCs/>
          <w:color w:val="000000"/>
        </w:rPr>
        <w:t xml:space="preserve">Fermilab </w:t>
      </w:r>
      <w:r w:rsidR="008928CE">
        <w:rPr>
          <w:b/>
          <w:bCs/>
          <w:color w:val="000000"/>
        </w:rPr>
        <w:t>Occupational Medic</w:t>
      </w:r>
      <w:r>
        <w:rPr>
          <w:b/>
          <w:bCs/>
          <w:color w:val="000000"/>
        </w:rPr>
        <w:t>al Office</w:t>
      </w:r>
      <w:r w:rsidR="00467DC2" w:rsidRPr="00600B00">
        <w:rPr>
          <w:b/>
          <w:bCs/>
          <w:color w:val="000000"/>
        </w:rPr>
        <w:t xml:space="preserve"> -</w:t>
      </w:r>
      <w:r w:rsidR="00785A3F">
        <w:rPr>
          <w:color w:val="000000"/>
        </w:rPr>
        <w:t>Provide guidance to workers on potential hazards of RF radiation and interference with electronic medical devices, if requested.  In the event of a known or suspected RF overexposure, conduct and exam and arrange for further exams as necessary.</w:t>
      </w:r>
    </w:p>
    <w:p w14:paraId="2D97663A" w14:textId="77777777" w:rsidR="00B24980" w:rsidRDefault="00B24980" w:rsidP="00B07702"/>
    <w:p w14:paraId="0251FF17" w14:textId="3EC059D9" w:rsidR="00B07702" w:rsidRPr="0092172E" w:rsidRDefault="00B32143" w:rsidP="00B07702">
      <w:r>
        <w:rPr>
          <w:b/>
          <w:bCs/>
        </w:rPr>
        <w:t>Worker</w:t>
      </w:r>
      <w:r w:rsidR="00B07702">
        <w:t xml:space="preserve"> – Assist in identifying potential exposures and in implementing any necessary controls. Adhere to requisite safety behaviors.</w:t>
      </w:r>
    </w:p>
    <w:p w14:paraId="1D11C230" w14:textId="77777777" w:rsidR="001E4839" w:rsidRPr="001E4839" w:rsidRDefault="001E4839" w:rsidP="00E00D72"/>
    <w:p w14:paraId="61577999" w14:textId="58BB07E5" w:rsidR="00D929BC" w:rsidRDefault="00F86384" w:rsidP="00E00D72">
      <w:pPr>
        <w:pStyle w:val="Heading1"/>
        <w:keepNext w:val="0"/>
      </w:pPr>
      <w:bookmarkStart w:id="4" w:name="_Toc43813887"/>
      <w:r>
        <w:t>PROCEDURES</w:t>
      </w:r>
      <w:bookmarkEnd w:id="4"/>
    </w:p>
    <w:p w14:paraId="270040FE" w14:textId="044DD0A2" w:rsidR="009F259A" w:rsidRDefault="009F259A" w:rsidP="00780C04">
      <w:r>
        <w:t xml:space="preserve">New </w:t>
      </w:r>
      <w:r w:rsidR="00780C04">
        <w:t>or m</w:t>
      </w:r>
      <w:r>
        <w:t>odified installations</w:t>
      </w:r>
      <w:r w:rsidR="00780C04">
        <w:t xml:space="preserve"> shall undergo </w:t>
      </w:r>
      <w:r w:rsidR="00CF5B27">
        <w:t>a</w:t>
      </w:r>
      <w:r w:rsidR="00101B44">
        <w:t>n Industrial Hygiene Assessment</w:t>
      </w:r>
      <w:r w:rsidR="00CF5B27">
        <w:t xml:space="preserve"> </w:t>
      </w:r>
      <w:r w:rsidR="00101B44">
        <w:t xml:space="preserve">with </w:t>
      </w:r>
      <w:r w:rsidR="00CF5B27">
        <w:t xml:space="preserve">the equipment owner.  Modified installations include </w:t>
      </w:r>
      <w:r w:rsidR="00101B44">
        <w:t xml:space="preserve">those that have undergone </w:t>
      </w:r>
      <w:r w:rsidR="00897B1F">
        <w:t xml:space="preserve">changes </w:t>
      </w:r>
      <w:r w:rsidR="00101B44">
        <w:t>to a</w:t>
      </w:r>
      <w:r w:rsidR="00897B1F">
        <w:t xml:space="preserve"> previously surveyed environment that may affect human exposure, </w:t>
      </w:r>
      <w:r w:rsidR="00101B44">
        <w:t>and</w:t>
      </w:r>
      <w:r w:rsidR="00897B1F">
        <w:t xml:space="preserve"> </w:t>
      </w:r>
      <w:r w:rsidR="00101B44">
        <w:t>those where</w:t>
      </w:r>
      <w:r w:rsidR="00897B1F">
        <w:t xml:space="preserve"> levels of emitted power</w:t>
      </w:r>
      <w:r w:rsidR="00101B44">
        <w:t xml:space="preserve"> have changed</w:t>
      </w:r>
      <w:r w:rsidR="00897B1F">
        <w:t xml:space="preserve">.  </w:t>
      </w:r>
      <w:r w:rsidR="00101B44">
        <w:t xml:space="preserve">Following an Industrial Hygiene Assessment, </w:t>
      </w:r>
      <w:r w:rsidR="005B43CA">
        <w:t>ESH will determine if an Industrial Hygiene Survey is necessary.</w:t>
      </w:r>
    </w:p>
    <w:p w14:paraId="2CF503F4" w14:textId="77777777" w:rsidR="00897B1F" w:rsidRDefault="00897B1F" w:rsidP="00780C04"/>
    <w:p w14:paraId="11867771" w14:textId="1918981C" w:rsidR="00D929BC" w:rsidRDefault="00897B1F" w:rsidP="000667E6">
      <w:pPr>
        <w:pStyle w:val="Heading2"/>
        <w:keepNext w:val="0"/>
      </w:pPr>
      <w:bookmarkStart w:id="5" w:name="_Toc43813888"/>
      <w:r>
        <w:t>Industrial Hygiene Survey</w:t>
      </w:r>
      <w:bookmarkEnd w:id="5"/>
    </w:p>
    <w:p w14:paraId="7C2713F5" w14:textId="77777777" w:rsidR="00897B1F" w:rsidRPr="00897B1F" w:rsidRDefault="00897B1F" w:rsidP="00897B1F"/>
    <w:p w14:paraId="0151295C" w14:textId="7402BCCA" w:rsidR="00124962" w:rsidRDefault="00124962" w:rsidP="00124962">
      <w:r w:rsidRPr="009C1F41">
        <w:t>Depending on the frequency, a survey to determine Electronic Field Strength (E), Magnetic Field Strength (H), or Power Density (S) is performed using appropriate survey meters by</w:t>
      </w:r>
      <w:r>
        <w:t xml:space="preserve"> </w:t>
      </w:r>
      <w:r w:rsidR="00467DC2">
        <w:t xml:space="preserve">the </w:t>
      </w:r>
      <w:r>
        <w:t xml:space="preserve">Industrial </w:t>
      </w:r>
      <w:r>
        <w:lastRenderedPageBreak/>
        <w:t>Hygiene</w:t>
      </w:r>
      <w:r w:rsidR="00467DC2">
        <w:t xml:space="preserve"> Group</w:t>
      </w:r>
      <w:r>
        <w:t xml:space="preserve"> or another trained individual designated by ES</w:t>
      </w:r>
      <w:r w:rsidR="00467DC2">
        <w:t>&amp;</w:t>
      </w:r>
      <w:r>
        <w:t>H</w:t>
      </w:r>
      <w:r w:rsidRPr="009C1F41">
        <w:t>.</w:t>
      </w:r>
      <w:r w:rsidR="005C2651">
        <w:t xml:space="preserve">  </w:t>
      </w:r>
      <w:r>
        <w:t>Measurements shall be performed with an RF survey meter calibrated according to manufacturer specifications.</w:t>
      </w:r>
      <w:r w:rsidR="006B030F">
        <w:t xml:space="preserve">  To request an industrial hygiene survey, contact your DSO.</w:t>
      </w:r>
    </w:p>
    <w:p w14:paraId="43350D38" w14:textId="77777777" w:rsidR="00897B1F" w:rsidRDefault="00897B1F" w:rsidP="00124962"/>
    <w:p w14:paraId="2EC76303" w14:textId="5F22AAE3" w:rsidR="00124962" w:rsidRDefault="00124962" w:rsidP="000667E6">
      <w:pPr>
        <w:pStyle w:val="Heading2"/>
        <w:keepNext w:val="0"/>
      </w:pPr>
      <w:bookmarkStart w:id="6" w:name="_Toc43813889"/>
      <w:r>
        <w:t>Controlling Occupational Exposures</w:t>
      </w:r>
      <w:bookmarkEnd w:id="6"/>
    </w:p>
    <w:p w14:paraId="5002BF19" w14:textId="77777777" w:rsidR="00897B1F" w:rsidRPr="00897B1F" w:rsidRDefault="00897B1F" w:rsidP="00897B1F"/>
    <w:p w14:paraId="5476B34F" w14:textId="77777777" w:rsidR="00124962" w:rsidRDefault="00124962" w:rsidP="00124962">
      <w:r w:rsidRPr="00050168">
        <w:t>Engineering control in accordance with IEEE/ANSI C95.1 should be the primary method used to restrict exposure, whenever practical. If engineering controls are not practical, work-time limits, based on the averaging intervals and other work-practice and administrative controls, shall</w:t>
      </w:r>
      <w:r w:rsidRPr="00050168">
        <w:rPr>
          <w:vertAlign w:val="superscript"/>
        </w:rPr>
        <w:t xml:space="preserve"> </w:t>
      </w:r>
      <w:r w:rsidRPr="00050168">
        <w:t>be used including:</w:t>
      </w:r>
    </w:p>
    <w:p w14:paraId="68C9B3A4" w14:textId="5F51AA73" w:rsidR="00124962" w:rsidRDefault="00100D48" w:rsidP="000667E6">
      <w:pPr>
        <w:pStyle w:val="ListParagraph"/>
        <w:numPr>
          <w:ilvl w:val="0"/>
          <w:numId w:val="11"/>
        </w:numPr>
        <w:spacing w:after="160" w:line="259" w:lineRule="auto"/>
        <w:jc w:val="left"/>
      </w:pPr>
      <w:r>
        <w:t>Hazard Signs</w:t>
      </w:r>
      <w:r w:rsidR="00124962" w:rsidRPr="00050168">
        <w:t xml:space="preserve"> – Signs commensurate with the </w:t>
      </w:r>
      <w:r w:rsidR="00124962">
        <w:t>RF</w:t>
      </w:r>
      <w:r w:rsidR="00124962" w:rsidRPr="00050168">
        <w:t xml:space="preserve"> level should be used to </w:t>
      </w:r>
      <w:r>
        <w:t>inform</w:t>
      </w:r>
      <w:r w:rsidR="00124962" w:rsidRPr="00050168">
        <w:t xml:space="preserve"> personnel of RF hazards. These signs shall</w:t>
      </w:r>
      <w:r w:rsidR="00124962">
        <w:rPr>
          <w:vertAlign w:val="superscript"/>
        </w:rPr>
        <w:t xml:space="preserve"> </w:t>
      </w:r>
      <w:r w:rsidR="00124962" w:rsidRPr="00050168">
        <w:t xml:space="preserve">be posted on access panels of RF enclosures and at entrances to and inside regulated areas. </w:t>
      </w:r>
    </w:p>
    <w:p w14:paraId="1CFD8188" w14:textId="77777777" w:rsidR="00124962" w:rsidRDefault="00124962" w:rsidP="000667E6">
      <w:pPr>
        <w:pStyle w:val="ListParagraph"/>
        <w:numPr>
          <w:ilvl w:val="0"/>
          <w:numId w:val="11"/>
        </w:numPr>
        <w:spacing w:after="160" w:line="259" w:lineRule="auto"/>
        <w:jc w:val="left"/>
      </w:pPr>
      <w:r w:rsidRPr="00050168">
        <w:t>Access Limitation – Access can be limited by controls, such as barriers, interlocks, administrative controls, or other means. The operation supervisor controls access to regulated areas and shall</w:t>
      </w:r>
      <w:r>
        <w:t xml:space="preserve"> </w:t>
      </w:r>
      <w:r w:rsidRPr="00050168">
        <w:t>approve non-routine entry of personnel into these places. When practical, sources of RF radiation should be switched off when not in use.</w:t>
      </w:r>
    </w:p>
    <w:p w14:paraId="445F07E9" w14:textId="77777777" w:rsidR="00124962" w:rsidRDefault="00124962" w:rsidP="000667E6">
      <w:pPr>
        <w:pStyle w:val="ListParagraph"/>
        <w:numPr>
          <w:ilvl w:val="0"/>
          <w:numId w:val="11"/>
        </w:numPr>
        <w:spacing w:after="160" w:line="259" w:lineRule="auto"/>
        <w:jc w:val="left"/>
      </w:pPr>
      <w:r w:rsidRPr="008F0EAB">
        <w:t>Shielding – Shielding that encloses the radiating equipment or provides a barrier between the equipment and the worker may be used to protect personnel. The shielding design should account for the frequency and strength of the field.</w:t>
      </w:r>
    </w:p>
    <w:p w14:paraId="0CBF56C1" w14:textId="77777777" w:rsidR="00124962" w:rsidRDefault="00124962" w:rsidP="000667E6">
      <w:pPr>
        <w:pStyle w:val="ListParagraph"/>
        <w:numPr>
          <w:ilvl w:val="0"/>
          <w:numId w:val="11"/>
        </w:numPr>
        <w:spacing w:after="160" w:line="259" w:lineRule="auto"/>
        <w:jc w:val="left"/>
      </w:pPr>
      <w:r w:rsidRPr="008F0EAB">
        <w:t>Interlocks – Chamber or oven-type equipment that uses microwave radiation shall have interlocks designed to (a) prevent generation of the radiation, unless the chamber is sealed, and (b) shut off such equipment, if the door is opened.</w:t>
      </w:r>
    </w:p>
    <w:p w14:paraId="236FED2D" w14:textId="77777777" w:rsidR="00124962" w:rsidRDefault="00124962" w:rsidP="000667E6">
      <w:pPr>
        <w:pStyle w:val="ListParagraph"/>
        <w:numPr>
          <w:ilvl w:val="0"/>
          <w:numId w:val="11"/>
        </w:numPr>
        <w:spacing w:after="160" w:line="259" w:lineRule="auto"/>
        <w:jc w:val="left"/>
      </w:pPr>
      <w:r w:rsidRPr="008F0EAB">
        <w:t>Lockout/Tagout – The design should incorporate features that allow the equipment to be locked out and tagged out for servicing.</w:t>
      </w:r>
    </w:p>
    <w:p w14:paraId="17EAA0A1" w14:textId="65ACB2E0" w:rsidR="00124962" w:rsidRDefault="00124962" w:rsidP="000667E6">
      <w:pPr>
        <w:pStyle w:val="ListParagraph"/>
        <w:numPr>
          <w:ilvl w:val="0"/>
          <w:numId w:val="11"/>
        </w:numPr>
        <w:spacing w:after="160" w:line="259" w:lineRule="auto"/>
        <w:jc w:val="left"/>
      </w:pPr>
      <w:r w:rsidRPr="008F0EAB">
        <w:t xml:space="preserve">PPE – PPE, such as eyewear is not readily available and is </w:t>
      </w:r>
      <w:r w:rsidR="0007316A">
        <w:t>typically</w:t>
      </w:r>
      <w:r w:rsidRPr="008F0EAB">
        <w:t xml:space="preserve"> not a useful option as protection against RF radiation and fields. Protection should, therefore, be achieved by other means.</w:t>
      </w:r>
      <w:r w:rsidR="0007316A">
        <w:t xml:space="preserve">  For touch contact with conductive objects, the use of protective gloves may assist in reducing exposures.</w:t>
      </w:r>
    </w:p>
    <w:p w14:paraId="50FCCE07" w14:textId="40AF6C3C" w:rsidR="004B52A1" w:rsidRDefault="00124962" w:rsidP="00CE6E25">
      <w:pPr>
        <w:pStyle w:val="Heading2"/>
        <w:keepNext w:val="0"/>
      </w:pPr>
      <w:bookmarkStart w:id="7" w:name="_Hlk37683682"/>
      <w:bookmarkStart w:id="8" w:name="_Toc43813890"/>
      <w:r>
        <w:t>Occupational Exposure Limits</w:t>
      </w:r>
      <w:bookmarkEnd w:id="7"/>
      <w:bookmarkEnd w:id="8"/>
    </w:p>
    <w:p w14:paraId="364F90F8" w14:textId="77777777" w:rsidR="009F259A" w:rsidRDefault="009F259A" w:rsidP="009F259A">
      <w:r>
        <w:t xml:space="preserve">Fermilab relies on Occupational Exposure Limits (OELs) established by the American Conference of Governmental Industrial Hygienists (ACGIH) Threshold Limit Values (TLVs) for guidance in limiting RF hazards.  The TLVs were designed to limit electrostimulation of nerve and muscle tissue at frequencies from 0.03 MHz to 0.1 MHz, and tissue heating above 0.1 </w:t>
      </w:r>
      <w:proofErr w:type="spellStart"/>
      <w:r>
        <w:t>MHz.</w:t>
      </w:r>
      <w:proofErr w:type="spellEnd"/>
      <w:r>
        <w:t xml:space="preserve">  The TLVs are based upon the belief that the primary, adverse physiological effects of electromagnetic energy in the 30 kHz – 300 GHz wavelength and frequency region are thermal.  </w:t>
      </w:r>
      <w:r w:rsidRPr="00BD3559">
        <w:t>However, reported nonthermal</w:t>
      </w:r>
      <w:r>
        <w:t xml:space="preserve"> </w:t>
      </w:r>
      <w:r w:rsidRPr="00BD3559">
        <w:t>biological effects were also considered</w:t>
      </w:r>
      <w:r>
        <w:t>.</w:t>
      </w:r>
    </w:p>
    <w:p w14:paraId="25794B78" w14:textId="77777777" w:rsidR="009F259A" w:rsidRDefault="009F259A" w:rsidP="009F259A">
      <w:r>
        <w:t xml:space="preserve"> </w:t>
      </w:r>
    </w:p>
    <w:p w14:paraId="3950F81C" w14:textId="77777777" w:rsidR="009F259A" w:rsidRDefault="009F259A" w:rsidP="009F259A">
      <w:r>
        <w:t>The ACGIH TLV guidance is based on t</w:t>
      </w:r>
      <w:r>
        <w:rPr>
          <w:color w:val="000000"/>
        </w:rPr>
        <w:t>he nationally recognized consensus IEEE/ANSI standards for personnel exposure to radio-frequency radiation.  Specific standards referenced are as follows:</w:t>
      </w:r>
    </w:p>
    <w:p w14:paraId="724B28E1" w14:textId="77777777" w:rsidR="009F259A" w:rsidRDefault="009F259A" w:rsidP="009F259A">
      <w:pPr>
        <w:pStyle w:val="ListParagraph"/>
        <w:numPr>
          <w:ilvl w:val="0"/>
          <w:numId w:val="9"/>
        </w:numPr>
        <w:spacing w:after="160" w:line="259" w:lineRule="auto"/>
        <w:jc w:val="left"/>
      </w:pPr>
      <w:r>
        <w:t xml:space="preserve">C95.3-2002, </w:t>
      </w:r>
      <w:r w:rsidRPr="00013670">
        <w:rPr>
          <w:i/>
          <w:iCs/>
        </w:rPr>
        <w:t>Recommended Practice for Measurements and Computations of Radiofrequency Electromagnetic Fields with Respect to Human Exposure to Such Fields, 100kHz-300GHz</w:t>
      </w:r>
    </w:p>
    <w:p w14:paraId="486C305B" w14:textId="77777777" w:rsidR="009F259A" w:rsidRDefault="009F259A" w:rsidP="009F259A">
      <w:pPr>
        <w:pStyle w:val="ListParagraph"/>
        <w:numPr>
          <w:ilvl w:val="0"/>
          <w:numId w:val="9"/>
        </w:numPr>
        <w:spacing w:after="160" w:line="259" w:lineRule="auto"/>
        <w:jc w:val="left"/>
      </w:pPr>
      <w:r w:rsidRPr="00013670">
        <w:rPr>
          <w:color w:val="000000"/>
        </w:rPr>
        <w:lastRenderedPageBreak/>
        <w:t xml:space="preserve">C95.1-2005, </w:t>
      </w:r>
      <w:r w:rsidRPr="00013670">
        <w:rPr>
          <w:i/>
          <w:iCs/>
          <w:color w:val="000000"/>
        </w:rPr>
        <w:t>Standard for Safety Levels with Respect to Human Exposure to Radio Frequency Electromagnetic Fields, 3 kHz to 300 GHz</w:t>
      </w:r>
      <w:r w:rsidRPr="00013670">
        <w:rPr>
          <w:color w:val="000000"/>
        </w:rPr>
        <w:t>.</w:t>
      </w:r>
    </w:p>
    <w:p w14:paraId="24D816C9" w14:textId="09479DEA" w:rsidR="009F259A" w:rsidRPr="009F259A" w:rsidRDefault="009F259A" w:rsidP="009F259A">
      <w:pPr>
        <w:pStyle w:val="Heading3"/>
      </w:pPr>
      <w:bookmarkStart w:id="9" w:name="_Toc43813891"/>
      <w:r>
        <w:t>ACGIH TLV</w:t>
      </w:r>
      <w:bookmarkEnd w:id="9"/>
    </w:p>
    <w:p w14:paraId="7FF717BD" w14:textId="07FCEAF8" w:rsidR="004B52A1" w:rsidRDefault="004B52A1" w:rsidP="000667E6">
      <w:pPr>
        <w:pStyle w:val="ListParagraph"/>
        <w:numPr>
          <w:ilvl w:val="0"/>
          <w:numId w:val="12"/>
        </w:numPr>
        <w:spacing w:after="160" w:line="259" w:lineRule="auto"/>
        <w:jc w:val="left"/>
      </w:pPr>
      <w:r>
        <w:t xml:space="preserve">For exposures to electric and magnetic free fields, TLVs in Table 1, Part A refer to exposure values obtained by spatially averaging </w:t>
      </w:r>
      <w:r w:rsidR="00C05B4C">
        <w:t xml:space="preserve">over </w:t>
      </w:r>
      <w:r>
        <w:t>an area equivalent to the vertical cross-section of the human body (projected area).  In the case of partial body exposure, the TLVs can be relaxed.  In nonuniform fields, spatial peak values of field strength may exceed the TLVs if the spatially averaged specific absorption rate (SAR) value remains within the specified limits.</w:t>
      </w:r>
    </w:p>
    <w:p w14:paraId="4556B967" w14:textId="77777777" w:rsidR="004B52A1" w:rsidRDefault="004B52A1" w:rsidP="000667E6">
      <w:pPr>
        <w:pStyle w:val="ListParagraph"/>
        <w:numPr>
          <w:ilvl w:val="0"/>
          <w:numId w:val="12"/>
        </w:numPr>
        <w:spacing w:after="160" w:line="259" w:lineRule="auto"/>
        <w:jc w:val="left"/>
      </w:pPr>
      <w:r>
        <w:t>Access should be restricted to limit the rms RF body current and potential for RF electrostimulation (“shock,” below 0.1 MHz) or perceptible heating (at or above 0.1 MHz) as follows (see Table 1, Part B:</w:t>
      </w:r>
    </w:p>
    <w:p w14:paraId="2B13751E" w14:textId="77777777" w:rsidR="004B52A1" w:rsidRDefault="004B52A1" w:rsidP="000667E6">
      <w:pPr>
        <w:pStyle w:val="ListParagraph"/>
        <w:numPr>
          <w:ilvl w:val="1"/>
          <w:numId w:val="12"/>
        </w:numPr>
        <w:spacing w:after="160" w:line="259" w:lineRule="auto"/>
        <w:jc w:val="left"/>
      </w:pPr>
      <w:r>
        <w:t>For free standing individuals (no contact with metallic objects), RF current induced in the human body, as measured through either foot, should not exceed the following values, where f is the frequency in MHz:</w:t>
      </w:r>
    </w:p>
    <w:p w14:paraId="2480CB6E" w14:textId="6C94E520" w:rsidR="004B52A1" w:rsidRDefault="004B52A1" w:rsidP="000667E6">
      <w:pPr>
        <w:pStyle w:val="ListParagraph"/>
        <w:numPr>
          <w:ilvl w:val="2"/>
          <w:numId w:val="12"/>
        </w:numPr>
        <w:spacing w:after="160" w:line="259" w:lineRule="auto"/>
        <w:jc w:val="left"/>
      </w:pPr>
      <w:r w:rsidRPr="00FD3D24">
        <w:rPr>
          <w:b/>
          <w:bCs/>
        </w:rPr>
        <w:t>I</w:t>
      </w:r>
      <w:r>
        <w:t xml:space="preserve"> = 1000 f mA for (0.03 &lt; f &lt; 0.1 MHz) averaged over 0.2 s; where mA = milliampere</w:t>
      </w:r>
    </w:p>
    <w:p w14:paraId="7C08F208" w14:textId="77777777" w:rsidR="004B52A1" w:rsidRDefault="004B52A1" w:rsidP="000667E6">
      <w:pPr>
        <w:pStyle w:val="ListParagraph"/>
        <w:numPr>
          <w:ilvl w:val="2"/>
          <w:numId w:val="12"/>
        </w:numPr>
        <w:spacing w:after="160" w:line="259" w:lineRule="auto"/>
        <w:jc w:val="left"/>
      </w:pPr>
      <w:r>
        <w:rPr>
          <w:b/>
          <w:bCs/>
        </w:rPr>
        <w:t>I</w:t>
      </w:r>
      <w:r w:rsidRPr="00C75D54">
        <w:t xml:space="preserve"> = 100 mA for (0.1</w:t>
      </w:r>
      <w:r>
        <w:t xml:space="preserve"> &lt; f &lt; 100 MHz) averaged over 6 min</w:t>
      </w:r>
    </w:p>
    <w:p w14:paraId="7E3A0A26" w14:textId="77777777" w:rsidR="004B52A1" w:rsidRDefault="004B52A1" w:rsidP="000667E6">
      <w:pPr>
        <w:pStyle w:val="ListParagraph"/>
        <w:numPr>
          <w:ilvl w:val="1"/>
          <w:numId w:val="12"/>
        </w:numPr>
        <w:spacing w:after="160" w:line="259" w:lineRule="auto"/>
        <w:jc w:val="left"/>
      </w:pPr>
      <w:r w:rsidRPr="00C75D54">
        <w:t>For conditions of possible contact with metallic bodies, the maximum RF current that can be passed into the body as measured with a contact current meter should not exceed the following values:</w:t>
      </w:r>
    </w:p>
    <w:p w14:paraId="13A44DB7" w14:textId="77777777" w:rsidR="004B52A1" w:rsidRDefault="004B52A1" w:rsidP="000667E6">
      <w:pPr>
        <w:pStyle w:val="ListParagraph"/>
        <w:numPr>
          <w:ilvl w:val="2"/>
          <w:numId w:val="12"/>
        </w:numPr>
        <w:spacing w:after="160" w:line="259" w:lineRule="auto"/>
        <w:jc w:val="left"/>
      </w:pPr>
      <w:r w:rsidRPr="00C75D54">
        <w:rPr>
          <w:b/>
          <w:bCs/>
        </w:rPr>
        <w:t>I</w:t>
      </w:r>
      <w:r>
        <w:t xml:space="preserve"> = 1000 f mA for (0.03 &lt; f&lt; 0.1 MHz) (where f is the frequency in MHz) averaged over 0.2 s</w:t>
      </w:r>
    </w:p>
    <w:p w14:paraId="21462D57" w14:textId="77777777" w:rsidR="004B52A1" w:rsidRDefault="004B52A1" w:rsidP="000667E6">
      <w:pPr>
        <w:pStyle w:val="ListParagraph"/>
        <w:numPr>
          <w:ilvl w:val="2"/>
          <w:numId w:val="12"/>
        </w:numPr>
        <w:spacing w:after="160" w:line="259" w:lineRule="auto"/>
        <w:jc w:val="left"/>
      </w:pPr>
      <w:r>
        <w:rPr>
          <w:b/>
          <w:bCs/>
        </w:rPr>
        <w:t>I</w:t>
      </w:r>
      <w:r>
        <w:t xml:space="preserve"> = 100 mA for (0.1 &lt; f &lt; 100 MHz) averaged over 6 min</w:t>
      </w:r>
    </w:p>
    <w:p w14:paraId="1C461D80" w14:textId="77777777" w:rsidR="004B52A1" w:rsidRDefault="004B52A1" w:rsidP="004B52A1">
      <w:r>
        <w:br w:type="page"/>
      </w:r>
    </w:p>
    <w:tbl>
      <w:tblPr>
        <w:tblStyle w:val="TableGrid"/>
        <w:tblW w:w="0" w:type="auto"/>
        <w:jc w:val="center"/>
        <w:tblLook w:val="04A0" w:firstRow="1" w:lastRow="0" w:firstColumn="1" w:lastColumn="0" w:noHBand="0" w:noVBand="1"/>
      </w:tblPr>
      <w:tblGrid>
        <w:gridCol w:w="2223"/>
        <w:gridCol w:w="27"/>
        <w:gridCol w:w="1137"/>
        <w:gridCol w:w="1124"/>
        <w:gridCol w:w="79"/>
        <w:gridCol w:w="1271"/>
        <w:gridCol w:w="25"/>
        <w:gridCol w:w="1314"/>
        <w:gridCol w:w="12"/>
      </w:tblGrid>
      <w:tr w:rsidR="004B52A1" w14:paraId="4F0F578A" w14:textId="77777777" w:rsidTr="004B52A1">
        <w:trPr>
          <w:jc w:val="center"/>
        </w:trPr>
        <w:tc>
          <w:tcPr>
            <w:tcW w:w="7212" w:type="dxa"/>
            <w:gridSpan w:val="9"/>
            <w:tcBorders>
              <w:top w:val="nil"/>
              <w:left w:val="nil"/>
              <w:bottom w:val="single" w:sz="12" w:space="0" w:color="auto"/>
              <w:right w:val="nil"/>
            </w:tcBorders>
          </w:tcPr>
          <w:p w14:paraId="48E6887F" w14:textId="77777777" w:rsidR="004B52A1" w:rsidRPr="00C63B75" w:rsidRDefault="004B52A1" w:rsidP="00897B1F">
            <w:pPr>
              <w:jc w:val="center"/>
              <w:rPr>
                <w:b/>
                <w:bCs/>
              </w:rPr>
            </w:pPr>
            <w:r w:rsidRPr="00C63B75">
              <w:rPr>
                <w:b/>
                <w:bCs/>
              </w:rPr>
              <w:lastRenderedPageBreak/>
              <w:t>Table 1. Radiofrequency and Microwave TLVs</w:t>
            </w:r>
          </w:p>
        </w:tc>
      </w:tr>
      <w:tr w:rsidR="004B52A1" w14:paraId="3DC21260" w14:textId="77777777" w:rsidTr="004B52A1">
        <w:trPr>
          <w:jc w:val="center"/>
        </w:trPr>
        <w:tc>
          <w:tcPr>
            <w:tcW w:w="7212" w:type="dxa"/>
            <w:gridSpan w:val="9"/>
            <w:tcBorders>
              <w:top w:val="single" w:sz="12" w:space="0" w:color="auto"/>
              <w:left w:val="nil"/>
              <w:bottom w:val="single" w:sz="4" w:space="0" w:color="auto"/>
              <w:right w:val="nil"/>
            </w:tcBorders>
          </w:tcPr>
          <w:p w14:paraId="1A9E1616" w14:textId="11435F76" w:rsidR="004B52A1" w:rsidRPr="00C63B75" w:rsidRDefault="004B52A1" w:rsidP="00897B1F">
            <w:pPr>
              <w:jc w:val="center"/>
              <w:rPr>
                <w:b/>
                <w:bCs/>
              </w:rPr>
            </w:pPr>
            <w:r w:rsidRPr="00C63B75">
              <w:rPr>
                <w:b/>
                <w:bCs/>
              </w:rPr>
              <w:t xml:space="preserve">Part A – Electromagnetic </w:t>
            </w:r>
            <w:proofErr w:type="spellStart"/>
            <w:r w:rsidRPr="00C63B75">
              <w:rPr>
                <w:b/>
                <w:bCs/>
              </w:rPr>
              <w:t>Fields</w:t>
            </w:r>
            <w:r w:rsidRPr="004B52A1">
              <w:rPr>
                <w:b/>
                <w:bCs/>
                <w:vertAlign w:val="superscript"/>
              </w:rPr>
              <w:t>A</w:t>
            </w:r>
            <w:proofErr w:type="spellEnd"/>
            <w:r w:rsidRPr="00C63B75">
              <w:rPr>
                <w:b/>
                <w:bCs/>
              </w:rPr>
              <w:t xml:space="preserve"> (f</w:t>
            </w:r>
            <w:r>
              <w:rPr>
                <w:b/>
                <w:bCs/>
              </w:rPr>
              <w:t xml:space="preserve"> = </w:t>
            </w:r>
            <w:r w:rsidRPr="00C63B75">
              <w:rPr>
                <w:b/>
                <w:bCs/>
              </w:rPr>
              <w:t>frequency in MHz)</w:t>
            </w:r>
          </w:p>
        </w:tc>
      </w:tr>
      <w:tr w:rsidR="004B52A1" w14:paraId="15254861" w14:textId="77777777" w:rsidTr="004B52A1">
        <w:trPr>
          <w:jc w:val="center"/>
        </w:trPr>
        <w:tc>
          <w:tcPr>
            <w:tcW w:w="2223" w:type="dxa"/>
            <w:tcBorders>
              <w:top w:val="single" w:sz="4" w:space="0" w:color="auto"/>
              <w:left w:val="nil"/>
              <w:bottom w:val="single" w:sz="4" w:space="0" w:color="auto"/>
              <w:right w:val="nil"/>
            </w:tcBorders>
            <w:vAlign w:val="bottom"/>
          </w:tcPr>
          <w:p w14:paraId="5947B22F" w14:textId="77777777" w:rsidR="004B52A1" w:rsidRPr="00C63B75" w:rsidRDefault="004B52A1" w:rsidP="00897B1F">
            <w:pPr>
              <w:jc w:val="center"/>
              <w:rPr>
                <w:b/>
                <w:bCs/>
              </w:rPr>
            </w:pPr>
            <w:r w:rsidRPr="00C63B75">
              <w:rPr>
                <w:b/>
                <w:bCs/>
              </w:rPr>
              <w:t>Frequency</w:t>
            </w:r>
          </w:p>
        </w:tc>
        <w:tc>
          <w:tcPr>
            <w:tcW w:w="1164" w:type="dxa"/>
            <w:gridSpan w:val="2"/>
            <w:tcBorders>
              <w:top w:val="single" w:sz="4" w:space="0" w:color="auto"/>
              <w:left w:val="nil"/>
              <w:bottom w:val="single" w:sz="4" w:space="0" w:color="auto"/>
              <w:right w:val="nil"/>
            </w:tcBorders>
            <w:vAlign w:val="bottom"/>
          </w:tcPr>
          <w:p w14:paraId="2E8B8F97" w14:textId="77777777" w:rsidR="004B52A1" w:rsidRPr="00C63B75" w:rsidRDefault="004B52A1" w:rsidP="00897B1F">
            <w:pPr>
              <w:jc w:val="center"/>
              <w:rPr>
                <w:b/>
                <w:bCs/>
              </w:rPr>
            </w:pPr>
            <w:r w:rsidRPr="00C63B75">
              <w:rPr>
                <w:b/>
                <w:bCs/>
              </w:rPr>
              <w:t>Power</w:t>
            </w:r>
          </w:p>
          <w:p w14:paraId="3B105784" w14:textId="77777777" w:rsidR="004B52A1" w:rsidRPr="00C63B75" w:rsidRDefault="004B52A1" w:rsidP="00897B1F">
            <w:pPr>
              <w:jc w:val="center"/>
              <w:rPr>
                <w:b/>
                <w:bCs/>
              </w:rPr>
            </w:pPr>
            <w:r w:rsidRPr="00C63B75">
              <w:rPr>
                <w:b/>
                <w:bCs/>
              </w:rPr>
              <w:t>Density, S</w:t>
            </w:r>
          </w:p>
          <w:p w14:paraId="7CFA3D9D" w14:textId="77777777" w:rsidR="004B52A1" w:rsidRPr="00C63B75" w:rsidRDefault="004B52A1" w:rsidP="00897B1F">
            <w:pPr>
              <w:jc w:val="center"/>
              <w:rPr>
                <w:b/>
                <w:bCs/>
              </w:rPr>
            </w:pPr>
            <w:r w:rsidRPr="00C63B75">
              <w:rPr>
                <w:b/>
                <w:bCs/>
              </w:rPr>
              <w:t>(W/m</w:t>
            </w:r>
            <w:r w:rsidRPr="00C63B75">
              <w:rPr>
                <w:b/>
                <w:bCs/>
                <w:vertAlign w:val="superscript"/>
              </w:rPr>
              <w:t>2</w:t>
            </w:r>
            <w:r w:rsidRPr="00C63B75">
              <w:rPr>
                <w:b/>
                <w:bCs/>
              </w:rPr>
              <w:t>)</w:t>
            </w:r>
          </w:p>
        </w:tc>
        <w:tc>
          <w:tcPr>
            <w:tcW w:w="1203" w:type="dxa"/>
            <w:gridSpan w:val="2"/>
            <w:tcBorders>
              <w:top w:val="single" w:sz="4" w:space="0" w:color="auto"/>
              <w:left w:val="nil"/>
              <w:bottom w:val="single" w:sz="4" w:space="0" w:color="auto"/>
              <w:right w:val="nil"/>
            </w:tcBorders>
            <w:vAlign w:val="bottom"/>
          </w:tcPr>
          <w:p w14:paraId="271AA7FF" w14:textId="77777777" w:rsidR="004B52A1" w:rsidRPr="00C63B75" w:rsidRDefault="004B52A1" w:rsidP="00897B1F">
            <w:pPr>
              <w:jc w:val="center"/>
              <w:rPr>
                <w:b/>
                <w:bCs/>
              </w:rPr>
            </w:pPr>
            <w:r w:rsidRPr="00C63B75">
              <w:rPr>
                <w:b/>
                <w:bCs/>
              </w:rPr>
              <w:t>Electric Field Strength, E (V/m)</w:t>
            </w:r>
          </w:p>
        </w:tc>
        <w:tc>
          <w:tcPr>
            <w:tcW w:w="1271" w:type="dxa"/>
            <w:tcBorders>
              <w:top w:val="single" w:sz="4" w:space="0" w:color="auto"/>
              <w:left w:val="nil"/>
              <w:bottom w:val="single" w:sz="4" w:space="0" w:color="auto"/>
              <w:right w:val="nil"/>
            </w:tcBorders>
            <w:vAlign w:val="bottom"/>
          </w:tcPr>
          <w:p w14:paraId="44ABB422" w14:textId="77777777" w:rsidR="004B52A1" w:rsidRPr="00C63B75" w:rsidRDefault="004B52A1" w:rsidP="00897B1F">
            <w:pPr>
              <w:jc w:val="center"/>
              <w:rPr>
                <w:b/>
                <w:bCs/>
              </w:rPr>
            </w:pPr>
            <w:r w:rsidRPr="00C63B75">
              <w:rPr>
                <w:b/>
                <w:bCs/>
              </w:rPr>
              <w:t>Magnetic Field Strength, H (V/m)</w:t>
            </w:r>
          </w:p>
        </w:tc>
        <w:tc>
          <w:tcPr>
            <w:tcW w:w="1351" w:type="dxa"/>
            <w:gridSpan w:val="3"/>
            <w:tcBorders>
              <w:top w:val="single" w:sz="4" w:space="0" w:color="auto"/>
              <w:left w:val="nil"/>
              <w:bottom w:val="single" w:sz="4" w:space="0" w:color="auto"/>
              <w:right w:val="nil"/>
            </w:tcBorders>
            <w:vAlign w:val="bottom"/>
          </w:tcPr>
          <w:p w14:paraId="0A2A55AB" w14:textId="77777777" w:rsidR="004B52A1" w:rsidRPr="00C63B75" w:rsidRDefault="004B52A1" w:rsidP="00897B1F">
            <w:pPr>
              <w:jc w:val="center"/>
              <w:rPr>
                <w:b/>
                <w:bCs/>
              </w:rPr>
            </w:pPr>
            <w:r w:rsidRPr="00C63B75">
              <w:rPr>
                <w:b/>
                <w:bCs/>
              </w:rPr>
              <w:t>Averaging Time E</w:t>
            </w:r>
            <w:r w:rsidRPr="00C63B75">
              <w:rPr>
                <w:b/>
                <w:bCs/>
                <w:vertAlign w:val="superscript"/>
              </w:rPr>
              <w:t>2</w:t>
            </w:r>
            <w:r w:rsidRPr="00C63B75">
              <w:rPr>
                <w:b/>
                <w:bCs/>
              </w:rPr>
              <w:t>, H</w:t>
            </w:r>
            <w:r w:rsidRPr="00C63B75">
              <w:rPr>
                <w:b/>
                <w:bCs/>
                <w:vertAlign w:val="superscript"/>
              </w:rPr>
              <w:t>2</w:t>
            </w:r>
            <w:r w:rsidRPr="00C63B75">
              <w:rPr>
                <w:b/>
                <w:bCs/>
              </w:rPr>
              <w:t>, or S (min)</w:t>
            </w:r>
          </w:p>
        </w:tc>
      </w:tr>
      <w:tr w:rsidR="004B52A1" w14:paraId="2414A3F7" w14:textId="77777777" w:rsidTr="004B52A1">
        <w:trPr>
          <w:jc w:val="center"/>
        </w:trPr>
        <w:tc>
          <w:tcPr>
            <w:tcW w:w="2223" w:type="dxa"/>
            <w:tcBorders>
              <w:top w:val="single" w:sz="4" w:space="0" w:color="auto"/>
              <w:left w:val="nil"/>
              <w:bottom w:val="nil"/>
              <w:right w:val="nil"/>
            </w:tcBorders>
          </w:tcPr>
          <w:p w14:paraId="5256811C" w14:textId="77777777" w:rsidR="004B52A1" w:rsidRDefault="004B52A1" w:rsidP="00897B1F">
            <w:r>
              <w:t>30 kHz – 100 kHz</w:t>
            </w:r>
          </w:p>
        </w:tc>
        <w:tc>
          <w:tcPr>
            <w:tcW w:w="1164" w:type="dxa"/>
            <w:gridSpan w:val="2"/>
            <w:tcBorders>
              <w:top w:val="single" w:sz="4" w:space="0" w:color="auto"/>
              <w:left w:val="nil"/>
              <w:bottom w:val="nil"/>
              <w:right w:val="nil"/>
            </w:tcBorders>
          </w:tcPr>
          <w:p w14:paraId="5BA40123" w14:textId="77777777" w:rsidR="004B52A1" w:rsidRDefault="004B52A1" w:rsidP="00897B1F">
            <w:pPr>
              <w:jc w:val="center"/>
            </w:pPr>
          </w:p>
        </w:tc>
        <w:tc>
          <w:tcPr>
            <w:tcW w:w="1203" w:type="dxa"/>
            <w:gridSpan w:val="2"/>
            <w:tcBorders>
              <w:top w:val="single" w:sz="4" w:space="0" w:color="auto"/>
              <w:left w:val="nil"/>
              <w:bottom w:val="nil"/>
              <w:right w:val="nil"/>
            </w:tcBorders>
          </w:tcPr>
          <w:p w14:paraId="3DCC801F" w14:textId="77777777" w:rsidR="004B52A1" w:rsidRDefault="004B52A1" w:rsidP="00897B1F">
            <w:pPr>
              <w:jc w:val="center"/>
            </w:pPr>
            <w:r>
              <w:t>1842</w:t>
            </w:r>
          </w:p>
        </w:tc>
        <w:tc>
          <w:tcPr>
            <w:tcW w:w="1271" w:type="dxa"/>
            <w:tcBorders>
              <w:top w:val="single" w:sz="4" w:space="0" w:color="auto"/>
              <w:left w:val="nil"/>
              <w:bottom w:val="nil"/>
              <w:right w:val="nil"/>
            </w:tcBorders>
          </w:tcPr>
          <w:p w14:paraId="695BE805" w14:textId="77777777" w:rsidR="004B52A1" w:rsidRDefault="004B52A1" w:rsidP="00897B1F">
            <w:pPr>
              <w:jc w:val="center"/>
            </w:pPr>
            <w:r>
              <w:t>163</w:t>
            </w:r>
          </w:p>
        </w:tc>
        <w:tc>
          <w:tcPr>
            <w:tcW w:w="1351" w:type="dxa"/>
            <w:gridSpan w:val="3"/>
            <w:tcBorders>
              <w:top w:val="single" w:sz="4" w:space="0" w:color="auto"/>
              <w:left w:val="nil"/>
              <w:bottom w:val="nil"/>
              <w:right w:val="nil"/>
            </w:tcBorders>
          </w:tcPr>
          <w:p w14:paraId="05E101F4" w14:textId="77777777" w:rsidR="004B52A1" w:rsidRDefault="004B52A1" w:rsidP="00897B1F">
            <w:pPr>
              <w:jc w:val="center"/>
            </w:pPr>
            <w:r>
              <w:t>6</w:t>
            </w:r>
          </w:p>
        </w:tc>
      </w:tr>
      <w:tr w:rsidR="004B52A1" w14:paraId="5669AA0B" w14:textId="77777777" w:rsidTr="004B52A1">
        <w:trPr>
          <w:jc w:val="center"/>
        </w:trPr>
        <w:tc>
          <w:tcPr>
            <w:tcW w:w="2223" w:type="dxa"/>
            <w:tcBorders>
              <w:top w:val="nil"/>
              <w:left w:val="nil"/>
              <w:bottom w:val="nil"/>
              <w:right w:val="nil"/>
            </w:tcBorders>
          </w:tcPr>
          <w:p w14:paraId="46E308A8" w14:textId="77777777" w:rsidR="004B52A1" w:rsidRDefault="004B52A1" w:rsidP="00897B1F">
            <w:r>
              <w:t>100 kHz – 1 MHz</w:t>
            </w:r>
          </w:p>
        </w:tc>
        <w:tc>
          <w:tcPr>
            <w:tcW w:w="1164" w:type="dxa"/>
            <w:gridSpan w:val="2"/>
            <w:tcBorders>
              <w:top w:val="nil"/>
              <w:left w:val="nil"/>
              <w:bottom w:val="nil"/>
              <w:right w:val="nil"/>
            </w:tcBorders>
          </w:tcPr>
          <w:p w14:paraId="0ECFEB47" w14:textId="77777777" w:rsidR="004B52A1" w:rsidRDefault="004B52A1" w:rsidP="00897B1F">
            <w:pPr>
              <w:jc w:val="center"/>
            </w:pPr>
          </w:p>
        </w:tc>
        <w:tc>
          <w:tcPr>
            <w:tcW w:w="1203" w:type="dxa"/>
            <w:gridSpan w:val="2"/>
            <w:tcBorders>
              <w:top w:val="nil"/>
              <w:left w:val="nil"/>
              <w:bottom w:val="nil"/>
              <w:right w:val="nil"/>
            </w:tcBorders>
          </w:tcPr>
          <w:p w14:paraId="5981B8E4" w14:textId="77777777" w:rsidR="004B52A1" w:rsidRDefault="004B52A1" w:rsidP="00897B1F">
            <w:pPr>
              <w:jc w:val="center"/>
            </w:pPr>
            <w:r>
              <w:t>1842</w:t>
            </w:r>
          </w:p>
        </w:tc>
        <w:tc>
          <w:tcPr>
            <w:tcW w:w="1271" w:type="dxa"/>
            <w:tcBorders>
              <w:top w:val="nil"/>
              <w:left w:val="nil"/>
              <w:bottom w:val="nil"/>
              <w:right w:val="nil"/>
            </w:tcBorders>
          </w:tcPr>
          <w:p w14:paraId="609EE236" w14:textId="77777777" w:rsidR="004B52A1" w:rsidRDefault="004B52A1" w:rsidP="00897B1F">
            <w:pPr>
              <w:jc w:val="center"/>
            </w:pPr>
            <w:r>
              <w:t>16.3/f</w:t>
            </w:r>
          </w:p>
        </w:tc>
        <w:tc>
          <w:tcPr>
            <w:tcW w:w="1351" w:type="dxa"/>
            <w:gridSpan w:val="3"/>
            <w:tcBorders>
              <w:top w:val="nil"/>
              <w:left w:val="nil"/>
              <w:bottom w:val="nil"/>
              <w:right w:val="nil"/>
            </w:tcBorders>
          </w:tcPr>
          <w:p w14:paraId="4A591439" w14:textId="77777777" w:rsidR="004B52A1" w:rsidRDefault="004B52A1" w:rsidP="00897B1F">
            <w:pPr>
              <w:jc w:val="center"/>
            </w:pPr>
            <w:r>
              <w:t>6</w:t>
            </w:r>
          </w:p>
        </w:tc>
      </w:tr>
      <w:tr w:rsidR="004B52A1" w14:paraId="33714102" w14:textId="77777777" w:rsidTr="004B52A1">
        <w:trPr>
          <w:jc w:val="center"/>
        </w:trPr>
        <w:tc>
          <w:tcPr>
            <w:tcW w:w="2223" w:type="dxa"/>
            <w:tcBorders>
              <w:top w:val="nil"/>
              <w:left w:val="nil"/>
              <w:bottom w:val="nil"/>
              <w:right w:val="nil"/>
            </w:tcBorders>
          </w:tcPr>
          <w:p w14:paraId="2EAD51F2" w14:textId="77777777" w:rsidR="004B52A1" w:rsidRDefault="004B52A1" w:rsidP="00897B1F">
            <w:r>
              <w:t>1 MHz – 30 MHz</w:t>
            </w:r>
          </w:p>
        </w:tc>
        <w:tc>
          <w:tcPr>
            <w:tcW w:w="1164" w:type="dxa"/>
            <w:gridSpan w:val="2"/>
            <w:tcBorders>
              <w:top w:val="nil"/>
              <w:left w:val="nil"/>
              <w:bottom w:val="nil"/>
              <w:right w:val="nil"/>
            </w:tcBorders>
          </w:tcPr>
          <w:p w14:paraId="4A2D849C" w14:textId="77777777" w:rsidR="004B52A1" w:rsidRDefault="004B52A1" w:rsidP="00897B1F">
            <w:pPr>
              <w:jc w:val="center"/>
            </w:pPr>
          </w:p>
        </w:tc>
        <w:tc>
          <w:tcPr>
            <w:tcW w:w="1203" w:type="dxa"/>
            <w:gridSpan w:val="2"/>
            <w:tcBorders>
              <w:top w:val="nil"/>
              <w:left w:val="nil"/>
              <w:bottom w:val="nil"/>
              <w:right w:val="nil"/>
            </w:tcBorders>
          </w:tcPr>
          <w:p w14:paraId="4F452A64" w14:textId="77777777" w:rsidR="004B52A1" w:rsidRDefault="004B52A1" w:rsidP="00897B1F">
            <w:pPr>
              <w:jc w:val="center"/>
            </w:pPr>
            <w:r>
              <w:t>1842/f</w:t>
            </w:r>
          </w:p>
        </w:tc>
        <w:tc>
          <w:tcPr>
            <w:tcW w:w="1271" w:type="dxa"/>
            <w:tcBorders>
              <w:top w:val="nil"/>
              <w:left w:val="nil"/>
              <w:bottom w:val="nil"/>
              <w:right w:val="nil"/>
            </w:tcBorders>
          </w:tcPr>
          <w:p w14:paraId="2B781060" w14:textId="77777777" w:rsidR="004B52A1" w:rsidRDefault="004B52A1" w:rsidP="00897B1F">
            <w:pPr>
              <w:jc w:val="center"/>
            </w:pPr>
            <w:r>
              <w:t>16.3/f</w:t>
            </w:r>
          </w:p>
        </w:tc>
        <w:tc>
          <w:tcPr>
            <w:tcW w:w="1351" w:type="dxa"/>
            <w:gridSpan w:val="3"/>
            <w:tcBorders>
              <w:top w:val="nil"/>
              <w:left w:val="nil"/>
              <w:bottom w:val="nil"/>
              <w:right w:val="nil"/>
            </w:tcBorders>
          </w:tcPr>
          <w:p w14:paraId="381908BE" w14:textId="77777777" w:rsidR="004B52A1" w:rsidRDefault="004B52A1" w:rsidP="00897B1F">
            <w:pPr>
              <w:jc w:val="center"/>
            </w:pPr>
            <w:r>
              <w:t>6</w:t>
            </w:r>
          </w:p>
        </w:tc>
      </w:tr>
      <w:tr w:rsidR="004B52A1" w14:paraId="4F2BE47E" w14:textId="77777777" w:rsidTr="004B52A1">
        <w:trPr>
          <w:jc w:val="center"/>
        </w:trPr>
        <w:tc>
          <w:tcPr>
            <w:tcW w:w="2223" w:type="dxa"/>
            <w:tcBorders>
              <w:top w:val="nil"/>
              <w:left w:val="nil"/>
              <w:bottom w:val="nil"/>
              <w:right w:val="nil"/>
            </w:tcBorders>
          </w:tcPr>
          <w:p w14:paraId="1AD7B75B" w14:textId="77777777" w:rsidR="004B52A1" w:rsidRDefault="004B52A1" w:rsidP="00897B1F">
            <w:r>
              <w:t>30 MHz – 100 MHz</w:t>
            </w:r>
          </w:p>
        </w:tc>
        <w:tc>
          <w:tcPr>
            <w:tcW w:w="1164" w:type="dxa"/>
            <w:gridSpan w:val="2"/>
            <w:tcBorders>
              <w:top w:val="nil"/>
              <w:left w:val="nil"/>
              <w:bottom w:val="nil"/>
              <w:right w:val="nil"/>
            </w:tcBorders>
          </w:tcPr>
          <w:p w14:paraId="60A1D86D" w14:textId="77777777" w:rsidR="004B52A1" w:rsidRDefault="004B52A1" w:rsidP="00897B1F">
            <w:pPr>
              <w:jc w:val="center"/>
            </w:pPr>
          </w:p>
        </w:tc>
        <w:tc>
          <w:tcPr>
            <w:tcW w:w="1203" w:type="dxa"/>
            <w:gridSpan w:val="2"/>
            <w:tcBorders>
              <w:top w:val="nil"/>
              <w:left w:val="nil"/>
              <w:bottom w:val="nil"/>
              <w:right w:val="nil"/>
            </w:tcBorders>
          </w:tcPr>
          <w:p w14:paraId="3BF8BA8B" w14:textId="77777777" w:rsidR="004B52A1" w:rsidRDefault="004B52A1" w:rsidP="00897B1F">
            <w:pPr>
              <w:jc w:val="center"/>
            </w:pPr>
            <w:r>
              <w:t>61.4</w:t>
            </w:r>
          </w:p>
        </w:tc>
        <w:tc>
          <w:tcPr>
            <w:tcW w:w="1271" w:type="dxa"/>
            <w:tcBorders>
              <w:top w:val="nil"/>
              <w:left w:val="nil"/>
              <w:bottom w:val="nil"/>
              <w:right w:val="nil"/>
            </w:tcBorders>
          </w:tcPr>
          <w:p w14:paraId="50194461" w14:textId="77777777" w:rsidR="004B52A1" w:rsidRDefault="004B52A1" w:rsidP="00897B1F">
            <w:pPr>
              <w:jc w:val="center"/>
            </w:pPr>
            <w:r>
              <w:t>16.3/f</w:t>
            </w:r>
          </w:p>
        </w:tc>
        <w:tc>
          <w:tcPr>
            <w:tcW w:w="1351" w:type="dxa"/>
            <w:gridSpan w:val="3"/>
            <w:tcBorders>
              <w:top w:val="nil"/>
              <w:left w:val="nil"/>
              <w:bottom w:val="nil"/>
              <w:right w:val="nil"/>
            </w:tcBorders>
          </w:tcPr>
          <w:p w14:paraId="74612DED" w14:textId="77777777" w:rsidR="004B52A1" w:rsidRDefault="004B52A1" w:rsidP="00897B1F">
            <w:pPr>
              <w:jc w:val="center"/>
            </w:pPr>
            <w:r>
              <w:t>6</w:t>
            </w:r>
          </w:p>
        </w:tc>
      </w:tr>
      <w:tr w:rsidR="004B52A1" w14:paraId="50198693" w14:textId="77777777" w:rsidTr="004B52A1">
        <w:trPr>
          <w:jc w:val="center"/>
        </w:trPr>
        <w:tc>
          <w:tcPr>
            <w:tcW w:w="2223" w:type="dxa"/>
            <w:tcBorders>
              <w:top w:val="nil"/>
              <w:left w:val="nil"/>
              <w:bottom w:val="nil"/>
              <w:right w:val="nil"/>
            </w:tcBorders>
          </w:tcPr>
          <w:p w14:paraId="61E9984D" w14:textId="77777777" w:rsidR="004B52A1" w:rsidRDefault="004B52A1" w:rsidP="00897B1F">
            <w:r>
              <w:t>100 MHz – 300 MHz</w:t>
            </w:r>
          </w:p>
        </w:tc>
        <w:tc>
          <w:tcPr>
            <w:tcW w:w="1164" w:type="dxa"/>
            <w:gridSpan w:val="2"/>
            <w:tcBorders>
              <w:top w:val="nil"/>
              <w:left w:val="nil"/>
              <w:bottom w:val="nil"/>
              <w:right w:val="nil"/>
            </w:tcBorders>
          </w:tcPr>
          <w:p w14:paraId="5984BCB4" w14:textId="77777777" w:rsidR="004B52A1" w:rsidRDefault="004B52A1" w:rsidP="00897B1F">
            <w:pPr>
              <w:jc w:val="center"/>
            </w:pPr>
            <w:r>
              <w:t>10</w:t>
            </w:r>
          </w:p>
        </w:tc>
        <w:tc>
          <w:tcPr>
            <w:tcW w:w="1203" w:type="dxa"/>
            <w:gridSpan w:val="2"/>
            <w:tcBorders>
              <w:top w:val="nil"/>
              <w:left w:val="nil"/>
              <w:bottom w:val="nil"/>
              <w:right w:val="nil"/>
            </w:tcBorders>
          </w:tcPr>
          <w:p w14:paraId="54483376" w14:textId="77777777" w:rsidR="004B52A1" w:rsidRDefault="004B52A1" w:rsidP="00897B1F">
            <w:pPr>
              <w:jc w:val="center"/>
            </w:pPr>
            <w:r>
              <w:t>61.4</w:t>
            </w:r>
          </w:p>
        </w:tc>
        <w:tc>
          <w:tcPr>
            <w:tcW w:w="1271" w:type="dxa"/>
            <w:tcBorders>
              <w:top w:val="nil"/>
              <w:left w:val="nil"/>
              <w:bottom w:val="nil"/>
              <w:right w:val="nil"/>
            </w:tcBorders>
          </w:tcPr>
          <w:p w14:paraId="70EB092F" w14:textId="77777777" w:rsidR="004B52A1" w:rsidRDefault="004B52A1" w:rsidP="00897B1F">
            <w:pPr>
              <w:jc w:val="center"/>
            </w:pPr>
            <w:r>
              <w:t>16.3/f</w:t>
            </w:r>
          </w:p>
        </w:tc>
        <w:tc>
          <w:tcPr>
            <w:tcW w:w="1351" w:type="dxa"/>
            <w:gridSpan w:val="3"/>
            <w:tcBorders>
              <w:top w:val="nil"/>
              <w:left w:val="nil"/>
              <w:bottom w:val="nil"/>
              <w:right w:val="nil"/>
            </w:tcBorders>
          </w:tcPr>
          <w:p w14:paraId="03CC4FAE" w14:textId="77777777" w:rsidR="004B52A1" w:rsidRDefault="004B52A1" w:rsidP="00897B1F">
            <w:pPr>
              <w:jc w:val="center"/>
            </w:pPr>
            <w:r>
              <w:t>6</w:t>
            </w:r>
          </w:p>
        </w:tc>
      </w:tr>
      <w:tr w:rsidR="004B52A1" w14:paraId="5EDC5533" w14:textId="77777777" w:rsidTr="004B52A1">
        <w:trPr>
          <w:jc w:val="center"/>
        </w:trPr>
        <w:tc>
          <w:tcPr>
            <w:tcW w:w="2223" w:type="dxa"/>
            <w:tcBorders>
              <w:top w:val="nil"/>
              <w:left w:val="nil"/>
              <w:bottom w:val="nil"/>
              <w:right w:val="nil"/>
            </w:tcBorders>
          </w:tcPr>
          <w:p w14:paraId="7E4C905D" w14:textId="77777777" w:rsidR="004B52A1" w:rsidRDefault="004B52A1" w:rsidP="00897B1F">
            <w:r>
              <w:t>300 MHz – 3 GHz</w:t>
            </w:r>
          </w:p>
        </w:tc>
        <w:tc>
          <w:tcPr>
            <w:tcW w:w="1164" w:type="dxa"/>
            <w:gridSpan w:val="2"/>
            <w:tcBorders>
              <w:top w:val="nil"/>
              <w:left w:val="nil"/>
              <w:bottom w:val="nil"/>
              <w:right w:val="nil"/>
            </w:tcBorders>
          </w:tcPr>
          <w:p w14:paraId="5A4B2D41" w14:textId="77777777" w:rsidR="004B52A1" w:rsidRDefault="004B52A1" w:rsidP="00897B1F">
            <w:pPr>
              <w:jc w:val="center"/>
            </w:pPr>
            <w:r>
              <w:t>f/30</w:t>
            </w:r>
          </w:p>
        </w:tc>
        <w:tc>
          <w:tcPr>
            <w:tcW w:w="1203" w:type="dxa"/>
            <w:gridSpan w:val="2"/>
            <w:tcBorders>
              <w:top w:val="nil"/>
              <w:left w:val="nil"/>
              <w:bottom w:val="nil"/>
              <w:right w:val="nil"/>
            </w:tcBorders>
          </w:tcPr>
          <w:p w14:paraId="1113FEFE" w14:textId="77777777" w:rsidR="004B52A1" w:rsidRDefault="004B52A1" w:rsidP="00897B1F">
            <w:pPr>
              <w:jc w:val="center"/>
            </w:pPr>
          </w:p>
        </w:tc>
        <w:tc>
          <w:tcPr>
            <w:tcW w:w="1271" w:type="dxa"/>
            <w:tcBorders>
              <w:top w:val="nil"/>
              <w:left w:val="nil"/>
              <w:bottom w:val="nil"/>
              <w:right w:val="nil"/>
            </w:tcBorders>
          </w:tcPr>
          <w:p w14:paraId="472A0AB9" w14:textId="77777777" w:rsidR="004B52A1" w:rsidRDefault="004B52A1" w:rsidP="00897B1F">
            <w:pPr>
              <w:jc w:val="center"/>
            </w:pPr>
          </w:p>
        </w:tc>
        <w:tc>
          <w:tcPr>
            <w:tcW w:w="1351" w:type="dxa"/>
            <w:gridSpan w:val="3"/>
            <w:tcBorders>
              <w:top w:val="nil"/>
              <w:left w:val="nil"/>
              <w:bottom w:val="nil"/>
              <w:right w:val="nil"/>
            </w:tcBorders>
          </w:tcPr>
          <w:p w14:paraId="32EA3ABE" w14:textId="77777777" w:rsidR="004B52A1" w:rsidRDefault="004B52A1" w:rsidP="00897B1F">
            <w:pPr>
              <w:jc w:val="center"/>
            </w:pPr>
            <w:r>
              <w:t>6</w:t>
            </w:r>
          </w:p>
        </w:tc>
      </w:tr>
      <w:tr w:rsidR="004B52A1" w14:paraId="082C918D" w14:textId="77777777" w:rsidTr="004B52A1">
        <w:trPr>
          <w:jc w:val="center"/>
        </w:trPr>
        <w:tc>
          <w:tcPr>
            <w:tcW w:w="2223" w:type="dxa"/>
            <w:tcBorders>
              <w:top w:val="nil"/>
              <w:left w:val="nil"/>
              <w:bottom w:val="nil"/>
              <w:right w:val="nil"/>
            </w:tcBorders>
          </w:tcPr>
          <w:p w14:paraId="45BD7EFC" w14:textId="77777777" w:rsidR="004B52A1" w:rsidRDefault="004B52A1" w:rsidP="00897B1F">
            <w:r>
              <w:t>3 GHz – 30 GHz</w:t>
            </w:r>
          </w:p>
        </w:tc>
        <w:tc>
          <w:tcPr>
            <w:tcW w:w="1164" w:type="dxa"/>
            <w:gridSpan w:val="2"/>
            <w:tcBorders>
              <w:top w:val="nil"/>
              <w:left w:val="nil"/>
              <w:bottom w:val="nil"/>
              <w:right w:val="nil"/>
            </w:tcBorders>
          </w:tcPr>
          <w:p w14:paraId="11BD743F" w14:textId="77777777" w:rsidR="004B52A1" w:rsidRDefault="004B52A1" w:rsidP="00897B1F">
            <w:pPr>
              <w:jc w:val="center"/>
            </w:pPr>
            <w:r>
              <w:t>100</w:t>
            </w:r>
          </w:p>
        </w:tc>
        <w:tc>
          <w:tcPr>
            <w:tcW w:w="1203" w:type="dxa"/>
            <w:gridSpan w:val="2"/>
            <w:tcBorders>
              <w:top w:val="nil"/>
              <w:left w:val="nil"/>
              <w:bottom w:val="nil"/>
              <w:right w:val="nil"/>
            </w:tcBorders>
          </w:tcPr>
          <w:p w14:paraId="2C21618A" w14:textId="77777777" w:rsidR="004B52A1" w:rsidRDefault="004B52A1" w:rsidP="00897B1F">
            <w:pPr>
              <w:jc w:val="center"/>
            </w:pPr>
          </w:p>
        </w:tc>
        <w:tc>
          <w:tcPr>
            <w:tcW w:w="1271" w:type="dxa"/>
            <w:tcBorders>
              <w:top w:val="nil"/>
              <w:left w:val="nil"/>
              <w:bottom w:val="nil"/>
              <w:right w:val="nil"/>
            </w:tcBorders>
          </w:tcPr>
          <w:p w14:paraId="17A7BE02" w14:textId="77777777" w:rsidR="004B52A1" w:rsidRDefault="004B52A1" w:rsidP="00897B1F">
            <w:pPr>
              <w:jc w:val="center"/>
            </w:pPr>
          </w:p>
        </w:tc>
        <w:tc>
          <w:tcPr>
            <w:tcW w:w="1351" w:type="dxa"/>
            <w:gridSpan w:val="3"/>
            <w:tcBorders>
              <w:top w:val="nil"/>
              <w:left w:val="nil"/>
              <w:bottom w:val="nil"/>
              <w:right w:val="nil"/>
            </w:tcBorders>
          </w:tcPr>
          <w:p w14:paraId="19310229" w14:textId="77777777" w:rsidR="004B52A1" w:rsidRPr="00EC3956" w:rsidRDefault="004B52A1" w:rsidP="00897B1F">
            <w:pPr>
              <w:jc w:val="center"/>
              <w:rPr>
                <w:vertAlign w:val="superscript"/>
              </w:rPr>
            </w:pPr>
            <w:r>
              <w:t>34000/f</w:t>
            </w:r>
            <w:r>
              <w:rPr>
                <w:vertAlign w:val="superscript"/>
              </w:rPr>
              <w:t>1.079</w:t>
            </w:r>
          </w:p>
        </w:tc>
      </w:tr>
      <w:tr w:rsidR="004B52A1" w14:paraId="12D7ABB8" w14:textId="77777777" w:rsidTr="004B52A1">
        <w:trPr>
          <w:jc w:val="center"/>
        </w:trPr>
        <w:tc>
          <w:tcPr>
            <w:tcW w:w="2223" w:type="dxa"/>
            <w:tcBorders>
              <w:top w:val="nil"/>
              <w:left w:val="nil"/>
              <w:bottom w:val="single" w:sz="4" w:space="0" w:color="auto"/>
              <w:right w:val="nil"/>
            </w:tcBorders>
          </w:tcPr>
          <w:p w14:paraId="30D8799B" w14:textId="77777777" w:rsidR="004B52A1" w:rsidRDefault="004B52A1" w:rsidP="00897B1F">
            <w:r>
              <w:t>30 GHz – 300 GHz</w:t>
            </w:r>
          </w:p>
        </w:tc>
        <w:tc>
          <w:tcPr>
            <w:tcW w:w="1164" w:type="dxa"/>
            <w:gridSpan w:val="2"/>
            <w:tcBorders>
              <w:top w:val="nil"/>
              <w:left w:val="nil"/>
              <w:bottom w:val="single" w:sz="4" w:space="0" w:color="auto"/>
              <w:right w:val="nil"/>
            </w:tcBorders>
          </w:tcPr>
          <w:p w14:paraId="7BBE0FAA" w14:textId="77777777" w:rsidR="004B52A1" w:rsidRDefault="004B52A1" w:rsidP="00897B1F">
            <w:pPr>
              <w:jc w:val="center"/>
            </w:pPr>
            <w:r>
              <w:t>100</w:t>
            </w:r>
          </w:p>
        </w:tc>
        <w:tc>
          <w:tcPr>
            <w:tcW w:w="1203" w:type="dxa"/>
            <w:gridSpan w:val="2"/>
            <w:tcBorders>
              <w:top w:val="nil"/>
              <w:left w:val="nil"/>
              <w:bottom w:val="single" w:sz="4" w:space="0" w:color="auto"/>
              <w:right w:val="nil"/>
            </w:tcBorders>
          </w:tcPr>
          <w:p w14:paraId="456BDD3A" w14:textId="77777777" w:rsidR="004B52A1" w:rsidRDefault="004B52A1" w:rsidP="00897B1F">
            <w:pPr>
              <w:jc w:val="center"/>
            </w:pPr>
          </w:p>
        </w:tc>
        <w:tc>
          <w:tcPr>
            <w:tcW w:w="1271" w:type="dxa"/>
            <w:tcBorders>
              <w:top w:val="nil"/>
              <w:left w:val="nil"/>
              <w:bottom w:val="single" w:sz="4" w:space="0" w:color="auto"/>
              <w:right w:val="nil"/>
            </w:tcBorders>
          </w:tcPr>
          <w:p w14:paraId="5612C645" w14:textId="77777777" w:rsidR="004B52A1" w:rsidRDefault="004B52A1" w:rsidP="00897B1F">
            <w:pPr>
              <w:jc w:val="center"/>
            </w:pPr>
          </w:p>
        </w:tc>
        <w:tc>
          <w:tcPr>
            <w:tcW w:w="1351" w:type="dxa"/>
            <w:gridSpan w:val="3"/>
            <w:tcBorders>
              <w:top w:val="nil"/>
              <w:left w:val="nil"/>
              <w:bottom w:val="single" w:sz="4" w:space="0" w:color="auto"/>
              <w:right w:val="nil"/>
            </w:tcBorders>
          </w:tcPr>
          <w:p w14:paraId="294D3ADB" w14:textId="77777777" w:rsidR="004B52A1" w:rsidRPr="00EC3956" w:rsidRDefault="004B52A1" w:rsidP="00897B1F">
            <w:pPr>
              <w:jc w:val="center"/>
              <w:rPr>
                <w:vertAlign w:val="superscript"/>
              </w:rPr>
            </w:pPr>
            <w:r>
              <w:t>68/f</w:t>
            </w:r>
            <w:r>
              <w:rPr>
                <w:vertAlign w:val="superscript"/>
              </w:rPr>
              <w:t>0.476</w:t>
            </w:r>
          </w:p>
        </w:tc>
      </w:tr>
      <w:tr w:rsidR="004B52A1" w14:paraId="0C3CF1C4" w14:textId="77777777" w:rsidTr="004B52A1">
        <w:trPr>
          <w:jc w:val="center"/>
        </w:trPr>
        <w:tc>
          <w:tcPr>
            <w:tcW w:w="7212" w:type="dxa"/>
            <w:gridSpan w:val="9"/>
            <w:tcBorders>
              <w:top w:val="single" w:sz="4" w:space="0" w:color="auto"/>
              <w:left w:val="nil"/>
              <w:bottom w:val="single" w:sz="12" w:space="0" w:color="auto"/>
              <w:right w:val="nil"/>
            </w:tcBorders>
          </w:tcPr>
          <w:p w14:paraId="76E3623F" w14:textId="24702A5E" w:rsidR="004B52A1" w:rsidRPr="00A2289B" w:rsidRDefault="004B52A1" w:rsidP="00897B1F">
            <w:proofErr w:type="spellStart"/>
            <w:r w:rsidRPr="004B52A1">
              <w:rPr>
                <w:sz w:val="18"/>
                <w:szCs w:val="18"/>
                <w:vertAlign w:val="superscript"/>
              </w:rPr>
              <w:t>A</w:t>
            </w:r>
            <w:r w:rsidRPr="00CC6CD5">
              <w:rPr>
                <w:sz w:val="18"/>
                <w:szCs w:val="18"/>
              </w:rPr>
              <w:t>The</w:t>
            </w:r>
            <w:proofErr w:type="spellEnd"/>
            <w:r w:rsidRPr="00CC6CD5">
              <w:rPr>
                <w:sz w:val="18"/>
                <w:szCs w:val="18"/>
              </w:rPr>
              <w:t xml:space="preserve"> exposure values in terms of electric and magnetic field strengths are obtained by spatially averaging over an area equivalent to the vertical cross-section of the human body (projected area).  At frequencies between 100 MHz and 300 MHz, the TLV is defined in the near field of the source in terms of electric and magnetic field, and in the far field in terms of the power density of the wave.  At frequencies above 30 GHz, the power density TLV is the limit of exposure averaged over any contiguous 0.01 m</w:t>
            </w:r>
            <w:r w:rsidRPr="00CC6CD5">
              <w:rPr>
                <w:sz w:val="18"/>
                <w:szCs w:val="18"/>
                <w:vertAlign w:val="superscript"/>
              </w:rPr>
              <w:t>2</w:t>
            </w:r>
            <w:r w:rsidRPr="00CC6CD5">
              <w:rPr>
                <w:sz w:val="18"/>
                <w:szCs w:val="18"/>
              </w:rPr>
              <w:t xml:space="preserve"> of body surface.  However, above 30 GHz the maximum power density is 1000 W/m</w:t>
            </w:r>
            <w:r w:rsidRPr="00CC6CD5">
              <w:rPr>
                <w:sz w:val="18"/>
                <w:szCs w:val="18"/>
                <w:vertAlign w:val="superscript"/>
              </w:rPr>
              <w:t>2</w:t>
            </w:r>
            <w:r w:rsidRPr="00CC6CD5">
              <w:rPr>
                <w:sz w:val="18"/>
                <w:szCs w:val="18"/>
              </w:rPr>
              <w:t xml:space="preserve"> in any one square centimeter.</w:t>
            </w:r>
          </w:p>
        </w:tc>
      </w:tr>
      <w:tr w:rsidR="004B52A1" w14:paraId="0F81F069" w14:textId="77777777" w:rsidTr="00DC45E9">
        <w:trPr>
          <w:gridAfter w:val="1"/>
          <w:wAfter w:w="12" w:type="dxa"/>
          <w:jc w:val="center"/>
        </w:trPr>
        <w:tc>
          <w:tcPr>
            <w:tcW w:w="7200" w:type="dxa"/>
            <w:gridSpan w:val="8"/>
            <w:tcBorders>
              <w:top w:val="nil"/>
              <w:left w:val="nil"/>
              <w:bottom w:val="single" w:sz="4" w:space="0" w:color="auto"/>
              <w:right w:val="nil"/>
            </w:tcBorders>
          </w:tcPr>
          <w:p w14:paraId="1913AED1" w14:textId="77777777" w:rsidR="004B52A1" w:rsidRPr="00C63B75" w:rsidRDefault="004B52A1" w:rsidP="00897B1F">
            <w:pPr>
              <w:jc w:val="center"/>
              <w:rPr>
                <w:b/>
                <w:bCs/>
              </w:rPr>
            </w:pPr>
            <w:r w:rsidRPr="00C63B75">
              <w:rPr>
                <w:b/>
                <w:bCs/>
              </w:rPr>
              <w:t>Part B – Maximum Induced and Contact</w:t>
            </w:r>
          </w:p>
          <w:p w14:paraId="23264DC3" w14:textId="77777777" w:rsidR="004B52A1" w:rsidRDefault="004B52A1" w:rsidP="00897B1F">
            <w:pPr>
              <w:jc w:val="center"/>
            </w:pPr>
            <w:r w:rsidRPr="00C63B75">
              <w:rPr>
                <w:b/>
                <w:bCs/>
              </w:rPr>
              <w:t>Radiofrequency Currents (mA)</w:t>
            </w:r>
            <w:r w:rsidRPr="00C63B75">
              <w:rPr>
                <w:b/>
                <w:bCs/>
                <w:vertAlign w:val="superscript"/>
              </w:rPr>
              <w:t>B</w:t>
            </w:r>
          </w:p>
        </w:tc>
      </w:tr>
      <w:tr w:rsidR="004B52A1" w14:paraId="10E85405" w14:textId="77777777" w:rsidTr="00DC45E9">
        <w:trPr>
          <w:gridAfter w:val="1"/>
          <w:wAfter w:w="12" w:type="dxa"/>
          <w:jc w:val="center"/>
        </w:trPr>
        <w:tc>
          <w:tcPr>
            <w:tcW w:w="2250" w:type="dxa"/>
            <w:gridSpan w:val="2"/>
            <w:tcBorders>
              <w:top w:val="single" w:sz="4" w:space="0" w:color="auto"/>
              <w:left w:val="nil"/>
              <w:bottom w:val="single" w:sz="4" w:space="0" w:color="auto"/>
              <w:right w:val="nil"/>
            </w:tcBorders>
            <w:vAlign w:val="bottom"/>
          </w:tcPr>
          <w:p w14:paraId="06F092F6" w14:textId="77777777" w:rsidR="004B52A1" w:rsidRPr="00C63B75" w:rsidRDefault="004B52A1" w:rsidP="00897B1F">
            <w:pPr>
              <w:jc w:val="center"/>
              <w:rPr>
                <w:b/>
                <w:bCs/>
              </w:rPr>
            </w:pPr>
            <w:r w:rsidRPr="00C63B75">
              <w:rPr>
                <w:b/>
                <w:bCs/>
              </w:rPr>
              <w:t>Frequency</w:t>
            </w:r>
          </w:p>
        </w:tc>
        <w:tc>
          <w:tcPr>
            <w:tcW w:w="1137" w:type="dxa"/>
            <w:tcBorders>
              <w:top w:val="single" w:sz="4" w:space="0" w:color="auto"/>
              <w:left w:val="nil"/>
              <w:bottom w:val="single" w:sz="4" w:space="0" w:color="auto"/>
              <w:right w:val="nil"/>
            </w:tcBorders>
            <w:vAlign w:val="bottom"/>
          </w:tcPr>
          <w:p w14:paraId="56429E4A" w14:textId="77777777" w:rsidR="004B52A1" w:rsidRPr="00C63B75" w:rsidRDefault="004B52A1" w:rsidP="00897B1F">
            <w:pPr>
              <w:jc w:val="center"/>
              <w:rPr>
                <w:b/>
                <w:bCs/>
              </w:rPr>
            </w:pPr>
            <w:r w:rsidRPr="00C63B75">
              <w:rPr>
                <w:b/>
                <w:bCs/>
              </w:rPr>
              <w:t>Through Both Feet</w:t>
            </w:r>
          </w:p>
        </w:tc>
        <w:tc>
          <w:tcPr>
            <w:tcW w:w="1124" w:type="dxa"/>
            <w:tcBorders>
              <w:top w:val="single" w:sz="4" w:space="0" w:color="auto"/>
              <w:left w:val="nil"/>
              <w:bottom w:val="single" w:sz="4" w:space="0" w:color="auto"/>
              <w:right w:val="nil"/>
            </w:tcBorders>
            <w:vAlign w:val="bottom"/>
          </w:tcPr>
          <w:p w14:paraId="54BF5C31" w14:textId="77777777" w:rsidR="004B52A1" w:rsidRPr="00C63B75" w:rsidRDefault="004B52A1" w:rsidP="00897B1F">
            <w:pPr>
              <w:jc w:val="center"/>
              <w:rPr>
                <w:b/>
                <w:bCs/>
              </w:rPr>
            </w:pPr>
            <w:r w:rsidRPr="00C63B75">
              <w:rPr>
                <w:b/>
                <w:bCs/>
              </w:rPr>
              <w:t>Through Either Foot</w:t>
            </w:r>
          </w:p>
        </w:tc>
        <w:tc>
          <w:tcPr>
            <w:tcW w:w="1375" w:type="dxa"/>
            <w:gridSpan w:val="3"/>
            <w:tcBorders>
              <w:top w:val="single" w:sz="4" w:space="0" w:color="auto"/>
              <w:left w:val="nil"/>
              <w:bottom w:val="single" w:sz="4" w:space="0" w:color="auto"/>
              <w:right w:val="nil"/>
            </w:tcBorders>
            <w:vAlign w:val="bottom"/>
          </w:tcPr>
          <w:p w14:paraId="4C409F70" w14:textId="77777777" w:rsidR="004B52A1" w:rsidRPr="00C63B75" w:rsidRDefault="004B52A1" w:rsidP="00897B1F">
            <w:pPr>
              <w:jc w:val="center"/>
              <w:rPr>
                <w:b/>
                <w:bCs/>
              </w:rPr>
            </w:pPr>
            <w:r w:rsidRPr="00C63B75">
              <w:rPr>
                <w:b/>
                <w:bCs/>
              </w:rPr>
              <w:t>Grasping</w:t>
            </w:r>
            <w:r w:rsidRPr="00C63B75">
              <w:rPr>
                <w:b/>
                <w:bCs/>
                <w:vertAlign w:val="superscript"/>
              </w:rPr>
              <w:t>B1</w:t>
            </w:r>
          </w:p>
        </w:tc>
        <w:tc>
          <w:tcPr>
            <w:tcW w:w="1314" w:type="dxa"/>
            <w:tcBorders>
              <w:top w:val="single" w:sz="4" w:space="0" w:color="auto"/>
              <w:left w:val="nil"/>
              <w:bottom w:val="single" w:sz="4" w:space="0" w:color="auto"/>
              <w:right w:val="nil"/>
            </w:tcBorders>
            <w:vAlign w:val="bottom"/>
          </w:tcPr>
          <w:p w14:paraId="66316B25" w14:textId="77777777" w:rsidR="004B52A1" w:rsidRPr="00C63B75" w:rsidRDefault="004B52A1" w:rsidP="00897B1F">
            <w:pPr>
              <w:jc w:val="center"/>
              <w:rPr>
                <w:b/>
                <w:bCs/>
              </w:rPr>
            </w:pPr>
            <w:r w:rsidRPr="00C63B75">
              <w:rPr>
                <w:b/>
                <w:bCs/>
              </w:rPr>
              <w:t>Average Time</w:t>
            </w:r>
          </w:p>
        </w:tc>
      </w:tr>
      <w:tr w:rsidR="004B52A1" w14:paraId="5A6CB395" w14:textId="77777777" w:rsidTr="00DC45E9">
        <w:trPr>
          <w:gridAfter w:val="1"/>
          <w:wAfter w:w="12" w:type="dxa"/>
          <w:jc w:val="center"/>
        </w:trPr>
        <w:tc>
          <w:tcPr>
            <w:tcW w:w="2250" w:type="dxa"/>
            <w:gridSpan w:val="2"/>
            <w:tcBorders>
              <w:top w:val="single" w:sz="4" w:space="0" w:color="auto"/>
              <w:left w:val="nil"/>
              <w:bottom w:val="nil"/>
              <w:right w:val="nil"/>
            </w:tcBorders>
          </w:tcPr>
          <w:p w14:paraId="3BEBF4AC" w14:textId="77777777" w:rsidR="004B52A1" w:rsidRDefault="004B52A1" w:rsidP="00897B1F">
            <w:r>
              <w:t>30 kHz – 100 kHz</w:t>
            </w:r>
          </w:p>
        </w:tc>
        <w:tc>
          <w:tcPr>
            <w:tcW w:w="1137" w:type="dxa"/>
            <w:tcBorders>
              <w:top w:val="single" w:sz="4" w:space="0" w:color="auto"/>
              <w:left w:val="nil"/>
              <w:bottom w:val="nil"/>
              <w:right w:val="nil"/>
            </w:tcBorders>
          </w:tcPr>
          <w:p w14:paraId="66162E71" w14:textId="77777777" w:rsidR="004B52A1" w:rsidRDefault="004B52A1" w:rsidP="00897B1F">
            <w:pPr>
              <w:jc w:val="center"/>
            </w:pPr>
            <w:r>
              <w:t>2000 f</w:t>
            </w:r>
          </w:p>
        </w:tc>
        <w:tc>
          <w:tcPr>
            <w:tcW w:w="1124" w:type="dxa"/>
            <w:tcBorders>
              <w:top w:val="single" w:sz="4" w:space="0" w:color="auto"/>
              <w:left w:val="nil"/>
              <w:bottom w:val="nil"/>
              <w:right w:val="nil"/>
            </w:tcBorders>
          </w:tcPr>
          <w:p w14:paraId="7C009B96" w14:textId="77777777" w:rsidR="004B52A1" w:rsidRDefault="004B52A1" w:rsidP="00897B1F">
            <w:pPr>
              <w:jc w:val="center"/>
            </w:pPr>
            <w:r>
              <w:t>1000 f</w:t>
            </w:r>
          </w:p>
        </w:tc>
        <w:tc>
          <w:tcPr>
            <w:tcW w:w="1375" w:type="dxa"/>
            <w:gridSpan w:val="3"/>
            <w:tcBorders>
              <w:top w:val="single" w:sz="4" w:space="0" w:color="auto"/>
              <w:left w:val="nil"/>
              <w:bottom w:val="nil"/>
              <w:right w:val="nil"/>
            </w:tcBorders>
          </w:tcPr>
          <w:p w14:paraId="3E5DB0F8" w14:textId="77777777" w:rsidR="004B52A1" w:rsidRDefault="004B52A1" w:rsidP="00897B1F">
            <w:pPr>
              <w:jc w:val="center"/>
            </w:pPr>
            <w:r>
              <w:t>1000 f</w:t>
            </w:r>
          </w:p>
        </w:tc>
        <w:tc>
          <w:tcPr>
            <w:tcW w:w="1314" w:type="dxa"/>
            <w:tcBorders>
              <w:top w:val="single" w:sz="4" w:space="0" w:color="auto"/>
              <w:left w:val="nil"/>
              <w:bottom w:val="nil"/>
              <w:right w:val="nil"/>
            </w:tcBorders>
          </w:tcPr>
          <w:p w14:paraId="2B5AEE17" w14:textId="77777777" w:rsidR="004B52A1" w:rsidRPr="003672DE" w:rsidRDefault="004B52A1" w:rsidP="00897B1F">
            <w:pPr>
              <w:jc w:val="center"/>
              <w:rPr>
                <w:vertAlign w:val="superscript"/>
              </w:rPr>
            </w:pPr>
            <w:r>
              <w:t xml:space="preserve">0.2 </w:t>
            </w:r>
            <w:proofErr w:type="spellStart"/>
            <w:r>
              <w:t>s</w:t>
            </w:r>
            <w:r>
              <w:rPr>
                <w:vertAlign w:val="superscript"/>
              </w:rPr>
              <w:t>C</w:t>
            </w:r>
            <w:proofErr w:type="spellEnd"/>
          </w:p>
        </w:tc>
      </w:tr>
      <w:tr w:rsidR="004B52A1" w14:paraId="47AF8AC5" w14:textId="77777777" w:rsidTr="00DC45E9">
        <w:trPr>
          <w:gridAfter w:val="1"/>
          <w:wAfter w:w="12" w:type="dxa"/>
          <w:jc w:val="center"/>
        </w:trPr>
        <w:tc>
          <w:tcPr>
            <w:tcW w:w="2250" w:type="dxa"/>
            <w:gridSpan w:val="2"/>
            <w:tcBorders>
              <w:top w:val="nil"/>
              <w:left w:val="nil"/>
              <w:bottom w:val="single" w:sz="4" w:space="0" w:color="auto"/>
              <w:right w:val="nil"/>
            </w:tcBorders>
          </w:tcPr>
          <w:p w14:paraId="1732430F" w14:textId="77777777" w:rsidR="004B52A1" w:rsidRDefault="004B52A1" w:rsidP="00897B1F">
            <w:r>
              <w:t>100 kHz – 100 MHz</w:t>
            </w:r>
          </w:p>
        </w:tc>
        <w:tc>
          <w:tcPr>
            <w:tcW w:w="1137" w:type="dxa"/>
            <w:tcBorders>
              <w:top w:val="nil"/>
              <w:left w:val="nil"/>
              <w:bottom w:val="single" w:sz="4" w:space="0" w:color="auto"/>
              <w:right w:val="nil"/>
            </w:tcBorders>
          </w:tcPr>
          <w:p w14:paraId="7E434773" w14:textId="77777777" w:rsidR="004B52A1" w:rsidRDefault="004B52A1" w:rsidP="00897B1F">
            <w:pPr>
              <w:jc w:val="center"/>
            </w:pPr>
            <w:r>
              <w:t>200</w:t>
            </w:r>
          </w:p>
        </w:tc>
        <w:tc>
          <w:tcPr>
            <w:tcW w:w="1124" w:type="dxa"/>
            <w:tcBorders>
              <w:top w:val="nil"/>
              <w:left w:val="nil"/>
              <w:bottom w:val="single" w:sz="4" w:space="0" w:color="auto"/>
              <w:right w:val="nil"/>
            </w:tcBorders>
          </w:tcPr>
          <w:p w14:paraId="7618FF09" w14:textId="77777777" w:rsidR="004B52A1" w:rsidRDefault="004B52A1" w:rsidP="00897B1F">
            <w:pPr>
              <w:jc w:val="center"/>
            </w:pPr>
            <w:r>
              <w:t>100</w:t>
            </w:r>
          </w:p>
        </w:tc>
        <w:tc>
          <w:tcPr>
            <w:tcW w:w="1375" w:type="dxa"/>
            <w:gridSpan w:val="3"/>
            <w:tcBorders>
              <w:top w:val="nil"/>
              <w:left w:val="nil"/>
              <w:bottom w:val="single" w:sz="4" w:space="0" w:color="auto"/>
              <w:right w:val="nil"/>
            </w:tcBorders>
          </w:tcPr>
          <w:p w14:paraId="37FCEAA4" w14:textId="77777777" w:rsidR="004B52A1" w:rsidRDefault="004B52A1" w:rsidP="00897B1F">
            <w:pPr>
              <w:jc w:val="center"/>
            </w:pPr>
            <w:r>
              <w:t>100</w:t>
            </w:r>
          </w:p>
        </w:tc>
        <w:tc>
          <w:tcPr>
            <w:tcW w:w="1314" w:type="dxa"/>
            <w:tcBorders>
              <w:top w:val="nil"/>
              <w:left w:val="nil"/>
              <w:bottom w:val="single" w:sz="4" w:space="0" w:color="auto"/>
              <w:right w:val="nil"/>
            </w:tcBorders>
          </w:tcPr>
          <w:p w14:paraId="7CC25E7B" w14:textId="77777777" w:rsidR="004B52A1" w:rsidRDefault="004B52A1" w:rsidP="00897B1F">
            <w:pPr>
              <w:jc w:val="center"/>
            </w:pPr>
            <w:r>
              <w:t xml:space="preserve">6 </w:t>
            </w:r>
            <w:proofErr w:type="spellStart"/>
            <w:proofErr w:type="gramStart"/>
            <w:r>
              <w:t>min</w:t>
            </w:r>
            <w:r w:rsidRPr="00CC6CD5">
              <w:rPr>
                <w:vertAlign w:val="superscript"/>
              </w:rPr>
              <w:t>D</w:t>
            </w:r>
            <w:proofErr w:type="spellEnd"/>
            <w:proofErr w:type="gramEnd"/>
          </w:p>
        </w:tc>
      </w:tr>
      <w:tr w:rsidR="004B52A1" w14:paraId="22A29E36" w14:textId="77777777" w:rsidTr="00DC45E9">
        <w:trPr>
          <w:gridAfter w:val="1"/>
          <w:wAfter w:w="12" w:type="dxa"/>
          <w:jc w:val="center"/>
        </w:trPr>
        <w:tc>
          <w:tcPr>
            <w:tcW w:w="7200" w:type="dxa"/>
            <w:gridSpan w:val="8"/>
            <w:tcBorders>
              <w:top w:val="single" w:sz="4" w:space="0" w:color="auto"/>
              <w:left w:val="nil"/>
              <w:bottom w:val="nil"/>
              <w:right w:val="nil"/>
            </w:tcBorders>
          </w:tcPr>
          <w:p w14:paraId="1CD732DE" w14:textId="2EAF5493" w:rsidR="004B52A1" w:rsidRDefault="004B52A1" w:rsidP="00897B1F">
            <w:r w:rsidRPr="00CC6CD5">
              <w:rPr>
                <w:vertAlign w:val="superscript"/>
              </w:rPr>
              <w:t>B</w:t>
            </w:r>
            <w:r>
              <w:rPr>
                <w:vertAlign w:val="superscript"/>
              </w:rPr>
              <w:t xml:space="preserve"> </w:t>
            </w:r>
            <w:r>
              <w:t>It should be noted that the current limits given above may not adequately protect against startle reactions and burns caused by transient discharges when contacting an energized object.</w:t>
            </w:r>
          </w:p>
          <w:p w14:paraId="174C597B" w14:textId="77777777" w:rsidR="00DC45E9" w:rsidRDefault="00DC45E9" w:rsidP="00897B1F"/>
          <w:p w14:paraId="06C730AA" w14:textId="77777777" w:rsidR="004B52A1" w:rsidRPr="00CC6CD5" w:rsidRDefault="004B52A1" w:rsidP="00897B1F">
            <w:r>
              <w:t>The ceiling value for induced and contact currents is 500 mA for no more than 15 s per 6 min period.</w:t>
            </w:r>
          </w:p>
        </w:tc>
      </w:tr>
      <w:tr w:rsidR="004B52A1" w14:paraId="2AEEAD90" w14:textId="77777777" w:rsidTr="00DC45E9">
        <w:trPr>
          <w:gridAfter w:val="1"/>
          <w:wAfter w:w="12" w:type="dxa"/>
          <w:jc w:val="center"/>
        </w:trPr>
        <w:tc>
          <w:tcPr>
            <w:tcW w:w="7200" w:type="dxa"/>
            <w:gridSpan w:val="8"/>
            <w:tcBorders>
              <w:top w:val="nil"/>
              <w:left w:val="nil"/>
              <w:bottom w:val="nil"/>
              <w:right w:val="nil"/>
            </w:tcBorders>
          </w:tcPr>
          <w:p w14:paraId="539C36C9" w14:textId="77777777" w:rsidR="004B52A1" w:rsidRPr="00FB149D" w:rsidRDefault="004B52A1" w:rsidP="00897B1F">
            <w:r w:rsidRPr="00FB149D">
              <w:rPr>
                <w:vertAlign w:val="superscript"/>
              </w:rPr>
              <w:t>B1</w:t>
            </w:r>
            <w:r>
              <w:rPr>
                <w:vertAlign w:val="superscript"/>
              </w:rPr>
              <w:t xml:space="preserve"> </w:t>
            </w:r>
            <w:r>
              <w:t>Maximum Touch current is limited to 50% of the maximum grasping current.</w:t>
            </w:r>
          </w:p>
        </w:tc>
      </w:tr>
      <w:tr w:rsidR="004B52A1" w14:paraId="1004C07B" w14:textId="77777777" w:rsidTr="00DC45E9">
        <w:trPr>
          <w:gridAfter w:val="1"/>
          <w:wAfter w:w="12" w:type="dxa"/>
          <w:jc w:val="center"/>
        </w:trPr>
        <w:tc>
          <w:tcPr>
            <w:tcW w:w="7200" w:type="dxa"/>
            <w:gridSpan w:val="8"/>
            <w:tcBorders>
              <w:top w:val="nil"/>
              <w:left w:val="nil"/>
              <w:bottom w:val="nil"/>
              <w:right w:val="nil"/>
            </w:tcBorders>
          </w:tcPr>
          <w:p w14:paraId="21854069" w14:textId="59DAA17C" w:rsidR="004B52A1" w:rsidRPr="00FB149D" w:rsidRDefault="004B52A1" w:rsidP="00897B1F">
            <w:r w:rsidRPr="00FB149D">
              <w:rPr>
                <w:vertAlign w:val="superscript"/>
              </w:rPr>
              <w:t>C</w:t>
            </w:r>
            <w:r>
              <w:rPr>
                <w:vertAlign w:val="superscript"/>
              </w:rPr>
              <w:t xml:space="preserve"> </w:t>
            </w:r>
            <w:r w:rsidRPr="00FB149D">
              <w:rPr>
                <w:b/>
                <w:bCs/>
              </w:rPr>
              <w:t>I</w:t>
            </w:r>
            <w:r>
              <w:t xml:space="preserve"> </w:t>
            </w:r>
            <w:proofErr w:type="gramStart"/>
            <w:r>
              <w:t>is</w:t>
            </w:r>
            <w:proofErr w:type="gramEnd"/>
            <w:r>
              <w:t xml:space="preserve"> averaged over a 0.2 s period.</w:t>
            </w:r>
          </w:p>
        </w:tc>
      </w:tr>
      <w:tr w:rsidR="004B52A1" w14:paraId="6DAEE51C" w14:textId="77777777" w:rsidTr="00DC45E9">
        <w:trPr>
          <w:gridAfter w:val="1"/>
          <w:wAfter w:w="12" w:type="dxa"/>
          <w:jc w:val="center"/>
        </w:trPr>
        <w:tc>
          <w:tcPr>
            <w:tcW w:w="7200" w:type="dxa"/>
            <w:gridSpan w:val="8"/>
            <w:tcBorders>
              <w:top w:val="nil"/>
              <w:left w:val="nil"/>
              <w:bottom w:val="nil"/>
              <w:right w:val="nil"/>
            </w:tcBorders>
          </w:tcPr>
          <w:p w14:paraId="2158FB56" w14:textId="2F6F834C" w:rsidR="004B52A1" w:rsidRDefault="004B52A1" w:rsidP="00897B1F">
            <w:r>
              <w:rPr>
                <w:vertAlign w:val="superscript"/>
              </w:rPr>
              <w:t xml:space="preserve">D </w:t>
            </w:r>
            <w:r w:rsidRPr="00FB149D">
              <w:rPr>
                <w:b/>
                <w:bCs/>
              </w:rPr>
              <w:t>I</w:t>
            </w:r>
            <w:r>
              <w:t xml:space="preserve"> </w:t>
            </w:r>
            <w:proofErr w:type="gramStart"/>
            <w:r>
              <w:t>is</w:t>
            </w:r>
            <w:proofErr w:type="gramEnd"/>
            <w:r>
              <w:t xml:space="preserve"> averaged over a 6-minute period (e.g. for either foot or hand contact, i.e. </w:t>
            </w:r>
            <w:r w:rsidRPr="00FB149D">
              <w:rPr>
                <w:b/>
                <w:bCs/>
              </w:rPr>
              <w:t>I</w:t>
            </w:r>
            <w:r>
              <w:t xml:space="preserve"> t&lt;60,000 mA</w:t>
            </w:r>
            <w:r w:rsidRPr="00FB149D">
              <w:rPr>
                <w:vertAlign w:val="superscript"/>
              </w:rPr>
              <w:t>2</w:t>
            </w:r>
            <w:r>
              <w:t>-min). In this table, f is the frequency in Hz.</w:t>
            </w:r>
          </w:p>
        </w:tc>
      </w:tr>
    </w:tbl>
    <w:p w14:paraId="51272633" w14:textId="77777777" w:rsidR="00DC45E9" w:rsidRPr="00DC45E9" w:rsidRDefault="00DC45E9" w:rsidP="00DC45E9">
      <w:pPr>
        <w:pStyle w:val="ListParagraph"/>
        <w:spacing w:after="160" w:line="259" w:lineRule="auto"/>
        <w:ind w:left="1080"/>
        <w:jc w:val="left"/>
      </w:pPr>
    </w:p>
    <w:p w14:paraId="69985F53" w14:textId="607705D2" w:rsidR="004B52A1" w:rsidRPr="004B52A1" w:rsidRDefault="004B52A1" w:rsidP="000667E6">
      <w:pPr>
        <w:pStyle w:val="ListParagraph"/>
        <w:numPr>
          <w:ilvl w:val="1"/>
          <w:numId w:val="12"/>
        </w:numPr>
        <w:spacing w:after="160" w:line="259" w:lineRule="auto"/>
        <w:jc w:val="left"/>
      </w:pPr>
      <w:r w:rsidRPr="004B52A1">
        <w:rPr>
          <w:rFonts w:eastAsia="Calibri"/>
        </w:rPr>
        <w:t xml:space="preserve">For touch contact with conductive objects, the maximum RF current should not exceed more than one - half of the maximum RF current for grasping contact. The means of compliance with these current limits can be determined by the user of the TLVs as appropriate. The use of protective gloves, the avoidance of touch contact with conductive objects, the prohibition of metallic objects, or training of personnel may be </w:t>
      </w:r>
      <w:proofErr w:type="gramStart"/>
      <w:r w:rsidRPr="004B52A1">
        <w:rPr>
          <w:rFonts w:eastAsia="Calibri"/>
        </w:rPr>
        <w:t>sufficient</w:t>
      </w:r>
      <w:proofErr w:type="gramEnd"/>
      <w:r w:rsidRPr="004B52A1">
        <w:rPr>
          <w:rFonts w:eastAsia="Calibri"/>
        </w:rPr>
        <w:t xml:space="preserve"> to </w:t>
      </w:r>
      <w:r w:rsidRPr="004B52A1">
        <w:rPr>
          <w:rFonts w:eastAsia="Calibri"/>
        </w:rPr>
        <w:lastRenderedPageBreak/>
        <w:t>ensure compliance with these TLV. Evaluation of the magnitude of the induced currents will normally require a direct measurement. However, induced and contact current measurements are not required if the spatially averaged electric field strength does not exceed the TLV given in Table 1, Part A at frequencies between 0. 1 and 100 MHz, as shown graphically in Figure 2.</w:t>
      </w:r>
    </w:p>
    <w:p w14:paraId="158DF29C" w14:textId="77777777" w:rsidR="004B52A1" w:rsidRDefault="004B52A1" w:rsidP="000667E6">
      <w:pPr>
        <w:pStyle w:val="ListParagraph"/>
        <w:numPr>
          <w:ilvl w:val="0"/>
          <w:numId w:val="12"/>
        </w:numPr>
        <w:spacing w:after="160" w:line="259" w:lineRule="auto"/>
        <w:jc w:val="left"/>
      </w:pPr>
      <w:r>
        <w:t>For source frequencies greater than 100 MHz, Table 1, Part A provides an equivalent plane - wave power density, S (in W/m</w:t>
      </w:r>
      <w:r w:rsidRPr="00235916">
        <w:rPr>
          <w:vertAlign w:val="superscript"/>
        </w:rPr>
        <w:t>2</w:t>
      </w:r>
      <w:r>
        <w:t>), which can be calculated from field strength measurement data as follows: S = E</w:t>
      </w:r>
      <w:r w:rsidRPr="00235916">
        <w:rPr>
          <w:vertAlign w:val="superscript"/>
        </w:rPr>
        <w:t>2</w:t>
      </w:r>
      <w:r>
        <w:t>/377 where E</w:t>
      </w:r>
      <w:r w:rsidRPr="008006DA">
        <w:rPr>
          <w:vertAlign w:val="superscript"/>
        </w:rPr>
        <w:t>2</w:t>
      </w:r>
      <w:r>
        <w:t xml:space="preserve"> is in volts squared (V</w:t>
      </w:r>
      <w:r w:rsidRPr="008006DA">
        <w:rPr>
          <w:vertAlign w:val="superscript"/>
        </w:rPr>
        <w:t>2</w:t>
      </w:r>
      <w:r>
        <w:t>) per meter squared (m</w:t>
      </w:r>
      <w:r w:rsidRPr="008006DA">
        <w:rPr>
          <w:vertAlign w:val="superscript"/>
        </w:rPr>
        <w:t>2</w:t>
      </w:r>
      <w:r>
        <w:t>); and S=377H</w:t>
      </w:r>
      <w:r w:rsidRPr="008006DA">
        <w:rPr>
          <w:vertAlign w:val="superscript"/>
        </w:rPr>
        <w:t>2</w:t>
      </w:r>
      <w:r>
        <w:t xml:space="preserve"> where H</w:t>
      </w:r>
      <w:r w:rsidRPr="008006DA">
        <w:rPr>
          <w:vertAlign w:val="superscript"/>
        </w:rPr>
        <w:t>2</w:t>
      </w:r>
      <w:r>
        <w:t xml:space="preserve"> is in amperes squared (A</w:t>
      </w:r>
      <w:r w:rsidRPr="008006DA">
        <w:rPr>
          <w:vertAlign w:val="superscript"/>
        </w:rPr>
        <w:t>2</w:t>
      </w:r>
      <w:r>
        <w:t>) per meter squared (m</w:t>
      </w:r>
      <w:r w:rsidRPr="008006DA">
        <w:rPr>
          <w:vertAlign w:val="superscript"/>
        </w:rPr>
        <w:t>2</w:t>
      </w:r>
      <w:r>
        <w:t>).</w:t>
      </w:r>
    </w:p>
    <w:p w14:paraId="1C2FA8B8" w14:textId="203A8C58" w:rsidR="00994B5E" w:rsidRPr="00994B5E" w:rsidRDefault="00994B5E" w:rsidP="00994B5E">
      <w:pPr>
        <w:pStyle w:val="ListParagraph"/>
        <w:numPr>
          <w:ilvl w:val="0"/>
          <w:numId w:val="12"/>
        </w:numPr>
        <w:rPr>
          <w:sz w:val="22"/>
          <w:szCs w:val="22"/>
        </w:rPr>
      </w:pPr>
      <w:r>
        <w:t>For exposures to pulsed fields of pulse duration less than 100 milliseconds (</w:t>
      </w:r>
      <w:proofErr w:type="spellStart"/>
      <w:r>
        <w:t>ms</w:t>
      </w:r>
      <w:proofErr w:type="spellEnd"/>
      <w:r>
        <w:t xml:space="preserve">) at frequencies in the range 0.1 MHz to 300 GHz, the total incident energy density during any 100 </w:t>
      </w:r>
      <w:proofErr w:type="spellStart"/>
      <w:r>
        <w:t>ms</w:t>
      </w:r>
      <w:proofErr w:type="spellEnd"/>
      <w:r>
        <w:t xml:space="preserve"> period within the averaging time (see Table 1. Part A) shall not exceed 20% of the total specific energy absorption (SA) permitted during the entire averaging time for a continuous field, i.e. 0.2 x 144 = 28.8 J/kg. For pulse durations greater than 100 </w:t>
      </w:r>
      <w:proofErr w:type="spellStart"/>
      <w:r>
        <w:t>ms</w:t>
      </w:r>
      <w:proofErr w:type="spellEnd"/>
      <w:r>
        <w:t>, normal time-averaging calculations apply.</w:t>
      </w:r>
    </w:p>
    <w:p w14:paraId="0126C7E1" w14:textId="77777777" w:rsidR="00994B5E" w:rsidRPr="00994B5E" w:rsidRDefault="00994B5E" w:rsidP="00994B5E">
      <w:pPr>
        <w:rPr>
          <w:sz w:val="22"/>
          <w:szCs w:val="22"/>
        </w:rPr>
      </w:pPr>
    </w:p>
    <w:p w14:paraId="00CB1177" w14:textId="57E8A84A" w:rsidR="009E533D" w:rsidRDefault="009E533D" w:rsidP="009E533D">
      <w:pPr>
        <w:pStyle w:val="Heading2"/>
        <w:keepNext w:val="0"/>
      </w:pPr>
      <w:bookmarkStart w:id="10" w:name="_Toc43813892"/>
      <w:r>
        <w:t>Limits for General Population/Uncontrolled Exposure</w:t>
      </w:r>
      <w:bookmarkEnd w:id="10"/>
    </w:p>
    <w:p w14:paraId="138CF38E" w14:textId="21684BCE" w:rsidR="009E533D" w:rsidRDefault="009E533D" w:rsidP="009E533D"/>
    <w:p w14:paraId="02A20374" w14:textId="644F4FA2" w:rsidR="009E533D" w:rsidRDefault="009E533D" w:rsidP="009E533D">
      <w:r>
        <w:t>A</w:t>
      </w:r>
      <w:r w:rsidRPr="00041437">
        <w:t xml:space="preserve">reas that are accessible to the public in which </w:t>
      </w:r>
      <w:r>
        <w:t>measurements are</w:t>
      </w:r>
      <w:r w:rsidRPr="00041437">
        <w:t xml:space="preserve"> above the MPE (see Table </w:t>
      </w:r>
      <w:r>
        <w:t>2</w:t>
      </w:r>
      <w:r w:rsidRPr="00041437">
        <w:t xml:space="preserve">) and cannot be mitigated will be restricted and marked by appropriate warning signs. </w:t>
      </w:r>
      <w:r>
        <w:t xml:space="preserve"> Table 2 below</w:t>
      </w:r>
      <w:r w:rsidRPr="005544C6">
        <w:t xml:space="preserve"> det</w:t>
      </w:r>
      <w:r>
        <w:t xml:space="preserve">ails </w:t>
      </w:r>
      <w:r w:rsidRPr="005544C6">
        <w:t>the Maximum Permissible Exposure (MPE) for General</w:t>
      </w:r>
      <w:r>
        <w:t xml:space="preserve"> </w:t>
      </w:r>
      <w:r w:rsidRPr="005544C6">
        <w:t>Population</w:t>
      </w:r>
      <w:r>
        <w:t>/</w:t>
      </w:r>
      <w:r w:rsidRPr="005544C6">
        <w:t>Uncontrolled Exposure as defined by the FCC OET Bulletin 65.</w:t>
      </w:r>
    </w:p>
    <w:p w14:paraId="51AEF1E3" w14:textId="77777777" w:rsidR="009E533D" w:rsidRPr="005544C6" w:rsidRDefault="009E533D" w:rsidP="009E533D"/>
    <w:tbl>
      <w:tblPr>
        <w:tblStyle w:val="TableGrid"/>
        <w:tblW w:w="0" w:type="auto"/>
        <w:jc w:val="center"/>
        <w:tblLook w:val="04A0" w:firstRow="1" w:lastRow="0" w:firstColumn="1" w:lastColumn="0" w:noHBand="0" w:noVBand="1"/>
      </w:tblPr>
      <w:tblGrid>
        <w:gridCol w:w="1710"/>
        <w:gridCol w:w="1260"/>
        <w:gridCol w:w="237"/>
        <w:gridCol w:w="1203"/>
        <w:gridCol w:w="1269"/>
        <w:gridCol w:w="1283"/>
      </w:tblGrid>
      <w:tr w:rsidR="009E533D" w:rsidRPr="00C63B75" w14:paraId="55AA05EF" w14:textId="77777777" w:rsidTr="00897B1F">
        <w:trPr>
          <w:jc w:val="center"/>
        </w:trPr>
        <w:tc>
          <w:tcPr>
            <w:tcW w:w="6825" w:type="dxa"/>
            <w:gridSpan w:val="6"/>
            <w:tcBorders>
              <w:top w:val="nil"/>
              <w:left w:val="nil"/>
              <w:bottom w:val="single" w:sz="12" w:space="0" w:color="auto"/>
              <w:right w:val="nil"/>
            </w:tcBorders>
          </w:tcPr>
          <w:p w14:paraId="1C6B2653" w14:textId="77777777" w:rsidR="009E533D" w:rsidRPr="00C63B75" w:rsidRDefault="009E533D" w:rsidP="00897B1F">
            <w:pPr>
              <w:jc w:val="center"/>
              <w:rPr>
                <w:b/>
                <w:bCs/>
              </w:rPr>
            </w:pPr>
            <w:r w:rsidRPr="00C63B75">
              <w:rPr>
                <w:b/>
                <w:bCs/>
              </w:rPr>
              <w:t xml:space="preserve">Table </w:t>
            </w:r>
            <w:r>
              <w:rPr>
                <w:b/>
                <w:bCs/>
              </w:rPr>
              <w:t>2</w:t>
            </w:r>
            <w:r w:rsidRPr="00C63B75">
              <w:rPr>
                <w:b/>
                <w:bCs/>
              </w:rPr>
              <w:t xml:space="preserve">. </w:t>
            </w:r>
            <w:r>
              <w:rPr>
                <w:b/>
                <w:bCs/>
              </w:rPr>
              <w:t>MPE for General Population/Uncontrolled Exposure</w:t>
            </w:r>
          </w:p>
        </w:tc>
      </w:tr>
      <w:tr w:rsidR="009E533D" w:rsidRPr="00C63B75" w14:paraId="1349674F" w14:textId="77777777" w:rsidTr="00897B1F">
        <w:trPr>
          <w:jc w:val="center"/>
        </w:trPr>
        <w:tc>
          <w:tcPr>
            <w:tcW w:w="1710" w:type="dxa"/>
            <w:tcBorders>
              <w:top w:val="single" w:sz="4" w:space="0" w:color="auto"/>
              <w:left w:val="nil"/>
              <w:bottom w:val="single" w:sz="4" w:space="0" w:color="auto"/>
              <w:right w:val="nil"/>
            </w:tcBorders>
            <w:vAlign w:val="bottom"/>
          </w:tcPr>
          <w:p w14:paraId="76B2931D" w14:textId="77777777" w:rsidR="009E533D" w:rsidRPr="00C63B75" w:rsidRDefault="009E533D" w:rsidP="00897B1F">
            <w:pPr>
              <w:jc w:val="center"/>
              <w:rPr>
                <w:b/>
                <w:bCs/>
              </w:rPr>
            </w:pPr>
            <w:r w:rsidRPr="00C63B75">
              <w:rPr>
                <w:b/>
                <w:bCs/>
              </w:rPr>
              <w:t>Frequency</w:t>
            </w:r>
            <w:r>
              <w:rPr>
                <w:b/>
                <w:bCs/>
              </w:rPr>
              <w:t xml:space="preserve"> (MHz)</w:t>
            </w:r>
          </w:p>
        </w:tc>
        <w:tc>
          <w:tcPr>
            <w:tcW w:w="1497" w:type="dxa"/>
            <w:gridSpan w:val="2"/>
            <w:tcBorders>
              <w:top w:val="single" w:sz="4" w:space="0" w:color="auto"/>
              <w:left w:val="nil"/>
              <w:bottom w:val="single" w:sz="4" w:space="0" w:color="auto"/>
              <w:right w:val="nil"/>
            </w:tcBorders>
            <w:vAlign w:val="bottom"/>
          </w:tcPr>
          <w:p w14:paraId="3BC2B1F4" w14:textId="77777777" w:rsidR="009E533D" w:rsidRPr="00C63B75" w:rsidRDefault="009E533D" w:rsidP="00897B1F">
            <w:pPr>
              <w:jc w:val="center"/>
              <w:rPr>
                <w:b/>
                <w:bCs/>
              </w:rPr>
            </w:pPr>
            <w:r>
              <w:rPr>
                <w:b/>
                <w:bCs/>
              </w:rPr>
              <w:t>Electric Field Strength (E) (V/m)</w:t>
            </w:r>
          </w:p>
        </w:tc>
        <w:tc>
          <w:tcPr>
            <w:tcW w:w="1203" w:type="dxa"/>
            <w:tcBorders>
              <w:top w:val="single" w:sz="4" w:space="0" w:color="auto"/>
              <w:left w:val="nil"/>
              <w:bottom w:val="single" w:sz="4" w:space="0" w:color="auto"/>
              <w:right w:val="nil"/>
            </w:tcBorders>
            <w:vAlign w:val="bottom"/>
          </w:tcPr>
          <w:p w14:paraId="37319F34" w14:textId="77777777" w:rsidR="009E533D" w:rsidRPr="00C63B75" w:rsidRDefault="009E533D" w:rsidP="00897B1F">
            <w:pPr>
              <w:jc w:val="center"/>
              <w:rPr>
                <w:b/>
                <w:bCs/>
              </w:rPr>
            </w:pPr>
            <w:r>
              <w:rPr>
                <w:b/>
                <w:bCs/>
              </w:rPr>
              <w:t>Magnetic Field Strength (H) (A/m)</w:t>
            </w:r>
          </w:p>
        </w:tc>
        <w:tc>
          <w:tcPr>
            <w:tcW w:w="1260" w:type="dxa"/>
            <w:tcBorders>
              <w:top w:val="single" w:sz="4" w:space="0" w:color="auto"/>
              <w:left w:val="nil"/>
              <w:bottom w:val="single" w:sz="4" w:space="0" w:color="auto"/>
              <w:right w:val="nil"/>
            </w:tcBorders>
            <w:vAlign w:val="bottom"/>
          </w:tcPr>
          <w:p w14:paraId="05B56543" w14:textId="77777777" w:rsidR="009E533D" w:rsidRPr="00C63B75" w:rsidRDefault="009E533D" w:rsidP="00897B1F">
            <w:pPr>
              <w:jc w:val="center"/>
              <w:rPr>
                <w:b/>
                <w:bCs/>
              </w:rPr>
            </w:pPr>
            <w:r>
              <w:rPr>
                <w:b/>
                <w:bCs/>
              </w:rPr>
              <w:t>Power Density (S) (</w:t>
            </w:r>
            <w:proofErr w:type="spellStart"/>
            <w:r>
              <w:rPr>
                <w:b/>
                <w:bCs/>
              </w:rPr>
              <w:t>mW</w:t>
            </w:r>
            <w:proofErr w:type="spellEnd"/>
            <w:r>
              <w:rPr>
                <w:b/>
                <w:bCs/>
              </w:rPr>
              <w:t>/cm</w:t>
            </w:r>
            <w:r w:rsidRPr="00E911AC">
              <w:rPr>
                <w:b/>
                <w:bCs/>
                <w:vertAlign w:val="superscript"/>
              </w:rPr>
              <w:t>2</w:t>
            </w:r>
            <w:r>
              <w:rPr>
                <w:b/>
                <w:bCs/>
              </w:rPr>
              <w:t>)</w:t>
            </w:r>
          </w:p>
        </w:tc>
        <w:tc>
          <w:tcPr>
            <w:tcW w:w="1155" w:type="dxa"/>
            <w:tcBorders>
              <w:top w:val="single" w:sz="4" w:space="0" w:color="auto"/>
              <w:left w:val="nil"/>
              <w:bottom w:val="single" w:sz="4" w:space="0" w:color="auto"/>
              <w:right w:val="nil"/>
            </w:tcBorders>
            <w:vAlign w:val="bottom"/>
          </w:tcPr>
          <w:p w14:paraId="1AFA66E0" w14:textId="77777777" w:rsidR="009E533D" w:rsidRPr="00C63B75" w:rsidRDefault="009E533D" w:rsidP="00897B1F">
            <w:pPr>
              <w:jc w:val="center"/>
              <w:rPr>
                <w:b/>
                <w:bCs/>
              </w:rPr>
            </w:pPr>
            <w:r w:rsidRPr="00C63B75">
              <w:rPr>
                <w:b/>
                <w:bCs/>
              </w:rPr>
              <w:t>Averaging Time E</w:t>
            </w:r>
            <w:r w:rsidRPr="00C63B75">
              <w:rPr>
                <w:b/>
                <w:bCs/>
                <w:vertAlign w:val="superscript"/>
              </w:rPr>
              <w:t>2</w:t>
            </w:r>
            <w:r w:rsidRPr="00C63B75">
              <w:rPr>
                <w:b/>
                <w:bCs/>
              </w:rPr>
              <w:t>, H</w:t>
            </w:r>
            <w:r w:rsidRPr="00C63B75">
              <w:rPr>
                <w:b/>
                <w:bCs/>
                <w:vertAlign w:val="superscript"/>
              </w:rPr>
              <w:t>2</w:t>
            </w:r>
            <w:r w:rsidRPr="00C63B75">
              <w:rPr>
                <w:b/>
                <w:bCs/>
              </w:rPr>
              <w:t>, or S (min)</w:t>
            </w:r>
          </w:p>
        </w:tc>
      </w:tr>
      <w:tr w:rsidR="009E533D" w14:paraId="64212622" w14:textId="77777777" w:rsidTr="00897B1F">
        <w:trPr>
          <w:jc w:val="center"/>
        </w:trPr>
        <w:tc>
          <w:tcPr>
            <w:tcW w:w="1710" w:type="dxa"/>
            <w:tcBorders>
              <w:top w:val="single" w:sz="4" w:space="0" w:color="auto"/>
              <w:left w:val="nil"/>
              <w:bottom w:val="nil"/>
              <w:right w:val="nil"/>
            </w:tcBorders>
          </w:tcPr>
          <w:p w14:paraId="020D0391" w14:textId="77777777" w:rsidR="009E533D" w:rsidRDefault="009E533D" w:rsidP="00897B1F">
            <w:r>
              <w:t>0.3 – 1.34</w:t>
            </w:r>
          </w:p>
        </w:tc>
        <w:tc>
          <w:tcPr>
            <w:tcW w:w="1497" w:type="dxa"/>
            <w:gridSpan w:val="2"/>
            <w:tcBorders>
              <w:top w:val="single" w:sz="4" w:space="0" w:color="auto"/>
              <w:left w:val="nil"/>
              <w:bottom w:val="nil"/>
              <w:right w:val="nil"/>
            </w:tcBorders>
          </w:tcPr>
          <w:p w14:paraId="484E7830" w14:textId="77777777" w:rsidR="009E533D" w:rsidRDefault="009E533D" w:rsidP="00897B1F">
            <w:pPr>
              <w:jc w:val="center"/>
            </w:pPr>
            <w:r>
              <w:t>614</w:t>
            </w:r>
          </w:p>
        </w:tc>
        <w:tc>
          <w:tcPr>
            <w:tcW w:w="1203" w:type="dxa"/>
            <w:tcBorders>
              <w:top w:val="single" w:sz="4" w:space="0" w:color="auto"/>
              <w:left w:val="nil"/>
              <w:bottom w:val="nil"/>
              <w:right w:val="nil"/>
            </w:tcBorders>
          </w:tcPr>
          <w:p w14:paraId="0565B138" w14:textId="77777777" w:rsidR="009E533D" w:rsidRDefault="009E533D" w:rsidP="00897B1F">
            <w:pPr>
              <w:jc w:val="center"/>
            </w:pPr>
            <w:r>
              <w:t>1.63</w:t>
            </w:r>
          </w:p>
        </w:tc>
        <w:tc>
          <w:tcPr>
            <w:tcW w:w="1260" w:type="dxa"/>
            <w:tcBorders>
              <w:top w:val="single" w:sz="4" w:space="0" w:color="auto"/>
              <w:left w:val="nil"/>
              <w:bottom w:val="nil"/>
              <w:right w:val="nil"/>
            </w:tcBorders>
          </w:tcPr>
          <w:p w14:paraId="294C6B6A" w14:textId="77777777" w:rsidR="009E533D" w:rsidRDefault="009E533D" w:rsidP="00897B1F">
            <w:pPr>
              <w:jc w:val="center"/>
            </w:pPr>
            <w:r>
              <w:t>(</w:t>
            </w:r>
            <w:proofErr w:type="gramStart"/>
            <w:r>
              <w:t>100)*</w:t>
            </w:r>
            <w:proofErr w:type="gramEnd"/>
          </w:p>
        </w:tc>
        <w:tc>
          <w:tcPr>
            <w:tcW w:w="1155" w:type="dxa"/>
            <w:tcBorders>
              <w:top w:val="single" w:sz="4" w:space="0" w:color="auto"/>
              <w:left w:val="nil"/>
              <w:bottom w:val="nil"/>
              <w:right w:val="nil"/>
            </w:tcBorders>
          </w:tcPr>
          <w:p w14:paraId="73C19294" w14:textId="77777777" w:rsidR="009E533D" w:rsidRDefault="009E533D" w:rsidP="00897B1F">
            <w:pPr>
              <w:jc w:val="center"/>
            </w:pPr>
            <w:r>
              <w:t>30</w:t>
            </w:r>
          </w:p>
        </w:tc>
      </w:tr>
      <w:tr w:rsidR="009E533D" w14:paraId="7F7E9D9B" w14:textId="77777777" w:rsidTr="00897B1F">
        <w:trPr>
          <w:jc w:val="center"/>
        </w:trPr>
        <w:tc>
          <w:tcPr>
            <w:tcW w:w="1710" w:type="dxa"/>
            <w:tcBorders>
              <w:top w:val="nil"/>
              <w:left w:val="nil"/>
              <w:bottom w:val="nil"/>
              <w:right w:val="nil"/>
            </w:tcBorders>
          </w:tcPr>
          <w:p w14:paraId="66C0D59E" w14:textId="77777777" w:rsidR="009E533D" w:rsidRDefault="009E533D" w:rsidP="00897B1F">
            <w:r>
              <w:t>1.34 – 30</w:t>
            </w:r>
          </w:p>
        </w:tc>
        <w:tc>
          <w:tcPr>
            <w:tcW w:w="1497" w:type="dxa"/>
            <w:gridSpan w:val="2"/>
            <w:tcBorders>
              <w:top w:val="nil"/>
              <w:left w:val="nil"/>
              <w:bottom w:val="nil"/>
              <w:right w:val="nil"/>
            </w:tcBorders>
          </w:tcPr>
          <w:p w14:paraId="0ED0047D" w14:textId="77777777" w:rsidR="009E533D" w:rsidRDefault="009E533D" w:rsidP="00897B1F">
            <w:pPr>
              <w:jc w:val="center"/>
            </w:pPr>
            <w:r>
              <w:t>824/f</w:t>
            </w:r>
          </w:p>
        </w:tc>
        <w:tc>
          <w:tcPr>
            <w:tcW w:w="1203" w:type="dxa"/>
            <w:tcBorders>
              <w:top w:val="nil"/>
              <w:left w:val="nil"/>
              <w:bottom w:val="nil"/>
              <w:right w:val="nil"/>
            </w:tcBorders>
          </w:tcPr>
          <w:p w14:paraId="5D48ED13" w14:textId="77777777" w:rsidR="009E533D" w:rsidRDefault="009E533D" w:rsidP="00897B1F">
            <w:pPr>
              <w:jc w:val="center"/>
            </w:pPr>
            <w:r>
              <w:t>2.19/f</w:t>
            </w:r>
          </w:p>
        </w:tc>
        <w:tc>
          <w:tcPr>
            <w:tcW w:w="1260" w:type="dxa"/>
            <w:tcBorders>
              <w:top w:val="nil"/>
              <w:left w:val="nil"/>
              <w:bottom w:val="nil"/>
              <w:right w:val="nil"/>
            </w:tcBorders>
          </w:tcPr>
          <w:p w14:paraId="51BBDE8C" w14:textId="77777777" w:rsidR="009E533D" w:rsidRDefault="009E533D" w:rsidP="00897B1F">
            <w:pPr>
              <w:jc w:val="center"/>
            </w:pPr>
            <w:r>
              <w:t>(180/f</w:t>
            </w:r>
            <w:proofErr w:type="gramStart"/>
            <w:r w:rsidRPr="009545E1">
              <w:rPr>
                <w:vertAlign w:val="superscript"/>
              </w:rPr>
              <w:t>2</w:t>
            </w:r>
            <w:r>
              <w:t>)*</w:t>
            </w:r>
            <w:proofErr w:type="gramEnd"/>
          </w:p>
        </w:tc>
        <w:tc>
          <w:tcPr>
            <w:tcW w:w="1155" w:type="dxa"/>
            <w:tcBorders>
              <w:top w:val="nil"/>
              <w:left w:val="nil"/>
              <w:bottom w:val="nil"/>
              <w:right w:val="nil"/>
            </w:tcBorders>
          </w:tcPr>
          <w:p w14:paraId="2F55893C" w14:textId="77777777" w:rsidR="009E533D" w:rsidRDefault="009E533D" w:rsidP="00897B1F">
            <w:pPr>
              <w:jc w:val="center"/>
            </w:pPr>
            <w:r>
              <w:t>30</w:t>
            </w:r>
          </w:p>
        </w:tc>
      </w:tr>
      <w:tr w:rsidR="009E533D" w14:paraId="09D25D8B" w14:textId="77777777" w:rsidTr="00897B1F">
        <w:trPr>
          <w:jc w:val="center"/>
        </w:trPr>
        <w:tc>
          <w:tcPr>
            <w:tcW w:w="1710" w:type="dxa"/>
            <w:tcBorders>
              <w:top w:val="nil"/>
              <w:left w:val="nil"/>
              <w:bottom w:val="nil"/>
              <w:right w:val="nil"/>
            </w:tcBorders>
          </w:tcPr>
          <w:p w14:paraId="37714935" w14:textId="77777777" w:rsidR="009E533D" w:rsidRDefault="009E533D" w:rsidP="00897B1F">
            <w:r>
              <w:t>30 – 300</w:t>
            </w:r>
          </w:p>
        </w:tc>
        <w:tc>
          <w:tcPr>
            <w:tcW w:w="1497" w:type="dxa"/>
            <w:gridSpan w:val="2"/>
            <w:tcBorders>
              <w:top w:val="nil"/>
              <w:left w:val="nil"/>
              <w:bottom w:val="nil"/>
              <w:right w:val="nil"/>
            </w:tcBorders>
          </w:tcPr>
          <w:p w14:paraId="10124083" w14:textId="77777777" w:rsidR="009E533D" w:rsidRDefault="009E533D" w:rsidP="00897B1F">
            <w:pPr>
              <w:jc w:val="center"/>
            </w:pPr>
            <w:r>
              <w:t>27.5</w:t>
            </w:r>
          </w:p>
        </w:tc>
        <w:tc>
          <w:tcPr>
            <w:tcW w:w="1203" w:type="dxa"/>
            <w:tcBorders>
              <w:top w:val="nil"/>
              <w:left w:val="nil"/>
              <w:bottom w:val="nil"/>
              <w:right w:val="nil"/>
            </w:tcBorders>
          </w:tcPr>
          <w:p w14:paraId="2741954B" w14:textId="77777777" w:rsidR="009E533D" w:rsidRDefault="009E533D" w:rsidP="00897B1F">
            <w:pPr>
              <w:jc w:val="center"/>
            </w:pPr>
            <w:r>
              <w:t>0.073</w:t>
            </w:r>
          </w:p>
        </w:tc>
        <w:tc>
          <w:tcPr>
            <w:tcW w:w="1260" w:type="dxa"/>
            <w:tcBorders>
              <w:top w:val="nil"/>
              <w:left w:val="nil"/>
              <w:bottom w:val="nil"/>
              <w:right w:val="nil"/>
            </w:tcBorders>
          </w:tcPr>
          <w:p w14:paraId="1A091E76" w14:textId="77777777" w:rsidR="009E533D" w:rsidRDefault="009E533D" w:rsidP="00897B1F">
            <w:pPr>
              <w:jc w:val="center"/>
            </w:pPr>
            <w:r>
              <w:t>0.2</w:t>
            </w:r>
          </w:p>
        </w:tc>
        <w:tc>
          <w:tcPr>
            <w:tcW w:w="1155" w:type="dxa"/>
            <w:tcBorders>
              <w:top w:val="nil"/>
              <w:left w:val="nil"/>
              <w:bottom w:val="nil"/>
              <w:right w:val="nil"/>
            </w:tcBorders>
          </w:tcPr>
          <w:p w14:paraId="6AE261E4" w14:textId="77777777" w:rsidR="009E533D" w:rsidRDefault="009E533D" w:rsidP="00897B1F">
            <w:pPr>
              <w:jc w:val="center"/>
            </w:pPr>
            <w:r>
              <w:t>30</w:t>
            </w:r>
          </w:p>
        </w:tc>
      </w:tr>
      <w:tr w:rsidR="009E533D" w14:paraId="7B1ADE62" w14:textId="77777777" w:rsidTr="00897B1F">
        <w:trPr>
          <w:jc w:val="center"/>
        </w:trPr>
        <w:tc>
          <w:tcPr>
            <w:tcW w:w="1710" w:type="dxa"/>
            <w:tcBorders>
              <w:top w:val="nil"/>
              <w:left w:val="nil"/>
              <w:bottom w:val="nil"/>
              <w:right w:val="nil"/>
            </w:tcBorders>
          </w:tcPr>
          <w:p w14:paraId="665B5EC2" w14:textId="77777777" w:rsidR="009E533D" w:rsidRDefault="009E533D" w:rsidP="00897B1F">
            <w:r>
              <w:t>300 – 1500</w:t>
            </w:r>
          </w:p>
        </w:tc>
        <w:tc>
          <w:tcPr>
            <w:tcW w:w="1497" w:type="dxa"/>
            <w:gridSpan w:val="2"/>
            <w:tcBorders>
              <w:top w:val="nil"/>
              <w:left w:val="nil"/>
              <w:bottom w:val="nil"/>
              <w:right w:val="nil"/>
            </w:tcBorders>
          </w:tcPr>
          <w:p w14:paraId="5A4F1A55" w14:textId="77777777" w:rsidR="009E533D" w:rsidRDefault="009E533D" w:rsidP="00897B1F">
            <w:pPr>
              <w:jc w:val="center"/>
            </w:pPr>
            <w:r>
              <w:t>--</w:t>
            </w:r>
          </w:p>
        </w:tc>
        <w:tc>
          <w:tcPr>
            <w:tcW w:w="1203" w:type="dxa"/>
            <w:tcBorders>
              <w:top w:val="nil"/>
              <w:left w:val="nil"/>
              <w:bottom w:val="nil"/>
              <w:right w:val="nil"/>
            </w:tcBorders>
          </w:tcPr>
          <w:p w14:paraId="27B21143" w14:textId="77777777" w:rsidR="009E533D" w:rsidRDefault="009E533D" w:rsidP="00897B1F">
            <w:pPr>
              <w:jc w:val="center"/>
            </w:pPr>
            <w:r>
              <w:t>--</w:t>
            </w:r>
          </w:p>
        </w:tc>
        <w:tc>
          <w:tcPr>
            <w:tcW w:w="1260" w:type="dxa"/>
            <w:tcBorders>
              <w:top w:val="nil"/>
              <w:left w:val="nil"/>
              <w:bottom w:val="nil"/>
              <w:right w:val="nil"/>
            </w:tcBorders>
          </w:tcPr>
          <w:p w14:paraId="754CFDC5" w14:textId="77777777" w:rsidR="009E533D" w:rsidRDefault="009E533D" w:rsidP="00897B1F">
            <w:pPr>
              <w:jc w:val="center"/>
            </w:pPr>
            <w:r>
              <w:t>f/1500</w:t>
            </w:r>
          </w:p>
        </w:tc>
        <w:tc>
          <w:tcPr>
            <w:tcW w:w="1155" w:type="dxa"/>
            <w:tcBorders>
              <w:top w:val="nil"/>
              <w:left w:val="nil"/>
              <w:bottom w:val="nil"/>
              <w:right w:val="nil"/>
            </w:tcBorders>
          </w:tcPr>
          <w:p w14:paraId="25B064E1" w14:textId="77777777" w:rsidR="009E533D" w:rsidRDefault="009E533D" w:rsidP="00897B1F">
            <w:pPr>
              <w:jc w:val="center"/>
            </w:pPr>
            <w:r>
              <w:t>30</w:t>
            </w:r>
          </w:p>
        </w:tc>
      </w:tr>
      <w:tr w:rsidR="009E533D" w14:paraId="2759539C" w14:textId="77777777" w:rsidTr="00897B1F">
        <w:trPr>
          <w:jc w:val="center"/>
        </w:trPr>
        <w:tc>
          <w:tcPr>
            <w:tcW w:w="1710" w:type="dxa"/>
            <w:tcBorders>
              <w:top w:val="nil"/>
              <w:left w:val="nil"/>
              <w:bottom w:val="nil"/>
              <w:right w:val="nil"/>
            </w:tcBorders>
          </w:tcPr>
          <w:p w14:paraId="50D23CDA" w14:textId="77777777" w:rsidR="009E533D" w:rsidRDefault="009E533D" w:rsidP="00897B1F">
            <w:r>
              <w:t>1500 – 100,000</w:t>
            </w:r>
          </w:p>
        </w:tc>
        <w:tc>
          <w:tcPr>
            <w:tcW w:w="1497" w:type="dxa"/>
            <w:gridSpan w:val="2"/>
            <w:tcBorders>
              <w:top w:val="nil"/>
              <w:left w:val="nil"/>
              <w:bottom w:val="nil"/>
              <w:right w:val="nil"/>
            </w:tcBorders>
          </w:tcPr>
          <w:p w14:paraId="2C755CBA" w14:textId="77777777" w:rsidR="009E533D" w:rsidRDefault="009E533D" w:rsidP="00897B1F">
            <w:pPr>
              <w:jc w:val="center"/>
            </w:pPr>
            <w:r>
              <w:t>--</w:t>
            </w:r>
          </w:p>
        </w:tc>
        <w:tc>
          <w:tcPr>
            <w:tcW w:w="1203" w:type="dxa"/>
            <w:tcBorders>
              <w:top w:val="nil"/>
              <w:left w:val="nil"/>
              <w:bottom w:val="nil"/>
              <w:right w:val="nil"/>
            </w:tcBorders>
          </w:tcPr>
          <w:p w14:paraId="2D7303C5" w14:textId="77777777" w:rsidR="009E533D" w:rsidRDefault="009E533D" w:rsidP="00897B1F">
            <w:pPr>
              <w:jc w:val="center"/>
            </w:pPr>
            <w:r>
              <w:t>--</w:t>
            </w:r>
          </w:p>
        </w:tc>
        <w:tc>
          <w:tcPr>
            <w:tcW w:w="1260" w:type="dxa"/>
            <w:tcBorders>
              <w:top w:val="nil"/>
              <w:left w:val="nil"/>
              <w:bottom w:val="nil"/>
              <w:right w:val="nil"/>
            </w:tcBorders>
          </w:tcPr>
          <w:p w14:paraId="306458E3" w14:textId="77777777" w:rsidR="009E533D" w:rsidRDefault="009E533D" w:rsidP="00897B1F">
            <w:pPr>
              <w:jc w:val="center"/>
            </w:pPr>
            <w:r>
              <w:t>1.0</w:t>
            </w:r>
          </w:p>
        </w:tc>
        <w:tc>
          <w:tcPr>
            <w:tcW w:w="1155" w:type="dxa"/>
            <w:tcBorders>
              <w:top w:val="nil"/>
              <w:left w:val="nil"/>
              <w:bottom w:val="nil"/>
              <w:right w:val="nil"/>
            </w:tcBorders>
          </w:tcPr>
          <w:p w14:paraId="14B2B869" w14:textId="77777777" w:rsidR="009E533D" w:rsidRDefault="009E533D" w:rsidP="00897B1F">
            <w:pPr>
              <w:jc w:val="center"/>
            </w:pPr>
            <w:r>
              <w:t>30</w:t>
            </w:r>
          </w:p>
        </w:tc>
      </w:tr>
      <w:tr w:rsidR="009E533D" w:rsidRPr="00A2289B" w14:paraId="669EFA25" w14:textId="77777777" w:rsidTr="00897B1F">
        <w:trPr>
          <w:jc w:val="center"/>
        </w:trPr>
        <w:tc>
          <w:tcPr>
            <w:tcW w:w="2970" w:type="dxa"/>
            <w:gridSpan w:val="2"/>
            <w:tcBorders>
              <w:top w:val="single" w:sz="4" w:space="0" w:color="auto"/>
              <w:left w:val="nil"/>
              <w:bottom w:val="single" w:sz="12" w:space="0" w:color="auto"/>
              <w:right w:val="nil"/>
            </w:tcBorders>
          </w:tcPr>
          <w:p w14:paraId="28E95BBE" w14:textId="77777777" w:rsidR="009E533D" w:rsidRPr="00C30E84" w:rsidRDefault="009E533D" w:rsidP="00897B1F">
            <w:pPr>
              <w:rPr>
                <w:sz w:val="18"/>
                <w:szCs w:val="18"/>
              </w:rPr>
            </w:pPr>
            <w:r w:rsidRPr="00C30E84">
              <w:rPr>
                <w:sz w:val="18"/>
                <w:szCs w:val="18"/>
              </w:rPr>
              <w:t>f = frequency</w:t>
            </w:r>
          </w:p>
        </w:tc>
        <w:tc>
          <w:tcPr>
            <w:tcW w:w="3855" w:type="dxa"/>
            <w:gridSpan w:val="4"/>
            <w:tcBorders>
              <w:top w:val="single" w:sz="4" w:space="0" w:color="auto"/>
              <w:left w:val="nil"/>
              <w:bottom w:val="single" w:sz="12" w:space="0" w:color="auto"/>
              <w:right w:val="nil"/>
            </w:tcBorders>
          </w:tcPr>
          <w:p w14:paraId="1B715A39" w14:textId="77777777" w:rsidR="009E533D" w:rsidRPr="00C30E84" w:rsidRDefault="009E533D" w:rsidP="00897B1F">
            <w:pPr>
              <w:rPr>
                <w:sz w:val="18"/>
                <w:szCs w:val="18"/>
              </w:rPr>
            </w:pPr>
            <w:r w:rsidRPr="00C30E84">
              <w:rPr>
                <w:sz w:val="18"/>
                <w:szCs w:val="18"/>
              </w:rPr>
              <w:t>*Plane-wave equivalent power density</w:t>
            </w:r>
          </w:p>
        </w:tc>
      </w:tr>
    </w:tbl>
    <w:p w14:paraId="68D5C82A" w14:textId="7C060DA3" w:rsidR="003048EB" w:rsidRDefault="003048EB" w:rsidP="00E00D72">
      <w:pPr>
        <w:rPr>
          <w:noProof/>
        </w:rPr>
      </w:pPr>
    </w:p>
    <w:p w14:paraId="0DBEB0C4" w14:textId="24EEDD75" w:rsidR="00D972D8" w:rsidRDefault="00D972D8" w:rsidP="00D972D8">
      <w:pPr>
        <w:pStyle w:val="Heading2"/>
        <w:keepNext w:val="0"/>
      </w:pPr>
      <w:bookmarkStart w:id="11" w:name="_Toc43813893"/>
      <w:r>
        <w:t>Medical Device Consideration</w:t>
      </w:r>
      <w:bookmarkEnd w:id="11"/>
    </w:p>
    <w:p w14:paraId="7AB29A42" w14:textId="30D4BE21" w:rsidR="00D972D8" w:rsidRDefault="00D972D8" w:rsidP="00D972D8"/>
    <w:p w14:paraId="6C8EBE0B" w14:textId="1235D593" w:rsidR="00D972D8" w:rsidRDefault="007B2FCB" w:rsidP="007B2FCB">
      <w:r>
        <w:t xml:space="preserve">The greatest concern about </w:t>
      </w:r>
      <w:r w:rsidR="00063F45">
        <w:t>RF</w:t>
      </w:r>
      <w:r>
        <w:t xml:space="preserve"> fields in terms of potential impacts on human health is the vulnerability of many electronic medical devices either worn by patients or used in clinical practices.  </w:t>
      </w:r>
      <w:r w:rsidR="00063F45">
        <w:t>RF field</w:t>
      </w:r>
      <w:r>
        <w:t xml:space="preserve"> problems have been associated with the incorrect operation of cardiac pacemakers, defibrillators, drug infusion pumps, apnea monitors, and a diversity of other medical devices such as nerve stimulators, electrically powered wheelchairs, and motorized scooters.</w:t>
      </w:r>
    </w:p>
    <w:p w14:paraId="58BE9302" w14:textId="221AA9F7" w:rsidR="007B2FCB" w:rsidRDefault="007B2FCB" w:rsidP="007B2FCB"/>
    <w:p w14:paraId="73F73455" w14:textId="015CB0C7" w:rsidR="007B2FCB" w:rsidRDefault="00063F45" w:rsidP="00061DE9">
      <w:r>
        <w:lastRenderedPageBreak/>
        <w:t>Some</w:t>
      </w:r>
      <w:r w:rsidR="007B2FCB" w:rsidRPr="007B2FCB">
        <w:t xml:space="preserve"> medical devices</w:t>
      </w:r>
      <w:r w:rsidR="007B2FCB">
        <w:t xml:space="preserve"> </w:t>
      </w:r>
      <w:r w:rsidR="007B2FCB" w:rsidRPr="007B2FCB">
        <w:t xml:space="preserve">are vulnerable to </w:t>
      </w:r>
      <w:r>
        <w:t>RF field</w:t>
      </w:r>
      <w:r w:rsidR="007B2FCB" w:rsidRPr="007B2FCB">
        <w:t xml:space="preserve"> levels less than the TLVs for RF-microwave radiation</w:t>
      </w:r>
      <w:r w:rsidR="007B2FCB">
        <w:t>.</w:t>
      </w:r>
      <w:r w:rsidR="00061DE9">
        <w:t xml:space="preserve">  </w:t>
      </w:r>
      <w:r w:rsidR="00061DE9" w:rsidRPr="00061DE9">
        <w:t>Based on the available technical information and</w:t>
      </w:r>
      <w:r w:rsidR="00061DE9">
        <w:t xml:space="preserve"> </w:t>
      </w:r>
      <w:r w:rsidR="00061DE9" w:rsidRPr="00061DE9">
        <w:t>guidance from IEC and FDA-CDRH, ACGIH</w:t>
      </w:r>
      <w:r w:rsidR="00061DE9">
        <w:t xml:space="preserve"> </w:t>
      </w:r>
      <w:r w:rsidR="00061DE9" w:rsidRPr="00061DE9">
        <w:t>recommends that medical electronic equipment or</w:t>
      </w:r>
      <w:r w:rsidR="00061DE9">
        <w:t xml:space="preserve"> </w:t>
      </w:r>
      <w:r w:rsidR="00061DE9" w:rsidRPr="00061DE9">
        <w:t>the entry of individuals wearing medical devices</w:t>
      </w:r>
      <w:r w:rsidR="00061DE9">
        <w:t xml:space="preserve"> </w:t>
      </w:r>
      <w:r w:rsidR="00061DE9" w:rsidRPr="00061DE9">
        <w:t>subject to RF</w:t>
      </w:r>
      <w:r>
        <w:t xml:space="preserve"> fields</w:t>
      </w:r>
      <w:r w:rsidR="00061DE9" w:rsidRPr="00061DE9">
        <w:t xml:space="preserve"> should be restricted to locations</w:t>
      </w:r>
      <w:r w:rsidR="00061DE9">
        <w:t xml:space="preserve"> </w:t>
      </w:r>
      <w:r w:rsidR="00061DE9" w:rsidRPr="00061DE9">
        <w:t>where the strength of RF fields at frequencies up to</w:t>
      </w:r>
      <w:r w:rsidR="00061DE9">
        <w:t xml:space="preserve"> </w:t>
      </w:r>
      <w:r w:rsidR="00061DE9" w:rsidRPr="00061DE9">
        <w:t>3 GHz is not expected to interfere with operation of</w:t>
      </w:r>
      <w:r w:rsidR="00061DE9">
        <w:t xml:space="preserve"> </w:t>
      </w:r>
      <w:r w:rsidR="00061DE9" w:rsidRPr="00061DE9">
        <w:t>the devices based on manufacturers’ specifications</w:t>
      </w:r>
      <w:r w:rsidR="00061DE9">
        <w:t xml:space="preserve"> </w:t>
      </w:r>
      <w:r w:rsidR="00061DE9" w:rsidRPr="00061DE9">
        <w:t>(typically field levels less than 3 to 10 V/m that meet</w:t>
      </w:r>
      <w:r w:rsidR="00061DE9">
        <w:t xml:space="preserve"> </w:t>
      </w:r>
      <w:r w:rsidR="00061DE9" w:rsidRPr="00061DE9">
        <w:t>RF</w:t>
      </w:r>
      <w:r>
        <w:t xml:space="preserve"> field</w:t>
      </w:r>
      <w:r w:rsidR="00061DE9" w:rsidRPr="00061DE9">
        <w:t xml:space="preserve"> compliance requirements).</w:t>
      </w:r>
      <w:r w:rsidR="007B2FCB">
        <w:t xml:space="preserve">  </w:t>
      </w:r>
    </w:p>
    <w:p w14:paraId="4F9E4CB3" w14:textId="06F15DED" w:rsidR="005F7272" w:rsidRDefault="005F7272" w:rsidP="00061DE9"/>
    <w:p w14:paraId="2AFEE475" w14:textId="41E6384D" w:rsidR="005F7272" w:rsidRDefault="005F7272" w:rsidP="005F7272">
      <w:pPr>
        <w:pStyle w:val="Heading2"/>
        <w:keepNext w:val="0"/>
      </w:pPr>
      <w:bookmarkStart w:id="12" w:name="_Toc43813894"/>
      <w:r>
        <w:t xml:space="preserve">RF </w:t>
      </w:r>
      <w:r w:rsidR="00AE4C80">
        <w:t xml:space="preserve">Hazard </w:t>
      </w:r>
      <w:r>
        <w:t>Signage</w:t>
      </w:r>
      <w:bookmarkEnd w:id="12"/>
    </w:p>
    <w:p w14:paraId="74ACF9FA" w14:textId="77777777" w:rsidR="005F7272" w:rsidRPr="00D972D8" w:rsidRDefault="005F7272" w:rsidP="00061DE9"/>
    <w:p w14:paraId="0F460F1E" w14:textId="6F8E5FB6" w:rsidR="00D972D8" w:rsidRDefault="0028635A" w:rsidP="00E00D72">
      <w:pPr>
        <w:rPr>
          <w:noProof/>
        </w:rPr>
      </w:pPr>
      <w:r>
        <w:rPr>
          <w:noProof/>
        </w:rPr>
        <w:t xml:space="preserve">RF hazard </w:t>
      </w:r>
      <w:r w:rsidR="00AE4C80">
        <w:rPr>
          <w:noProof/>
        </w:rPr>
        <w:t xml:space="preserve">signage </w:t>
      </w:r>
      <w:r>
        <w:rPr>
          <w:noProof/>
        </w:rPr>
        <w:t xml:space="preserve">is chosen </w:t>
      </w:r>
      <w:r w:rsidR="00AE4C80" w:rsidRPr="00AE4C80">
        <w:rPr>
          <w:noProof/>
        </w:rPr>
        <w:t xml:space="preserve">on a case by case basis at the direction of ESH following an Industrial Hygiene Assessment </w:t>
      </w:r>
      <w:r>
        <w:rPr>
          <w:noProof/>
        </w:rPr>
        <w:t>or</w:t>
      </w:r>
      <w:r w:rsidR="00AE4C80" w:rsidRPr="00AE4C80">
        <w:rPr>
          <w:noProof/>
        </w:rPr>
        <w:t xml:space="preserve"> Survey.</w:t>
      </w:r>
      <w:r>
        <w:rPr>
          <w:noProof/>
        </w:rPr>
        <w:t xml:space="preserve">  </w:t>
      </w:r>
      <w:r w:rsidR="00D76B17">
        <w:rPr>
          <w:noProof/>
        </w:rPr>
        <w:t>The sig</w:t>
      </w:r>
      <w:r w:rsidR="002E1EFB">
        <w:rPr>
          <w:noProof/>
        </w:rPr>
        <w:t>n</w:t>
      </w:r>
      <w:r w:rsidR="00D76B17">
        <w:rPr>
          <w:noProof/>
        </w:rPr>
        <w:t xml:space="preserve"> signal word (i.e. DANGER, WARNING, </w:t>
      </w:r>
      <w:r w:rsidR="00805A1E">
        <w:rPr>
          <w:noProof/>
        </w:rPr>
        <w:t>etc.</w:t>
      </w:r>
      <w:r w:rsidR="00D76B17">
        <w:rPr>
          <w:noProof/>
        </w:rPr>
        <w:t>)</w:t>
      </w:r>
      <w:r w:rsidR="002E1EFB">
        <w:rPr>
          <w:noProof/>
        </w:rPr>
        <w:t xml:space="preserve"> and text message</w:t>
      </w:r>
      <w:r w:rsidR="00887E6B">
        <w:rPr>
          <w:noProof/>
        </w:rPr>
        <w:t xml:space="preserve"> will </w:t>
      </w:r>
      <w:r w:rsidR="00082F1A">
        <w:rPr>
          <w:noProof/>
        </w:rPr>
        <w:t xml:space="preserve">reflect the health risk to exposed workers </w:t>
      </w:r>
      <w:r w:rsidR="0090345C">
        <w:rPr>
          <w:noProof/>
        </w:rPr>
        <w:t>from</w:t>
      </w:r>
      <w:r w:rsidR="00082F1A">
        <w:rPr>
          <w:noProof/>
        </w:rPr>
        <w:t xml:space="preserve"> the hazar</w:t>
      </w:r>
      <w:r w:rsidR="0090345C">
        <w:rPr>
          <w:noProof/>
        </w:rPr>
        <w:t>d.</w:t>
      </w:r>
      <w:r w:rsidR="00082F1A">
        <w:rPr>
          <w:noProof/>
        </w:rPr>
        <w:t xml:space="preserve"> </w:t>
      </w:r>
      <w:r w:rsidR="0090345C">
        <w:rPr>
          <w:noProof/>
        </w:rPr>
        <w:t xml:space="preserve"> </w:t>
      </w:r>
      <w:r>
        <w:rPr>
          <w:noProof/>
        </w:rPr>
        <w:t>If you would like to determine if an area or piece of equipment needs RF hazard related signage reach out to your Division Safety Officer.</w:t>
      </w:r>
    </w:p>
    <w:p w14:paraId="586597EA" w14:textId="77777777" w:rsidR="007A3577" w:rsidRDefault="007A3577" w:rsidP="00E00D72">
      <w:pPr>
        <w:rPr>
          <w:noProof/>
        </w:rPr>
      </w:pPr>
    </w:p>
    <w:p w14:paraId="6C6CD915" w14:textId="77777777" w:rsidR="00C704B6" w:rsidRPr="00880F07" w:rsidRDefault="00C704B6" w:rsidP="00C704B6">
      <w:pPr>
        <w:pStyle w:val="Heading1"/>
        <w:keepNext w:val="0"/>
      </w:pPr>
      <w:bookmarkStart w:id="13" w:name="_Toc43813895"/>
      <w:r w:rsidRPr="00880F07">
        <w:t>REFERENCES</w:t>
      </w:r>
      <w:bookmarkEnd w:id="13"/>
    </w:p>
    <w:p w14:paraId="26D0F510" w14:textId="77777777" w:rsidR="00C704B6" w:rsidRPr="00C704B6" w:rsidRDefault="00C704B6" w:rsidP="00C704B6">
      <w:pPr>
        <w:rPr>
          <w:highlight w:val="yellow"/>
        </w:rPr>
      </w:pPr>
    </w:p>
    <w:sdt>
      <w:sdtPr>
        <w:id w:val="-1068871738"/>
        <w:docPartObj>
          <w:docPartGallery w:val="Bibliographies"/>
          <w:docPartUnique/>
        </w:docPartObj>
      </w:sdtPr>
      <w:sdtEndPr/>
      <w:sdtContent>
        <w:sdt>
          <w:sdtPr>
            <w:id w:val="-573587230"/>
            <w:bibliography/>
          </w:sdtPr>
          <w:sdtEndPr/>
          <w:sdtContent>
            <w:p w14:paraId="045902D7" w14:textId="77777777" w:rsidR="00FE4D52" w:rsidRDefault="00970F42" w:rsidP="00FE4D52">
              <w:pPr>
                <w:pStyle w:val="Bibliography"/>
                <w:rPr>
                  <w:noProof/>
                </w:rPr>
              </w:pPr>
              <w:r>
                <w:fldChar w:fldCharType="begin"/>
              </w:r>
              <w:r>
                <w:instrText xml:space="preserve"> BIBLIOGRAPHY </w:instrText>
              </w:r>
              <w:r>
                <w:fldChar w:fldCharType="separate"/>
              </w:r>
              <w:r w:rsidR="00FE4D52">
                <w:rPr>
                  <w:noProof/>
                </w:rPr>
                <w:t xml:space="preserve">1. </w:t>
              </w:r>
              <w:r w:rsidR="00FE4D52">
                <w:rPr>
                  <w:b/>
                  <w:bCs/>
                  <w:noProof/>
                </w:rPr>
                <w:t>American Conference of Governmental Industrial Hygienists.</w:t>
              </w:r>
              <w:r w:rsidR="00FE4D52">
                <w:rPr>
                  <w:noProof/>
                </w:rPr>
                <w:t xml:space="preserve"> </w:t>
              </w:r>
              <w:r w:rsidR="00FE4D52">
                <w:rPr>
                  <w:i/>
                  <w:iCs/>
                  <w:noProof/>
                </w:rPr>
                <w:t xml:space="preserve">2020 TLVs and BEIs. </w:t>
              </w:r>
              <w:r w:rsidR="00FE4D52">
                <w:rPr>
                  <w:noProof/>
                </w:rPr>
                <w:t>Cincinnati : s.n., 2020. pp. 140-145.</w:t>
              </w:r>
            </w:p>
            <w:p w14:paraId="65CEB1CB" w14:textId="77777777" w:rsidR="00FE4D52" w:rsidRDefault="00FE4D52" w:rsidP="00FE4D52">
              <w:pPr>
                <w:pStyle w:val="Bibliography"/>
                <w:rPr>
                  <w:noProof/>
                </w:rPr>
              </w:pPr>
              <w:r>
                <w:rPr>
                  <w:noProof/>
                </w:rPr>
                <w:t xml:space="preserve">2. </w:t>
              </w:r>
              <w:r>
                <w:rPr>
                  <w:b/>
                  <w:bCs/>
                  <w:noProof/>
                </w:rPr>
                <w:t>U.S. Department of Energy.</w:t>
              </w:r>
              <w:r>
                <w:rPr>
                  <w:noProof/>
                </w:rPr>
                <w:t xml:space="preserve"> </w:t>
              </w:r>
              <w:r>
                <w:rPr>
                  <w:i/>
                  <w:iCs/>
                  <w:noProof/>
                </w:rPr>
                <w:t xml:space="preserve">DOE HANDBOOK ELECTRICAL SAFETY. </w:t>
              </w:r>
              <w:r>
                <w:rPr>
                  <w:noProof/>
                </w:rPr>
                <w:t>DOE-HDBK-1092-2013. Washington, D.C. : s.n., 2013.</w:t>
              </w:r>
            </w:p>
            <w:p w14:paraId="4587A1B8" w14:textId="77777777" w:rsidR="00FE4D52" w:rsidRDefault="00FE4D52" w:rsidP="00FE4D52">
              <w:pPr>
                <w:pStyle w:val="Bibliography"/>
                <w:rPr>
                  <w:noProof/>
                </w:rPr>
              </w:pPr>
              <w:r>
                <w:rPr>
                  <w:noProof/>
                </w:rPr>
                <w:t xml:space="preserve">3. </w:t>
              </w:r>
              <w:r>
                <w:rPr>
                  <w:b/>
                  <w:bCs/>
                  <w:noProof/>
                </w:rPr>
                <w:t>Federal Communications Commission Office of Engineering &amp; Technology.</w:t>
              </w:r>
              <w:r>
                <w:rPr>
                  <w:noProof/>
                </w:rPr>
                <w:t xml:space="preserve"> </w:t>
              </w:r>
              <w:r>
                <w:rPr>
                  <w:i/>
                  <w:iCs/>
                  <w:noProof/>
                </w:rPr>
                <w:t xml:space="preserve">Evaluating Compliance with FCC Guidelines for Human Exposure to RadioFrequency Electromagnetic Fields. </w:t>
              </w:r>
              <w:r>
                <w:rPr>
                  <w:noProof/>
                </w:rPr>
                <w:t>97-01. Washington, D.C. : s.n., 1997.</w:t>
              </w:r>
            </w:p>
            <w:p w14:paraId="7F53FC09" w14:textId="77777777" w:rsidR="00FE4D52" w:rsidRDefault="00FE4D52" w:rsidP="00FE4D52">
              <w:pPr>
                <w:pStyle w:val="Bibliography"/>
                <w:rPr>
                  <w:noProof/>
                </w:rPr>
              </w:pPr>
              <w:r>
                <w:rPr>
                  <w:noProof/>
                </w:rPr>
                <w:t xml:space="preserve">4. </w:t>
              </w:r>
              <w:r>
                <w:rPr>
                  <w:b/>
                  <w:bCs/>
                  <w:noProof/>
                </w:rPr>
                <w:t>American Conference of Governmental Industrial Hygienists.</w:t>
              </w:r>
              <w:r>
                <w:rPr>
                  <w:noProof/>
                </w:rPr>
                <w:t xml:space="preserve"> </w:t>
              </w:r>
              <w:r>
                <w:rPr>
                  <w:i/>
                  <w:iCs/>
                  <w:noProof/>
                </w:rPr>
                <w:t xml:space="preserve">Radiofrequency/Microwave Radiation: TLV(R) Physical Agents 7th Edition Documentation. </w:t>
              </w:r>
              <w:r>
                <w:rPr>
                  <w:noProof/>
                </w:rPr>
                <w:t>[PDF] Cincinnati : ACGIH, 2010. 7DOC-654.</w:t>
              </w:r>
            </w:p>
            <w:p w14:paraId="35DA5385" w14:textId="7D7F24EB" w:rsidR="00C704B6" w:rsidRPr="00BF1337" w:rsidRDefault="00970F42" w:rsidP="00FE4D52">
              <w:r>
                <w:rPr>
                  <w:b/>
                  <w:bCs/>
                  <w:noProof/>
                </w:rPr>
                <w:fldChar w:fldCharType="end"/>
              </w:r>
            </w:p>
          </w:sdtContent>
        </w:sdt>
      </w:sdtContent>
    </w:sdt>
    <w:p w14:paraId="13C2E784" w14:textId="77777777" w:rsidR="001A74A8" w:rsidRPr="00C02A84" w:rsidRDefault="001A74A8" w:rsidP="001A74A8">
      <w:pPr>
        <w:jc w:val="center"/>
      </w:pPr>
    </w:p>
    <w:sectPr w:rsidR="001A74A8" w:rsidRPr="00C02A84" w:rsidSect="001A7E90">
      <w:headerReference w:type="even" r:id="rId17"/>
      <w:headerReference w:type="default" r:id="rId18"/>
      <w:footerReference w:type="default" r:id="rId19"/>
      <w:headerReference w:type="first" r:id="rId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C6B2A" w14:textId="77777777" w:rsidR="00CE6F9F" w:rsidRDefault="00CE6F9F" w:rsidP="00CB66DF">
      <w:r>
        <w:separator/>
      </w:r>
    </w:p>
  </w:endnote>
  <w:endnote w:type="continuationSeparator" w:id="0">
    <w:p w14:paraId="1EA28749" w14:textId="77777777" w:rsidR="00CE6F9F" w:rsidRDefault="00CE6F9F"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C078" w14:textId="77777777" w:rsidR="00D6273D" w:rsidRDefault="00D62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1991" w14:textId="3F15E851" w:rsidR="00D6273D" w:rsidRDefault="00D6273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4320-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4406C0F8" w14:textId="564FDA75" w:rsidR="00D6273D" w:rsidRDefault="00D6273D"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06</w:t>
    </w:r>
    <w:r w:rsidRPr="00A71082">
      <w:rPr>
        <w:sz w:val="18"/>
        <w:szCs w:val="18"/>
      </w:rPr>
      <w:t>/20</w:t>
    </w:r>
    <w:r>
      <w:rPr>
        <w:sz w:val="18"/>
        <w:szCs w:val="18"/>
      </w:rPr>
      <w:t>20</w:t>
    </w:r>
    <w:r w:rsidRPr="00A71082">
      <w:rPr>
        <w:rFonts w:ascii="Palatino" w:hAnsi="Palatino"/>
        <w:sz w:val="18"/>
        <w:szCs w:val="18"/>
      </w:rPr>
      <w:t xml:space="preserve"> </w:t>
    </w:r>
    <w:r w:rsidRPr="00E131D2">
      <w:rPr>
        <w:rFonts w:ascii="Palatino" w:hAnsi="Palatino"/>
      </w:rPr>
      <w:t xml:space="preserve">    </w:t>
    </w:r>
  </w:p>
  <w:p w14:paraId="5225B625" w14:textId="77777777" w:rsidR="00D6273D" w:rsidRDefault="00D6273D"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BC9914C" w14:textId="77777777" w:rsidR="00D6273D" w:rsidRPr="00B072B8" w:rsidRDefault="00D6273D"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F4A5" w14:textId="77777777" w:rsidR="00D6273D" w:rsidRDefault="00D62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EBA0" w14:textId="219CAB5A" w:rsidR="00D6273D" w:rsidRDefault="00D6273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4320-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0768404E" w14:textId="4F1BC6B9" w:rsidR="00D6273D" w:rsidRDefault="00D6273D"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06/2020</w:t>
    </w:r>
    <w:r w:rsidRPr="00E131D2">
      <w:rPr>
        <w:rFonts w:ascii="Palatino" w:hAnsi="Palatino"/>
      </w:rPr>
      <w:t xml:space="preserve">   </w:t>
    </w:r>
  </w:p>
  <w:p w14:paraId="4577A862" w14:textId="77777777" w:rsidR="00D6273D" w:rsidRDefault="00D6273D"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A838C59" w14:textId="77777777" w:rsidR="00D6273D" w:rsidRDefault="00D6273D"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3ABF684" w14:textId="77777777" w:rsidR="00D6273D" w:rsidRPr="00DB5D5A" w:rsidRDefault="00D6273D"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7A841" w14:textId="77777777" w:rsidR="00CE6F9F" w:rsidRDefault="00CE6F9F" w:rsidP="00CB66DF">
      <w:r>
        <w:separator/>
      </w:r>
    </w:p>
  </w:footnote>
  <w:footnote w:type="continuationSeparator" w:id="0">
    <w:p w14:paraId="12D2A73A" w14:textId="77777777" w:rsidR="00CE6F9F" w:rsidRDefault="00CE6F9F"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3EE4" w14:textId="2AA6BB39" w:rsidR="00D6273D" w:rsidRDefault="00D62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D6273D" w:rsidRPr="00423E3B" w14:paraId="539F35DD" w14:textId="77777777" w:rsidTr="00276DEB">
      <w:trPr>
        <w:trHeight w:val="611"/>
      </w:trPr>
      <w:tc>
        <w:tcPr>
          <w:tcW w:w="1490" w:type="dxa"/>
        </w:tcPr>
        <w:p w14:paraId="557162B7" w14:textId="77777777" w:rsidR="00D6273D" w:rsidRDefault="00D6273D" w:rsidP="00897B1F">
          <w:r w:rsidRPr="00684839">
            <w:rPr>
              <w:noProof/>
            </w:rPr>
            <w:drawing>
              <wp:anchor distT="0" distB="0" distL="114300" distR="114300" simplePos="0" relativeHeight="251657728" behindDoc="0" locked="0" layoutInCell="1" allowOverlap="0" wp14:anchorId="71294DDB" wp14:editId="589CD10E">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9E4E39D" w14:textId="77777777" w:rsidR="00D6273D" w:rsidRDefault="00D6273D" w:rsidP="00897B1F">
          <w:pPr>
            <w:jc w:val="center"/>
          </w:pPr>
          <w:r>
            <w:t>ES&amp;H Manual</w:t>
          </w:r>
        </w:p>
      </w:tc>
      <w:tc>
        <w:tcPr>
          <w:tcW w:w="3188" w:type="dxa"/>
          <w:vAlign w:val="center"/>
        </w:tcPr>
        <w:p w14:paraId="5CFCF5C5" w14:textId="37DB0246" w:rsidR="00D6273D" w:rsidRPr="00423E3B" w:rsidRDefault="00D6273D" w:rsidP="00276DEB">
          <w:pPr>
            <w:jc w:val="center"/>
          </w:pPr>
          <w:r>
            <w:t>FESHM 4320</w:t>
          </w:r>
        </w:p>
        <w:p w14:paraId="6F6D6A98" w14:textId="1E9C784C" w:rsidR="00D6273D" w:rsidRPr="00423E3B" w:rsidRDefault="00D6273D" w:rsidP="00276DEB">
          <w:pPr>
            <w:jc w:val="center"/>
          </w:pPr>
          <w:r>
            <w:t>June 2020</w:t>
          </w:r>
        </w:p>
      </w:tc>
    </w:tr>
  </w:tbl>
  <w:p w14:paraId="1DE247D0" w14:textId="596933C6" w:rsidR="00D6273D" w:rsidRDefault="00D6273D"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F13F" w14:textId="5E5CD6BB" w:rsidR="00D6273D" w:rsidRDefault="00D627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7C60" w14:textId="390A2028" w:rsidR="00D6273D" w:rsidRDefault="00D627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D6273D" w:rsidRPr="00423E3B" w14:paraId="09C176FB" w14:textId="77777777" w:rsidTr="00276DEB">
      <w:trPr>
        <w:trHeight w:val="611"/>
      </w:trPr>
      <w:tc>
        <w:tcPr>
          <w:tcW w:w="1490" w:type="dxa"/>
        </w:tcPr>
        <w:p w14:paraId="452021F6" w14:textId="77777777" w:rsidR="00D6273D" w:rsidRDefault="00D6273D" w:rsidP="00897B1F">
          <w:r w:rsidRPr="00684839">
            <w:rPr>
              <w:noProof/>
            </w:rPr>
            <w:drawing>
              <wp:anchor distT="0" distB="0" distL="114300" distR="114300" simplePos="0" relativeHeight="251659776" behindDoc="0" locked="0" layoutInCell="1" allowOverlap="0" wp14:anchorId="130CE1BA" wp14:editId="703C55AA">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CC3A1EC" w14:textId="77777777" w:rsidR="00D6273D" w:rsidRDefault="00D6273D" w:rsidP="00897B1F">
          <w:pPr>
            <w:jc w:val="center"/>
          </w:pPr>
          <w:r>
            <w:t>ES&amp;H Manual</w:t>
          </w:r>
        </w:p>
      </w:tc>
      <w:tc>
        <w:tcPr>
          <w:tcW w:w="3188" w:type="dxa"/>
          <w:vAlign w:val="center"/>
        </w:tcPr>
        <w:p w14:paraId="29069530" w14:textId="77777777" w:rsidR="00D6273D" w:rsidRPr="00423E3B" w:rsidRDefault="00D6273D" w:rsidP="00544325">
          <w:pPr>
            <w:jc w:val="center"/>
          </w:pPr>
          <w:r>
            <w:t>FESHM 4320</w:t>
          </w:r>
        </w:p>
        <w:p w14:paraId="28F63E51" w14:textId="7C962588" w:rsidR="00D6273D" w:rsidRPr="00423E3B" w:rsidRDefault="00D6273D" w:rsidP="00544325">
          <w:pPr>
            <w:jc w:val="center"/>
          </w:pPr>
          <w:r>
            <w:t>June 2020</w:t>
          </w:r>
        </w:p>
      </w:tc>
    </w:tr>
  </w:tbl>
  <w:p w14:paraId="5DFE2E95" w14:textId="5480675C" w:rsidR="00D6273D" w:rsidRDefault="00D6273D"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A430" w14:textId="33F42A5E" w:rsidR="00D6273D" w:rsidRDefault="00D627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EE7F" w14:textId="69024D48" w:rsidR="00D6273D" w:rsidRDefault="00D627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D6273D" w:rsidRPr="00423E3B" w14:paraId="3C8D907C" w14:textId="77777777" w:rsidTr="00821B8A">
      <w:trPr>
        <w:trHeight w:val="611"/>
      </w:trPr>
      <w:tc>
        <w:tcPr>
          <w:tcW w:w="2676" w:type="dxa"/>
        </w:tcPr>
        <w:p w14:paraId="79AA8AAC" w14:textId="77777777" w:rsidR="00D6273D" w:rsidRDefault="00D6273D" w:rsidP="00821B8A">
          <w:r w:rsidRPr="00684839">
            <w:rPr>
              <w:noProof/>
            </w:rPr>
            <w:drawing>
              <wp:anchor distT="0" distB="0" distL="114300" distR="114300" simplePos="0" relativeHeight="251661824" behindDoc="0" locked="0" layoutInCell="1" allowOverlap="0" wp14:anchorId="55AF4455" wp14:editId="3FDD482C">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E96DCB3" w14:textId="77777777" w:rsidR="00D6273D" w:rsidRDefault="00D6273D" w:rsidP="00821B8A">
          <w:pPr>
            <w:jc w:val="center"/>
          </w:pPr>
          <w:r>
            <w:t>ES&amp;H Manual</w:t>
          </w:r>
        </w:p>
      </w:tc>
      <w:tc>
        <w:tcPr>
          <w:tcW w:w="2736" w:type="dxa"/>
          <w:vAlign w:val="center"/>
        </w:tcPr>
        <w:p w14:paraId="1C9D8E61" w14:textId="2B41DEC3" w:rsidR="00D6273D" w:rsidRPr="00423E3B" w:rsidRDefault="00D6273D" w:rsidP="00821B8A">
          <w:pPr>
            <w:jc w:val="center"/>
          </w:pPr>
          <w:r>
            <w:t>FESHM 4320</w:t>
          </w:r>
        </w:p>
        <w:p w14:paraId="636BE06D" w14:textId="2874602F" w:rsidR="00D6273D" w:rsidRPr="00423E3B" w:rsidRDefault="00D6273D" w:rsidP="00821B8A">
          <w:pPr>
            <w:jc w:val="center"/>
          </w:pPr>
          <w:r>
            <w:t>June 2020</w:t>
          </w:r>
        </w:p>
      </w:tc>
    </w:tr>
  </w:tbl>
  <w:p w14:paraId="1DECCB8D" w14:textId="185BAF6E" w:rsidR="00D6273D" w:rsidRDefault="00D6273D" w:rsidP="00E00D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8EB8" w14:textId="5D0A238A" w:rsidR="00D6273D" w:rsidRDefault="00D62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20CD1"/>
    <w:multiLevelType w:val="hybridMultilevel"/>
    <w:tmpl w:val="32A67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B6717E"/>
    <w:multiLevelType w:val="hybridMultilevel"/>
    <w:tmpl w:val="907E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1014B"/>
    <w:multiLevelType w:val="hybridMultilevel"/>
    <w:tmpl w:val="71E0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45B42"/>
    <w:multiLevelType w:val="hybridMultilevel"/>
    <w:tmpl w:val="7B722C2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11"/>
  </w:num>
  <w:num w:numId="2">
    <w:abstractNumId w:val="9"/>
  </w:num>
  <w:num w:numId="3">
    <w:abstractNumId w:val="8"/>
  </w:num>
  <w:num w:numId="4">
    <w:abstractNumId w:val="3"/>
  </w:num>
  <w:num w:numId="5">
    <w:abstractNumId w:val="10"/>
  </w:num>
  <w:num w:numId="6">
    <w:abstractNumId w:val="1"/>
  </w:num>
  <w:num w:numId="7">
    <w:abstractNumId w:val="0"/>
  </w:num>
  <w:num w:numId="8">
    <w:abstractNumId w:val="7"/>
  </w:num>
  <w:num w:numId="9">
    <w:abstractNumId w:val="5"/>
  </w:num>
  <w:num w:numId="10">
    <w:abstractNumId w:val="4"/>
  </w:num>
  <w:num w:numId="11">
    <w:abstractNumId w:val="2"/>
  </w:num>
  <w:num w:numId="12">
    <w:abstractNumId w:val="6"/>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1DE9"/>
    <w:rsid w:val="000629F3"/>
    <w:rsid w:val="00063F1F"/>
    <w:rsid w:val="00063F45"/>
    <w:rsid w:val="00065AC6"/>
    <w:rsid w:val="000667E6"/>
    <w:rsid w:val="00070C70"/>
    <w:rsid w:val="00071B76"/>
    <w:rsid w:val="00071D86"/>
    <w:rsid w:val="0007316A"/>
    <w:rsid w:val="000753FB"/>
    <w:rsid w:val="00077A12"/>
    <w:rsid w:val="00077CC7"/>
    <w:rsid w:val="0008004A"/>
    <w:rsid w:val="00082F1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16F"/>
    <w:rsid w:val="000E2AF0"/>
    <w:rsid w:val="000F73F8"/>
    <w:rsid w:val="00100751"/>
    <w:rsid w:val="00100D48"/>
    <w:rsid w:val="001018F5"/>
    <w:rsid w:val="00101B44"/>
    <w:rsid w:val="00102003"/>
    <w:rsid w:val="0010257B"/>
    <w:rsid w:val="001033FA"/>
    <w:rsid w:val="001034A8"/>
    <w:rsid w:val="00111D51"/>
    <w:rsid w:val="00112583"/>
    <w:rsid w:val="00112AE3"/>
    <w:rsid w:val="00113419"/>
    <w:rsid w:val="001160E1"/>
    <w:rsid w:val="00120D90"/>
    <w:rsid w:val="00121965"/>
    <w:rsid w:val="00124813"/>
    <w:rsid w:val="00124962"/>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653D"/>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0BE"/>
    <w:rsid w:val="001A3403"/>
    <w:rsid w:val="001A3CA8"/>
    <w:rsid w:val="001A74A8"/>
    <w:rsid w:val="001A7E90"/>
    <w:rsid w:val="001B21AC"/>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19A"/>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55E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6EB5"/>
    <w:rsid w:val="00267A46"/>
    <w:rsid w:val="0027397C"/>
    <w:rsid w:val="0027613C"/>
    <w:rsid w:val="00276AB1"/>
    <w:rsid w:val="00276DEB"/>
    <w:rsid w:val="0028562B"/>
    <w:rsid w:val="00285A6D"/>
    <w:rsid w:val="00285CFC"/>
    <w:rsid w:val="0028635A"/>
    <w:rsid w:val="002900AF"/>
    <w:rsid w:val="00295187"/>
    <w:rsid w:val="00295D6F"/>
    <w:rsid w:val="0029668C"/>
    <w:rsid w:val="002A6EDC"/>
    <w:rsid w:val="002A71D3"/>
    <w:rsid w:val="002B0B0A"/>
    <w:rsid w:val="002B107E"/>
    <w:rsid w:val="002B2D45"/>
    <w:rsid w:val="002B32E1"/>
    <w:rsid w:val="002B4274"/>
    <w:rsid w:val="002B5B37"/>
    <w:rsid w:val="002C2CF5"/>
    <w:rsid w:val="002D175B"/>
    <w:rsid w:val="002D19E5"/>
    <w:rsid w:val="002D2A16"/>
    <w:rsid w:val="002D59DB"/>
    <w:rsid w:val="002D7124"/>
    <w:rsid w:val="002E1EFB"/>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C73E0"/>
    <w:rsid w:val="003D0967"/>
    <w:rsid w:val="003D219A"/>
    <w:rsid w:val="003E0245"/>
    <w:rsid w:val="003E2680"/>
    <w:rsid w:val="003E2A77"/>
    <w:rsid w:val="003E2CCD"/>
    <w:rsid w:val="003E41FF"/>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162A7"/>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67DC2"/>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3E23"/>
    <w:rsid w:val="00494DE2"/>
    <w:rsid w:val="00494EF9"/>
    <w:rsid w:val="00495FA7"/>
    <w:rsid w:val="00496229"/>
    <w:rsid w:val="00496595"/>
    <w:rsid w:val="004979D8"/>
    <w:rsid w:val="004A31B8"/>
    <w:rsid w:val="004A6C6B"/>
    <w:rsid w:val="004A6E56"/>
    <w:rsid w:val="004B077E"/>
    <w:rsid w:val="004B078A"/>
    <w:rsid w:val="004B1826"/>
    <w:rsid w:val="004B1E3C"/>
    <w:rsid w:val="004B4172"/>
    <w:rsid w:val="004B52A1"/>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4CC6"/>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325"/>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3CA"/>
    <w:rsid w:val="005B44F1"/>
    <w:rsid w:val="005C1138"/>
    <w:rsid w:val="005C1721"/>
    <w:rsid w:val="005C2651"/>
    <w:rsid w:val="005C3DE2"/>
    <w:rsid w:val="005C422D"/>
    <w:rsid w:val="005C68FC"/>
    <w:rsid w:val="005C6E3D"/>
    <w:rsid w:val="005C7062"/>
    <w:rsid w:val="005D3690"/>
    <w:rsid w:val="005D3861"/>
    <w:rsid w:val="005D395D"/>
    <w:rsid w:val="005D3EA6"/>
    <w:rsid w:val="005D40FA"/>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7272"/>
    <w:rsid w:val="00600B00"/>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6EB3"/>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4BC6"/>
    <w:rsid w:val="00675D60"/>
    <w:rsid w:val="00677CDB"/>
    <w:rsid w:val="00687887"/>
    <w:rsid w:val="00692AB4"/>
    <w:rsid w:val="00692B30"/>
    <w:rsid w:val="0069414A"/>
    <w:rsid w:val="006978BD"/>
    <w:rsid w:val="006A4814"/>
    <w:rsid w:val="006A7918"/>
    <w:rsid w:val="006A7EA9"/>
    <w:rsid w:val="006B030F"/>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0F5D"/>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1DB4"/>
    <w:rsid w:val="00742C58"/>
    <w:rsid w:val="00743FAE"/>
    <w:rsid w:val="00746A06"/>
    <w:rsid w:val="00747685"/>
    <w:rsid w:val="00747CA7"/>
    <w:rsid w:val="007509AD"/>
    <w:rsid w:val="007517A1"/>
    <w:rsid w:val="00754D91"/>
    <w:rsid w:val="007637C5"/>
    <w:rsid w:val="00764DC9"/>
    <w:rsid w:val="00765DBA"/>
    <w:rsid w:val="00774629"/>
    <w:rsid w:val="007774FE"/>
    <w:rsid w:val="00780C04"/>
    <w:rsid w:val="0078282A"/>
    <w:rsid w:val="007852F2"/>
    <w:rsid w:val="00785A3F"/>
    <w:rsid w:val="00790515"/>
    <w:rsid w:val="00790CBC"/>
    <w:rsid w:val="00790EC3"/>
    <w:rsid w:val="00791740"/>
    <w:rsid w:val="0079178C"/>
    <w:rsid w:val="00792643"/>
    <w:rsid w:val="00794290"/>
    <w:rsid w:val="00794AED"/>
    <w:rsid w:val="00796EF8"/>
    <w:rsid w:val="00797DD5"/>
    <w:rsid w:val="007A03C8"/>
    <w:rsid w:val="007A33A6"/>
    <w:rsid w:val="007A3577"/>
    <w:rsid w:val="007A6E0B"/>
    <w:rsid w:val="007B01C7"/>
    <w:rsid w:val="007B24E2"/>
    <w:rsid w:val="007B2A87"/>
    <w:rsid w:val="007B2FCB"/>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5A1E"/>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3C93"/>
    <w:rsid w:val="008844F1"/>
    <w:rsid w:val="00884552"/>
    <w:rsid w:val="008858C7"/>
    <w:rsid w:val="00887E6B"/>
    <w:rsid w:val="008928CE"/>
    <w:rsid w:val="00892A5D"/>
    <w:rsid w:val="00893ACF"/>
    <w:rsid w:val="00897B1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E7872"/>
    <w:rsid w:val="008F0F78"/>
    <w:rsid w:val="008F1BF5"/>
    <w:rsid w:val="008F1CA1"/>
    <w:rsid w:val="008F70C0"/>
    <w:rsid w:val="00901185"/>
    <w:rsid w:val="009019DC"/>
    <w:rsid w:val="0090345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175"/>
    <w:rsid w:val="0094044D"/>
    <w:rsid w:val="00941B62"/>
    <w:rsid w:val="00943CD3"/>
    <w:rsid w:val="009462A5"/>
    <w:rsid w:val="009533AB"/>
    <w:rsid w:val="009571BC"/>
    <w:rsid w:val="0096026A"/>
    <w:rsid w:val="00962080"/>
    <w:rsid w:val="00963616"/>
    <w:rsid w:val="00965807"/>
    <w:rsid w:val="009667C3"/>
    <w:rsid w:val="009676A5"/>
    <w:rsid w:val="009702F3"/>
    <w:rsid w:val="00970F42"/>
    <w:rsid w:val="00974519"/>
    <w:rsid w:val="00975A9E"/>
    <w:rsid w:val="009803D2"/>
    <w:rsid w:val="00981885"/>
    <w:rsid w:val="00983586"/>
    <w:rsid w:val="00984F08"/>
    <w:rsid w:val="00985D47"/>
    <w:rsid w:val="00994B5E"/>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33D"/>
    <w:rsid w:val="009E5CCE"/>
    <w:rsid w:val="009F01C3"/>
    <w:rsid w:val="009F1C25"/>
    <w:rsid w:val="009F259A"/>
    <w:rsid w:val="009F4AE9"/>
    <w:rsid w:val="009F6609"/>
    <w:rsid w:val="009F6853"/>
    <w:rsid w:val="00A00040"/>
    <w:rsid w:val="00A031B0"/>
    <w:rsid w:val="00A03519"/>
    <w:rsid w:val="00A057E1"/>
    <w:rsid w:val="00A068BF"/>
    <w:rsid w:val="00A07DD6"/>
    <w:rsid w:val="00A10A70"/>
    <w:rsid w:val="00A110F1"/>
    <w:rsid w:val="00A14FE3"/>
    <w:rsid w:val="00A17AD0"/>
    <w:rsid w:val="00A216A7"/>
    <w:rsid w:val="00A22817"/>
    <w:rsid w:val="00A2408C"/>
    <w:rsid w:val="00A24907"/>
    <w:rsid w:val="00A27ED9"/>
    <w:rsid w:val="00A3104E"/>
    <w:rsid w:val="00A341B7"/>
    <w:rsid w:val="00A3618F"/>
    <w:rsid w:val="00A4075B"/>
    <w:rsid w:val="00A428EF"/>
    <w:rsid w:val="00A42D12"/>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C326C"/>
    <w:rsid w:val="00AD0240"/>
    <w:rsid w:val="00AD1225"/>
    <w:rsid w:val="00AD2534"/>
    <w:rsid w:val="00AD7159"/>
    <w:rsid w:val="00AD748A"/>
    <w:rsid w:val="00AE3874"/>
    <w:rsid w:val="00AE48D8"/>
    <w:rsid w:val="00AE4C80"/>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07702"/>
    <w:rsid w:val="00B14F1F"/>
    <w:rsid w:val="00B17AC0"/>
    <w:rsid w:val="00B24980"/>
    <w:rsid w:val="00B26D1E"/>
    <w:rsid w:val="00B3166E"/>
    <w:rsid w:val="00B32143"/>
    <w:rsid w:val="00B32ABB"/>
    <w:rsid w:val="00B32E1C"/>
    <w:rsid w:val="00B40A00"/>
    <w:rsid w:val="00B43813"/>
    <w:rsid w:val="00B44E0F"/>
    <w:rsid w:val="00B44E2B"/>
    <w:rsid w:val="00B45F25"/>
    <w:rsid w:val="00B53CB2"/>
    <w:rsid w:val="00B574D0"/>
    <w:rsid w:val="00B57588"/>
    <w:rsid w:val="00B618FA"/>
    <w:rsid w:val="00B61C02"/>
    <w:rsid w:val="00B641B2"/>
    <w:rsid w:val="00B72DB2"/>
    <w:rsid w:val="00B74341"/>
    <w:rsid w:val="00B76427"/>
    <w:rsid w:val="00B778ED"/>
    <w:rsid w:val="00B80F62"/>
    <w:rsid w:val="00B81B00"/>
    <w:rsid w:val="00B84753"/>
    <w:rsid w:val="00B90373"/>
    <w:rsid w:val="00B90A24"/>
    <w:rsid w:val="00B92898"/>
    <w:rsid w:val="00B931D5"/>
    <w:rsid w:val="00B93B7E"/>
    <w:rsid w:val="00B94DC8"/>
    <w:rsid w:val="00B94F1D"/>
    <w:rsid w:val="00B94FBD"/>
    <w:rsid w:val="00B96DDA"/>
    <w:rsid w:val="00BA173E"/>
    <w:rsid w:val="00BA4B5A"/>
    <w:rsid w:val="00BA70C1"/>
    <w:rsid w:val="00BB4B88"/>
    <w:rsid w:val="00BB50D0"/>
    <w:rsid w:val="00BB6D37"/>
    <w:rsid w:val="00BC28A6"/>
    <w:rsid w:val="00BC3922"/>
    <w:rsid w:val="00BC3A1D"/>
    <w:rsid w:val="00BC3D90"/>
    <w:rsid w:val="00BD056C"/>
    <w:rsid w:val="00BD0818"/>
    <w:rsid w:val="00BD17E2"/>
    <w:rsid w:val="00BD270B"/>
    <w:rsid w:val="00BD3559"/>
    <w:rsid w:val="00BD577E"/>
    <w:rsid w:val="00BE0B51"/>
    <w:rsid w:val="00BE0C08"/>
    <w:rsid w:val="00BE698E"/>
    <w:rsid w:val="00BF1337"/>
    <w:rsid w:val="00BF19A0"/>
    <w:rsid w:val="00BF3072"/>
    <w:rsid w:val="00BF4030"/>
    <w:rsid w:val="00BF41F5"/>
    <w:rsid w:val="00BF54F4"/>
    <w:rsid w:val="00C02A84"/>
    <w:rsid w:val="00C02DBE"/>
    <w:rsid w:val="00C02EAF"/>
    <w:rsid w:val="00C035A5"/>
    <w:rsid w:val="00C05982"/>
    <w:rsid w:val="00C05B4C"/>
    <w:rsid w:val="00C13EEC"/>
    <w:rsid w:val="00C148CE"/>
    <w:rsid w:val="00C16468"/>
    <w:rsid w:val="00C17904"/>
    <w:rsid w:val="00C21783"/>
    <w:rsid w:val="00C22184"/>
    <w:rsid w:val="00C23BCB"/>
    <w:rsid w:val="00C23CE8"/>
    <w:rsid w:val="00C263FE"/>
    <w:rsid w:val="00C278EC"/>
    <w:rsid w:val="00C30E84"/>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17B7"/>
    <w:rsid w:val="00C925E3"/>
    <w:rsid w:val="00C93B80"/>
    <w:rsid w:val="00C9646B"/>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6E25"/>
    <w:rsid w:val="00CE6F9F"/>
    <w:rsid w:val="00CE7B12"/>
    <w:rsid w:val="00CF001F"/>
    <w:rsid w:val="00CF0D78"/>
    <w:rsid w:val="00CF5B27"/>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25A1"/>
    <w:rsid w:val="00D6273D"/>
    <w:rsid w:val="00D6371B"/>
    <w:rsid w:val="00D64B0D"/>
    <w:rsid w:val="00D65289"/>
    <w:rsid w:val="00D76B17"/>
    <w:rsid w:val="00D805D3"/>
    <w:rsid w:val="00D85385"/>
    <w:rsid w:val="00D92045"/>
    <w:rsid w:val="00D929BC"/>
    <w:rsid w:val="00D93737"/>
    <w:rsid w:val="00D972D8"/>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45E9"/>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33B7"/>
    <w:rsid w:val="00E153DE"/>
    <w:rsid w:val="00E162AC"/>
    <w:rsid w:val="00E208DA"/>
    <w:rsid w:val="00E21A25"/>
    <w:rsid w:val="00E21F92"/>
    <w:rsid w:val="00E229B2"/>
    <w:rsid w:val="00E3113A"/>
    <w:rsid w:val="00E31837"/>
    <w:rsid w:val="00E344D0"/>
    <w:rsid w:val="00E34ECF"/>
    <w:rsid w:val="00E35D43"/>
    <w:rsid w:val="00E35D71"/>
    <w:rsid w:val="00E46554"/>
    <w:rsid w:val="00E46C36"/>
    <w:rsid w:val="00E47427"/>
    <w:rsid w:val="00E47E94"/>
    <w:rsid w:val="00E5651F"/>
    <w:rsid w:val="00E57C3E"/>
    <w:rsid w:val="00E60682"/>
    <w:rsid w:val="00E66004"/>
    <w:rsid w:val="00E668BC"/>
    <w:rsid w:val="00E67B6B"/>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4F79"/>
    <w:rsid w:val="00EF5DF3"/>
    <w:rsid w:val="00F01357"/>
    <w:rsid w:val="00F03199"/>
    <w:rsid w:val="00F04891"/>
    <w:rsid w:val="00F06C2A"/>
    <w:rsid w:val="00F0718C"/>
    <w:rsid w:val="00F12448"/>
    <w:rsid w:val="00F12EB7"/>
    <w:rsid w:val="00F14A36"/>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4D52"/>
    <w:rsid w:val="00FE5FAB"/>
    <w:rsid w:val="00FE6869"/>
    <w:rsid w:val="00FF0834"/>
    <w:rsid w:val="00FF172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0CABFF10"/>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3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ibliography">
    <w:name w:val="Bibliography"/>
    <w:basedOn w:val="Normal"/>
    <w:next w:val="Normal"/>
    <w:uiPriority w:val="37"/>
    <w:unhideWhenUsed/>
    <w:rsid w:val="009E533D"/>
  </w:style>
  <w:style w:type="character" w:styleId="LineNumber">
    <w:name w:val="line number"/>
    <w:basedOn w:val="DefaultParagraphFont"/>
    <w:uiPriority w:val="99"/>
    <w:semiHidden/>
    <w:unhideWhenUsed/>
    <w:rsid w:val="00697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03816496">
      <w:bodyDiv w:val="1"/>
      <w:marLeft w:val="0"/>
      <w:marRight w:val="0"/>
      <w:marTop w:val="0"/>
      <w:marBottom w:val="0"/>
      <w:divBdr>
        <w:top w:val="none" w:sz="0" w:space="0" w:color="auto"/>
        <w:left w:val="none" w:sz="0" w:space="0" w:color="auto"/>
        <w:bottom w:val="none" w:sz="0" w:space="0" w:color="auto"/>
        <w:right w:val="none" w:sz="0" w:space="0" w:color="auto"/>
      </w:divBdr>
    </w:div>
    <w:div w:id="144711565">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36213495">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15254585">
      <w:bodyDiv w:val="1"/>
      <w:marLeft w:val="0"/>
      <w:marRight w:val="0"/>
      <w:marTop w:val="0"/>
      <w:marBottom w:val="0"/>
      <w:divBdr>
        <w:top w:val="none" w:sz="0" w:space="0" w:color="auto"/>
        <w:left w:val="none" w:sz="0" w:space="0" w:color="auto"/>
        <w:bottom w:val="none" w:sz="0" w:space="0" w:color="auto"/>
        <w:right w:val="none" w:sz="0" w:space="0" w:color="auto"/>
      </w:divBdr>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39357854">
      <w:bodyDiv w:val="1"/>
      <w:marLeft w:val="0"/>
      <w:marRight w:val="0"/>
      <w:marTop w:val="0"/>
      <w:marBottom w:val="0"/>
      <w:divBdr>
        <w:top w:val="none" w:sz="0" w:space="0" w:color="auto"/>
        <w:left w:val="none" w:sz="0" w:space="0" w:color="auto"/>
        <w:bottom w:val="none" w:sz="0" w:space="0" w:color="auto"/>
        <w:right w:val="none" w:sz="0" w:space="0" w:color="auto"/>
      </w:divBdr>
    </w:div>
    <w:div w:id="1793550716">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09226239">
      <w:bodyDiv w:val="1"/>
      <w:marLeft w:val="0"/>
      <w:marRight w:val="0"/>
      <w:marTop w:val="0"/>
      <w:marBottom w:val="0"/>
      <w:divBdr>
        <w:top w:val="none" w:sz="0" w:space="0" w:color="auto"/>
        <w:left w:val="none" w:sz="0" w:space="0" w:color="auto"/>
        <w:bottom w:val="none" w:sz="0" w:space="0" w:color="auto"/>
        <w:right w:val="none" w:sz="0" w:space="0" w:color="auto"/>
      </w:divBdr>
    </w:div>
    <w:div w:id="1911622133">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Ame20</b:Tag>
    <b:SourceType>Book</b:SourceType>
    <b:Guid>{E4496994-8D3D-416D-8F83-5DD554110916}</b:Guid>
    <b:Title>2020 TLVs and BEIs</b:Title>
    <b:Year>2020</b:Year>
    <b:City>Cincinnati</b:City>
    <b:Author>
      <b:Author>
        <b:Corporate>American Conference of Governmental Industrial Hygienists</b:Corporate>
      </b:Author>
    </b:Author>
    <b:StateProvince>Ohio</b:StateProvince>
    <b:Pages>140-145</b:Pages>
    <b:RefOrder>1</b:RefOrder>
  </b:Source>
  <b:Source>
    <b:Tag>USD13</b:Tag>
    <b:SourceType>Book</b:SourceType>
    <b:Guid>{F6B5597B-8EAB-432D-9507-8BC011828657}</b:Guid>
    <b:Title>DOE HANDBOOK ELECTRICAL SAFETY</b:Title>
    <b:Year>2013</b:Year>
    <b:City>Washington, D.C.</b:City>
    <b:Author>
      <b:Author>
        <b:Corporate>U.S. Department of Energy</b:Corporate>
      </b:Author>
    </b:Author>
    <b:Month>July</b:Month>
    <b:URL>https://www.standards.doe.gov/standards-documents/1000/1092-BHdbk-2013</b:URL>
    <b:Edition>DOE-HDBK-1092-2013</b:Edition>
    <b:Medium>PDF</b:Medium>
    <b:RefOrder>2</b:RefOrder>
  </b:Source>
  <b:Source>
    <b:Tag>Fed97</b:Tag>
    <b:SourceType>Book</b:SourceType>
    <b:Guid>{3A17D935-99FA-4F40-AA4A-7147A36C65B6}</b:Guid>
    <b:Title>Evaluating Compliance with FCC Guidelines for Human Exposure to RadioFrequency Electromagnetic Fields</b:Title>
    <b:Year>1997</b:Year>
    <b:City>Washington, D.C.</b:City>
    <b:Author>
      <b:Author>
        <b:Corporate>Federal Communications Commission Office of Engineering &amp; Technology</b:Corporate>
      </b:Author>
    </b:Author>
    <b:Medium>PDF</b:Medium>
    <b:URL>https://transition.fcc.gov/Bureaus/Engineering_Technology/Documents/bulletins/oet65/oet65.pdf</b:URL>
    <b:Edition>97-01</b:Edition>
    <b:RefOrder>3</b:RefOrder>
  </b:Source>
  <b:Source>
    <b:Tag>Ame10</b:Tag>
    <b:SourceType>ElectronicSource</b:SourceType>
    <b:Guid>{9F4A819C-BB1B-48A7-A3FC-4956C43C557A}</b:Guid>
    <b:Title>Radiofrequency/Microwave Radiation: TLV(R) Physical Agents 7th Edition Documentation</b:Title>
    <b:Year>2010</b:Year>
    <b:City>Cincinnati</b:City>
    <b:StandardNumber>7DOC-654</b:StandardNumber>
    <b:Author>
      <b:Author>
        <b:Corporate>American Conference of Governmental Industrial Hygienists</b:Corporate>
      </b:Author>
    </b:Author>
    <b:ProductionCompany>ACGIH</b:ProductionCompany>
    <b:URL>https://www.acgih.org/forms/store/ProductFormPublic/radiofrequency-and-microwave-radiation-tlv-r-physical-agents-7th-edition-documentation</b:URL>
    <b:Medium>PDF</b:Medium>
    <b:RefOrder>4</b:RefOrder>
  </b:Source>
</b:Sources>
</file>

<file path=customXml/itemProps1.xml><?xml version="1.0" encoding="utf-8"?>
<ds:datastoreItem xmlns:ds="http://schemas.openxmlformats.org/officeDocument/2006/customXml" ds:itemID="{89E47520-C38D-4BB3-9888-9B2A9659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9</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17296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Kristy Gibson</cp:lastModifiedBy>
  <cp:revision>15</cp:revision>
  <cp:lastPrinted>2020-07-01T01:01:00Z</cp:lastPrinted>
  <dcterms:created xsi:type="dcterms:W3CDTF">2020-06-10T17:10:00Z</dcterms:created>
  <dcterms:modified xsi:type="dcterms:W3CDTF">2020-07-01T01:02:00Z</dcterms:modified>
</cp:coreProperties>
</file>