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A5888" w14:textId="77777777" w:rsidR="00142C80" w:rsidRPr="00395442" w:rsidRDefault="00142C80" w:rsidP="00D8063B">
      <w:pPr>
        <w:rPr>
          <w:b/>
          <w:sz w:val="28"/>
          <w:szCs w:val="28"/>
        </w:rPr>
      </w:pPr>
    </w:p>
    <w:p w14:paraId="1ACF137C" w14:textId="77777777" w:rsidR="004A3F92" w:rsidRPr="00395442" w:rsidRDefault="004A3F92" w:rsidP="004A3F92">
      <w:pPr>
        <w:ind w:right="36"/>
        <w:jc w:val="center"/>
        <w:rPr>
          <w:b/>
          <w:sz w:val="36"/>
          <w:szCs w:val="36"/>
        </w:rPr>
      </w:pPr>
      <w:r w:rsidRPr="00395442">
        <w:rPr>
          <w:color w:val="000000"/>
          <w:sz w:val="36"/>
          <w:szCs w:val="36"/>
        </w:rPr>
        <w:t>FESHM 4270: STATIC MAGNETIC FIELDS</w:t>
      </w:r>
    </w:p>
    <w:p w14:paraId="73A4AE05" w14:textId="77777777" w:rsidR="00142C80" w:rsidRPr="00395442" w:rsidRDefault="00142C80" w:rsidP="00142C80">
      <w:pPr>
        <w:jc w:val="center"/>
        <w:rPr>
          <w:b/>
          <w:sz w:val="28"/>
          <w:szCs w:val="28"/>
        </w:rPr>
      </w:pPr>
    </w:p>
    <w:p w14:paraId="0FB4EB75" w14:textId="77777777" w:rsidR="00142C80" w:rsidRPr="00395442" w:rsidRDefault="00142C80" w:rsidP="00142C80">
      <w:pPr>
        <w:jc w:val="center"/>
        <w:rPr>
          <w:b/>
          <w:sz w:val="28"/>
          <w:szCs w:val="28"/>
        </w:rPr>
      </w:pPr>
    </w:p>
    <w:p w14:paraId="2AB9A1E0" w14:textId="77777777" w:rsidR="00DB5D5A" w:rsidRPr="00395442" w:rsidRDefault="00743FAE" w:rsidP="00DB5D5A">
      <w:pPr>
        <w:ind w:right="-140"/>
        <w:jc w:val="center"/>
        <w:rPr>
          <w:b/>
          <w:color w:val="000000"/>
        </w:rPr>
      </w:pPr>
      <w:r w:rsidRPr="00395442">
        <w:rPr>
          <w:b/>
          <w:color w:val="000000"/>
        </w:rPr>
        <w:t>Revision History</w:t>
      </w:r>
    </w:p>
    <w:p w14:paraId="2E83D4F5" w14:textId="77777777" w:rsidR="00DB5D5A" w:rsidRPr="00395442" w:rsidRDefault="00DB5D5A" w:rsidP="00DB5D5A">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490"/>
        <w:gridCol w:w="2250"/>
      </w:tblGrid>
      <w:tr w:rsidR="004A3F92" w:rsidRPr="00395442" w14:paraId="27965B97" w14:textId="77777777" w:rsidTr="00B06EDD">
        <w:tc>
          <w:tcPr>
            <w:tcW w:w="2088" w:type="dxa"/>
          </w:tcPr>
          <w:p w14:paraId="1B6B210E" w14:textId="77777777" w:rsidR="004A3F92" w:rsidRPr="00395442" w:rsidRDefault="004A3F92" w:rsidP="004A3F92">
            <w:pPr>
              <w:tabs>
                <w:tab w:val="left" w:pos="720"/>
              </w:tabs>
              <w:jc w:val="center"/>
              <w:rPr>
                <w:b/>
              </w:rPr>
            </w:pPr>
            <w:r w:rsidRPr="00395442">
              <w:rPr>
                <w:b/>
              </w:rPr>
              <w:t>Author</w:t>
            </w:r>
          </w:p>
        </w:tc>
        <w:tc>
          <w:tcPr>
            <w:tcW w:w="5490" w:type="dxa"/>
          </w:tcPr>
          <w:p w14:paraId="77DFCBF5" w14:textId="77777777" w:rsidR="004A3F92" w:rsidRPr="00395442" w:rsidRDefault="004A3F92" w:rsidP="004A3F92">
            <w:pPr>
              <w:tabs>
                <w:tab w:val="left" w:pos="720"/>
              </w:tabs>
              <w:jc w:val="center"/>
              <w:rPr>
                <w:b/>
              </w:rPr>
            </w:pPr>
            <w:r w:rsidRPr="00395442">
              <w:rPr>
                <w:b/>
              </w:rPr>
              <w:t>Description of Change</w:t>
            </w:r>
          </w:p>
        </w:tc>
        <w:tc>
          <w:tcPr>
            <w:tcW w:w="2250" w:type="dxa"/>
          </w:tcPr>
          <w:p w14:paraId="5FA066D8" w14:textId="77777777" w:rsidR="004A3F92" w:rsidRPr="00395442" w:rsidRDefault="004A3F92" w:rsidP="004A3F92">
            <w:pPr>
              <w:tabs>
                <w:tab w:val="left" w:pos="720"/>
              </w:tabs>
              <w:jc w:val="center"/>
              <w:rPr>
                <w:b/>
              </w:rPr>
            </w:pPr>
            <w:r w:rsidRPr="00395442">
              <w:rPr>
                <w:b/>
              </w:rPr>
              <w:t>Revision Date</w:t>
            </w:r>
          </w:p>
        </w:tc>
      </w:tr>
      <w:tr w:rsidR="00812852" w:rsidRPr="00395442" w14:paraId="40A1A8BA" w14:textId="77777777" w:rsidTr="00B06EDD">
        <w:tc>
          <w:tcPr>
            <w:tcW w:w="2088" w:type="dxa"/>
          </w:tcPr>
          <w:p w14:paraId="6EA1FC72" w14:textId="1FDFF046" w:rsidR="00812852" w:rsidRPr="005802A2" w:rsidRDefault="00812852" w:rsidP="004A3F92">
            <w:pPr>
              <w:tabs>
                <w:tab w:val="left" w:pos="720"/>
              </w:tabs>
              <w:jc w:val="center"/>
            </w:pPr>
            <w:r w:rsidRPr="005802A2">
              <w:t>Matthew Spaw</w:t>
            </w:r>
          </w:p>
        </w:tc>
        <w:tc>
          <w:tcPr>
            <w:tcW w:w="5490" w:type="dxa"/>
          </w:tcPr>
          <w:p w14:paraId="56FBCE7B" w14:textId="42120495" w:rsidR="00812852" w:rsidRDefault="007F73BE" w:rsidP="00C83D88">
            <w:pPr>
              <w:pStyle w:val="ListParagraph"/>
              <w:numPr>
                <w:ilvl w:val="0"/>
                <w:numId w:val="44"/>
              </w:numPr>
              <w:tabs>
                <w:tab w:val="left" w:pos="720"/>
              </w:tabs>
              <w:jc w:val="left"/>
            </w:pPr>
            <w:bookmarkStart w:id="0" w:name="_Hlk47430713"/>
            <w:bookmarkStart w:id="1" w:name="_GoBack"/>
            <w:r>
              <w:t>Magnetic Region Boundar</w:t>
            </w:r>
            <w:r w:rsidR="00F51117">
              <w:t>y terminology developed</w:t>
            </w:r>
            <w:r>
              <w:t xml:space="preserve">.  </w:t>
            </w:r>
          </w:p>
          <w:p w14:paraId="79F409D6" w14:textId="77777777" w:rsidR="003E0FAA" w:rsidRDefault="003E0FAA" w:rsidP="00C83D88">
            <w:pPr>
              <w:pStyle w:val="ListParagraph"/>
              <w:numPr>
                <w:ilvl w:val="0"/>
                <w:numId w:val="44"/>
              </w:numPr>
              <w:tabs>
                <w:tab w:val="left" w:pos="720"/>
              </w:tabs>
              <w:jc w:val="left"/>
            </w:pPr>
            <w:r>
              <w:t>Low and High projectile boundaries defined, and associated signage described</w:t>
            </w:r>
          </w:p>
          <w:p w14:paraId="36935E08" w14:textId="77777777" w:rsidR="003E0FAA" w:rsidRDefault="00F51117" w:rsidP="00C83D88">
            <w:pPr>
              <w:pStyle w:val="ListParagraph"/>
              <w:numPr>
                <w:ilvl w:val="0"/>
                <w:numId w:val="44"/>
              </w:numPr>
              <w:tabs>
                <w:tab w:val="left" w:pos="720"/>
              </w:tabs>
              <w:jc w:val="left"/>
            </w:pPr>
            <w:r>
              <w:t>MR Hazard Management controls defined</w:t>
            </w:r>
          </w:p>
          <w:p w14:paraId="575E9088" w14:textId="6EEAFC29" w:rsidR="00F51117" w:rsidRPr="005802A2" w:rsidRDefault="00F51117" w:rsidP="00C83D88">
            <w:pPr>
              <w:pStyle w:val="ListParagraph"/>
              <w:numPr>
                <w:ilvl w:val="0"/>
                <w:numId w:val="44"/>
              </w:numPr>
              <w:tabs>
                <w:tab w:val="left" w:pos="720"/>
              </w:tabs>
              <w:jc w:val="left"/>
            </w:pPr>
            <w:r>
              <w:t>MR Status Management requirements defined</w:t>
            </w:r>
            <w:bookmarkEnd w:id="0"/>
            <w:bookmarkEnd w:id="1"/>
          </w:p>
        </w:tc>
        <w:tc>
          <w:tcPr>
            <w:tcW w:w="2250" w:type="dxa"/>
          </w:tcPr>
          <w:p w14:paraId="61DB99A1" w14:textId="5185E086" w:rsidR="00812852" w:rsidRPr="005802A2" w:rsidRDefault="00B30E5B" w:rsidP="004A3F92">
            <w:pPr>
              <w:tabs>
                <w:tab w:val="left" w:pos="720"/>
              </w:tabs>
              <w:jc w:val="center"/>
            </w:pPr>
            <w:r>
              <w:t>July</w:t>
            </w:r>
            <w:r w:rsidR="003A0194">
              <w:t xml:space="preserve"> 2020</w:t>
            </w:r>
          </w:p>
        </w:tc>
      </w:tr>
      <w:tr w:rsidR="004A3F92" w:rsidRPr="00395442" w14:paraId="72E1DBFB" w14:textId="77777777" w:rsidTr="00B06EDD">
        <w:tc>
          <w:tcPr>
            <w:tcW w:w="2088" w:type="dxa"/>
          </w:tcPr>
          <w:p w14:paraId="4E4471A4" w14:textId="5DC11FDF" w:rsidR="004A3F92" w:rsidRPr="00395442" w:rsidRDefault="004A3F92" w:rsidP="004A3F92">
            <w:pPr>
              <w:tabs>
                <w:tab w:val="left" w:pos="720"/>
              </w:tabs>
              <w:jc w:val="left"/>
            </w:pPr>
            <w:r w:rsidRPr="00395442">
              <w:rPr>
                <w:szCs w:val="22"/>
              </w:rPr>
              <w:t>Matt Quinn &amp; David Baird</w:t>
            </w:r>
          </w:p>
        </w:tc>
        <w:tc>
          <w:tcPr>
            <w:tcW w:w="5490" w:type="dxa"/>
            <w:vAlign w:val="bottom"/>
          </w:tcPr>
          <w:p w14:paraId="32C88CDA" w14:textId="7F2933F5" w:rsidR="004A3F92" w:rsidRPr="005802A2" w:rsidRDefault="004A3F92" w:rsidP="004A3F92">
            <w:pPr>
              <w:spacing w:line="276" w:lineRule="auto"/>
              <w:jc w:val="left"/>
              <w:rPr>
                <w:rFonts w:eastAsiaTheme="minorHAnsi"/>
              </w:rPr>
            </w:pPr>
            <w:r w:rsidRPr="005802A2">
              <w:rPr>
                <w:rFonts w:eastAsiaTheme="minorHAnsi"/>
              </w:rPr>
              <w:t>F</w:t>
            </w:r>
            <w:r w:rsidR="00725CAF" w:rsidRPr="005802A2">
              <w:rPr>
                <w:rFonts w:eastAsiaTheme="minorHAnsi"/>
              </w:rPr>
              <w:t xml:space="preserve">ermilab Environment </w:t>
            </w:r>
            <w:r w:rsidRPr="005802A2">
              <w:rPr>
                <w:rFonts w:eastAsiaTheme="minorHAnsi"/>
              </w:rPr>
              <w:t>S</w:t>
            </w:r>
            <w:r w:rsidR="00725CAF" w:rsidRPr="005802A2">
              <w:rPr>
                <w:rFonts w:eastAsiaTheme="minorHAnsi"/>
              </w:rPr>
              <w:t xml:space="preserve">afety </w:t>
            </w:r>
            <w:r w:rsidRPr="005802A2">
              <w:rPr>
                <w:rFonts w:eastAsiaTheme="minorHAnsi"/>
              </w:rPr>
              <w:t>H</w:t>
            </w:r>
            <w:r w:rsidR="00725CAF" w:rsidRPr="005802A2">
              <w:rPr>
                <w:rFonts w:eastAsiaTheme="minorHAnsi"/>
              </w:rPr>
              <w:t xml:space="preserve">ealth </w:t>
            </w:r>
            <w:r w:rsidRPr="005802A2">
              <w:rPr>
                <w:rFonts w:eastAsiaTheme="minorHAnsi"/>
              </w:rPr>
              <w:t>M</w:t>
            </w:r>
            <w:r w:rsidR="00725CAF" w:rsidRPr="005802A2">
              <w:rPr>
                <w:rFonts w:eastAsiaTheme="minorHAnsi"/>
              </w:rPr>
              <w:t>anual (FESHM)</w:t>
            </w:r>
            <w:r w:rsidRPr="005802A2">
              <w:rPr>
                <w:rFonts w:eastAsiaTheme="minorHAnsi"/>
              </w:rPr>
              <w:t xml:space="preserve"> 4270</w:t>
            </w:r>
            <w:r w:rsidR="00725CAF" w:rsidRPr="005802A2">
              <w:rPr>
                <w:rFonts w:eastAsiaTheme="minorHAnsi"/>
              </w:rPr>
              <w:t xml:space="preserve">, </w:t>
            </w:r>
            <w:r w:rsidR="00725CAF" w:rsidRPr="005802A2">
              <w:rPr>
                <w:rFonts w:eastAsiaTheme="minorHAnsi"/>
                <w:i/>
              </w:rPr>
              <w:t>Static Magnetic Fields</w:t>
            </w:r>
            <w:r w:rsidRPr="005802A2">
              <w:rPr>
                <w:rFonts w:eastAsiaTheme="minorHAnsi"/>
              </w:rPr>
              <w:t xml:space="preserve"> replaces FESHM 5062.2</w:t>
            </w:r>
            <w:r w:rsidR="00725CAF" w:rsidRPr="005802A2">
              <w:rPr>
                <w:rFonts w:eastAsiaTheme="minorHAnsi"/>
              </w:rPr>
              <w:t xml:space="preserve">, </w:t>
            </w:r>
            <w:r w:rsidR="00725CAF" w:rsidRPr="005802A2">
              <w:rPr>
                <w:rFonts w:eastAsiaTheme="minorHAnsi"/>
                <w:i/>
              </w:rPr>
              <w:t>Static Magnetic Fields</w:t>
            </w:r>
            <w:r w:rsidRPr="005802A2">
              <w:rPr>
                <w:rFonts w:eastAsiaTheme="minorHAnsi"/>
              </w:rPr>
              <w:t xml:space="preserve">.  The chapter was revised during its five-year review.  In </w:t>
            </w:r>
            <w:proofErr w:type="gramStart"/>
            <w:r w:rsidRPr="005802A2">
              <w:rPr>
                <w:rFonts w:eastAsiaTheme="minorHAnsi"/>
              </w:rPr>
              <w:t>March,</w:t>
            </w:r>
            <w:proofErr w:type="gramEnd"/>
            <w:r w:rsidRPr="005802A2">
              <w:rPr>
                <w:rFonts w:eastAsiaTheme="minorHAnsi"/>
              </w:rPr>
              <w:t xml:space="preserve"> 2015, Fermilab decided to adopt the current (2015) version of the </w:t>
            </w:r>
            <w:r w:rsidR="00725CAF" w:rsidRPr="005802A2">
              <w:rPr>
                <w:rFonts w:eastAsiaTheme="minorHAnsi"/>
              </w:rPr>
              <w:t>American Council of Government</w:t>
            </w:r>
            <w:r w:rsidR="00F64ECA" w:rsidRPr="005802A2">
              <w:rPr>
                <w:rFonts w:eastAsiaTheme="minorHAnsi"/>
              </w:rPr>
              <w:t>al</w:t>
            </w:r>
            <w:r w:rsidR="00725CAF" w:rsidRPr="005802A2">
              <w:rPr>
                <w:rFonts w:eastAsiaTheme="minorHAnsi"/>
              </w:rPr>
              <w:t xml:space="preserve"> Industrial Hygienist</w:t>
            </w:r>
            <w:r w:rsidR="00F64ECA" w:rsidRPr="005802A2">
              <w:rPr>
                <w:rFonts w:eastAsiaTheme="minorHAnsi"/>
              </w:rPr>
              <w:t>s</w:t>
            </w:r>
            <w:r w:rsidR="00725CAF" w:rsidRPr="005802A2">
              <w:rPr>
                <w:rFonts w:eastAsiaTheme="minorHAnsi"/>
              </w:rPr>
              <w:t xml:space="preserve"> (</w:t>
            </w:r>
            <w:r w:rsidRPr="005802A2">
              <w:rPr>
                <w:rFonts w:eastAsiaTheme="minorHAnsi"/>
              </w:rPr>
              <w:t>ACGIH</w:t>
            </w:r>
            <w:r w:rsidR="00725CAF" w:rsidRPr="005802A2">
              <w:rPr>
                <w:rFonts w:eastAsiaTheme="minorHAnsi"/>
              </w:rPr>
              <w:t>) Threshold Limit Values</w:t>
            </w:r>
            <w:r w:rsidRPr="005802A2">
              <w:rPr>
                <w:rFonts w:eastAsiaTheme="minorHAnsi"/>
              </w:rPr>
              <w:t xml:space="preserve"> </w:t>
            </w:r>
            <w:r w:rsidR="00725CAF" w:rsidRPr="005802A2">
              <w:rPr>
                <w:rFonts w:eastAsiaTheme="minorHAnsi"/>
              </w:rPr>
              <w:t>(</w:t>
            </w:r>
            <w:r w:rsidRPr="005802A2">
              <w:rPr>
                <w:rFonts w:eastAsiaTheme="minorHAnsi"/>
              </w:rPr>
              <w:t>TLVs</w:t>
            </w:r>
            <w:r w:rsidR="00725CAF" w:rsidRPr="005802A2">
              <w:rPr>
                <w:rFonts w:eastAsiaTheme="minorHAnsi"/>
              </w:rPr>
              <w:t>)</w:t>
            </w:r>
            <w:r w:rsidRPr="005802A2">
              <w:rPr>
                <w:rFonts w:eastAsiaTheme="minorHAnsi"/>
              </w:rPr>
              <w:t xml:space="preserve">.  These values are in line with increased values adopted by ACGIH in </w:t>
            </w:r>
            <w:proofErr w:type="gramStart"/>
            <w:r w:rsidRPr="005802A2">
              <w:rPr>
                <w:rFonts w:eastAsiaTheme="minorHAnsi"/>
              </w:rPr>
              <w:t>2010, and</w:t>
            </w:r>
            <w:proofErr w:type="gramEnd"/>
            <w:r w:rsidRPr="005802A2">
              <w:rPr>
                <w:rFonts w:eastAsiaTheme="minorHAnsi"/>
              </w:rPr>
              <w:t xml:space="preserve"> reflect updated knowledge of the biological effects of static magnetic fields.  Changes to the chapter include:</w:t>
            </w:r>
          </w:p>
          <w:p w14:paraId="1C1C6AFE" w14:textId="77777777" w:rsidR="004A3F92" w:rsidRPr="005802A2" w:rsidRDefault="004A3F92" w:rsidP="003871C9">
            <w:pPr>
              <w:numPr>
                <w:ilvl w:val="0"/>
                <w:numId w:val="9"/>
              </w:numPr>
              <w:spacing w:after="200" w:line="276" w:lineRule="auto"/>
              <w:contextualSpacing/>
              <w:jc w:val="left"/>
              <w:rPr>
                <w:rFonts w:eastAsiaTheme="minorHAnsi"/>
              </w:rPr>
            </w:pPr>
            <w:r w:rsidRPr="005802A2">
              <w:rPr>
                <w:rFonts w:eastAsiaTheme="minorHAnsi"/>
              </w:rPr>
              <w:t>The text was rewritten to reflect improved knowledge of the biological effects from magnetic fields and to align the format with that of other industrial hygiene chapters.</w:t>
            </w:r>
          </w:p>
          <w:p w14:paraId="09414993" w14:textId="60C4626E" w:rsidR="004A3F92" w:rsidRPr="005802A2" w:rsidRDefault="004A3F92" w:rsidP="003871C9">
            <w:pPr>
              <w:numPr>
                <w:ilvl w:val="0"/>
                <w:numId w:val="9"/>
              </w:numPr>
              <w:spacing w:after="200" w:line="276" w:lineRule="auto"/>
              <w:contextualSpacing/>
              <w:jc w:val="left"/>
              <w:rPr>
                <w:rFonts w:eastAsiaTheme="minorHAnsi"/>
              </w:rPr>
            </w:pPr>
            <w:r w:rsidRPr="005802A2">
              <w:rPr>
                <w:rFonts w:eastAsiaTheme="minorHAnsi"/>
              </w:rPr>
              <w:t>The exposure limit</w:t>
            </w:r>
            <w:r w:rsidR="00725CAF" w:rsidRPr="005802A2">
              <w:rPr>
                <w:rFonts w:eastAsiaTheme="minorHAnsi"/>
              </w:rPr>
              <w:t>s</w:t>
            </w:r>
            <w:r w:rsidRPr="005802A2">
              <w:rPr>
                <w:rFonts w:eastAsiaTheme="minorHAnsi"/>
              </w:rPr>
              <w:t xml:space="preserve"> are unchanged and are set equal to the 2015 ACGIH TLVs.  The </w:t>
            </w:r>
            <w:proofErr w:type="gramStart"/>
            <w:r w:rsidRPr="005802A2">
              <w:rPr>
                <w:rFonts w:eastAsiaTheme="minorHAnsi"/>
              </w:rPr>
              <w:t>whole body</w:t>
            </w:r>
            <w:proofErr w:type="gramEnd"/>
            <w:r w:rsidRPr="005802A2">
              <w:rPr>
                <w:rFonts w:eastAsiaTheme="minorHAnsi"/>
              </w:rPr>
              <w:t xml:space="preserve"> values for general workers and medical device wearers are unchanged.  The TLV for limbs is increased</w:t>
            </w:r>
            <w:r w:rsidR="00A70428" w:rsidRPr="005802A2">
              <w:rPr>
                <w:rFonts w:eastAsiaTheme="minorHAnsi"/>
              </w:rPr>
              <w:t xml:space="preserve"> in Section 4.0, Procedures</w:t>
            </w:r>
            <w:r w:rsidRPr="005802A2">
              <w:rPr>
                <w:rFonts w:eastAsiaTheme="minorHAnsi"/>
              </w:rPr>
              <w:t>.</w:t>
            </w:r>
          </w:p>
          <w:p w14:paraId="28B041D4" w14:textId="300F1282" w:rsidR="004A3F92" w:rsidRPr="005802A2" w:rsidRDefault="004A3F92" w:rsidP="003871C9">
            <w:pPr>
              <w:numPr>
                <w:ilvl w:val="0"/>
                <w:numId w:val="9"/>
              </w:numPr>
              <w:spacing w:after="200" w:line="276" w:lineRule="auto"/>
              <w:contextualSpacing/>
              <w:jc w:val="left"/>
              <w:rPr>
                <w:rFonts w:eastAsiaTheme="minorHAnsi"/>
              </w:rPr>
            </w:pPr>
            <w:r w:rsidRPr="005802A2">
              <w:rPr>
                <w:rFonts w:eastAsiaTheme="minorHAnsi"/>
              </w:rPr>
              <w:t xml:space="preserve">The TLVs now omit the 8-hour Time Weighted </w:t>
            </w:r>
            <w:proofErr w:type="gramStart"/>
            <w:r w:rsidRPr="005802A2">
              <w:rPr>
                <w:rFonts w:eastAsiaTheme="minorHAnsi"/>
              </w:rPr>
              <w:t>Average, and</w:t>
            </w:r>
            <w:proofErr w:type="gramEnd"/>
            <w:r w:rsidRPr="005802A2">
              <w:rPr>
                <w:rFonts w:eastAsiaTheme="minorHAnsi"/>
              </w:rPr>
              <w:t xml:space="preserve"> include a separate limit</w:t>
            </w:r>
            <w:r w:rsidR="00A70428" w:rsidRPr="005802A2">
              <w:rPr>
                <w:rFonts w:eastAsiaTheme="minorHAnsi"/>
              </w:rPr>
              <w:t xml:space="preserve"> (also in Section 4.0)</w:t>
            </w:r>
            <w:r w:rsidRPr="005802A2">
              <w:rPr>
                <w:rFonts w:eastAsiaTheme="minorHAnsi"/>
              </w:rPr>
              <w:t xml:space="preserve"> for workers with special training and controlled workplace environments.</w:t>
            </w:r>
          </w:p>
          <w:p w14:paraId="0CDA290D" w14:textId="5A1B0012" w:rsidR="004A3F92" w:rsidRPr="005802A2" w:rsidRDefault="00C14707" w:rsidP="003871C9">
            <w:pPr>
              <w:numPr>
                <w:ilvl w:val="0"/>
                <w:numId w:val="9"/>
              </w:numPr>
              <w:spacing w:after="200" w:line="276" w:lineRule="auto"/>
              <w:contextualSpacing/>
              <w:jc w:val="left"/>
              <w:rPr>
                <w:rFonts w:eastAsiaTheme="minorHAnsi"/>
              </w:rPr>
            </w:pPr>
            <w:r w:rsidRPr="005802A2">
              <w:rPr>
                <w:rFonts w:eastAsiaTheme="minorHAnsi"/>
              </w:rPr>
              <w:lastRenderedPageBreak/>
              <w:t>Chapter updated to new FESHM Format along with r</w:t>
            </w:r>
            <w:r w:rsidR="004A3F92" w:rsidRPr="005802A2">
              <w:rPr>
                <w:rFonts w:eastAsiaTheme="minorHAnsi"/>
              </w:rPr>
              <w:t>eferences to E</w:t>
            </w:r>
            <w:r w:rsidR="00A70428" w:rsidRPr="005802A2">
              <w:rPr>
                <w:rFonts w:eastAsiaTheme="minorHAnsi"/>
              </w:rPr>
              <w:t xml:space="preserve">nvironment, Safety and </w:t>
            </w:r>
            <w:r w:rsidR="004A3F92" w:rsidRPr="005802A2">
              <w:rPr>
                <w:rFonts w:eastAsiaTheme="minorHAnsi"/>
              </w:rPr>
              <w:t>H</w:t>
            </w:r>
            <w:r w:rsidR="00A70428" w:rsidRPr="005802A2">
              <w:rPr>
                <w:rFonts w:eastAsiaTheme="minorHAnsi"/>
              </w:rPr>
              <w:t>ealth</w:t>
            </w:r>
            <w:r w:rsidR="004A3F92" w:rsidRPr="005802A2">
              <w:rPr>
                <w:rFonts w:eastAsiaTheme="minorHAnsi"/>
              </w:rPr>
              <w:t xml:space="preserve"> </w:t>
            </w:r>
            <w:r w:rsidR="00A70428" w:rsidRPr="005802A2">
              <w:rPr>
                <w:rFonts w:eastAsiaTheme="minorHAnsi"/>
              </w:rPr>
              <w:t xml:space="preserve">(ESH) </w:t>
            </w:r>
            <w:r w:rsidR="004A3F92" w:rsidRPr="005802A2">
              <w:rPr>
                <w:rFonts w:eastAsiaTheme="minorHAnsi"/>
              </w:rPr>
              <w:t xml:space="preserve">Section changed to </w:t>
            </w:r>
            <w:r w:rsidR="00F64ECA" w:rsidRPr="005802A2">
              <w:rPr>
                <w:rFonts w:eastAsiaTheme="minorHAnsi"/>
              </w:rPr>
              <w:t>Environment, Safety, Health,</w:t>
            </w:r>
            <w:r w:rsidR="00F64ECA" w:rsidRPr="005802A2" w:rsidDel="00F64ECA">
              <w:rPr>
                <w:rFonts w:eastAsiaTheme="minorHAnsi"/>
              </w:rPr>
              <w:t xml:space="preserve"> </w:t>
            </w:r>
            <w:r w:rsidR="00F64ECA" w:rsidRPr="005802A2">
              <w:rPr>
                <w:rFonts w:eastAsiaTheme="minorHAnsi"/>
              </w:rPr>
              <w:t xml:space="preserve">and </w:t>
            </w:r>
            <w:r w:rsidR="004A3F92" w:rsidRPr="005802A2">
              <w:rPr>
                <w:rFonts w:eastAsiaTheme="minorHAnsi"/>
              </w:rPr>
              <w:t>Q</w:t>
            </w:r>
            <w:r w:rsidR="00A70428" w:rsidRPr="005802A2">
              <w:rPr>
                <w:rFonts w:eastAsiaTheme="minorHAnsi"/>
              </w:rPr>
              <w:t>uality</w:t>
            </w:r>
            <w:r w:rsidR="004A3F92" w:rsidRPr="005802A2">
              <w:rPr>
                <w:rFonts w:eastAsiaTheme="minorHAnsi"/>
              </w:rPr>
              <w:t xml:space="preserve"> </w:t>
            </w:r>
            <w:r w:rsidR="00F64ECA" w:rsidRPr="005802A2">
              <w:rPr>
                <w:rFonts w:eastAsiaTheme="minorHAnsi"/>
              </w:rPr>
              <w:t xml:space="preserve">(ESH&amp;Q) </w:t>
            </w:r>
            <w:r w:rsidR="004A3F92" w:rsidRPr="005802A2">
              <w:rPr>
                <w:rFonts w:eastAsiaTheme="minorHAnsi"/>
              </w:rPr>
              <w:t>Section.</w:t>
            </w:r>
          </w:p>
          <w:p w14:paraId="286592B1" w14:textId="77777777" w:rsidR="004A3F92" w:rsidRPr="00395442" w:rsidRDefault="004A3F92" w:rsidP="004A3F92">
            <w:pPr>
              <w:tabs>
                <w:tab w:val="left" w:pos="720"/>
              </w:tabs>
            </w:pPr>
          </w:p>
        </w:tc>
        <w:tc>
          <w:tcPr>
            <w:tcW w:w="2250" w:type="dxa"/>
          </w:tcPr>
          <w:p w14:paraId="5BB96844" w14:textId="73C75EBC" w:rsidR="004A3F92" w:rsidRPr="00395442" w:rsidRDefault="00FC3D27" w:rsidP="00C94138">
            <w:pPr>
              <w:tabs>
                <w:tab w:val="left" w:pos="720"/>
              </w:tabs>
              <w:jc w:val="center"/>
            </w:pPr>
            <w:r w:rsidRPr="00395442">
              <w:rPr>
                <w:szCs w:val="22"/>
              </w:rPr>
              <w:lastRenderedPageBreak/>
              <w:t>July</w:t>
            </w:r>
            <w:r w:rsidR="004A3F92" w:rsidRPr="00395442">
              <w:rPr>
                <w:szCs w:val="22"/>
              </w:rPr>
              <w:t xml:space="preserve"> 2015</w:t>
            </w:r>
          </w:p>
        </w:tc>
      </w:tr>
    </w:tbl>
    <w:p w14:paraId="060C4D81" w14:textId="77777777" w:rsidR="0009703B" w:rsidRPr="00395442" w:rsidRDefault="0009703B" w:rsidP="00D8063B">
      <w:pPr>
        <w:jc w:val="center"/>
        <w:rPr>
          <w:b/>
          <w:sz w:val="28"/>
          <w:szCs w:val="28"/>
        </w:rPr>
        <w:sectPr w:rsidR="0009703B" w:rsidRPr="00395442" w:rsidSect="004A6AF7">
          <w:headerReference w:type="default" r:id="rId8"/>
          <w:footerReference w:type="default" r:id="rId9"/>
          <w:pgSz w:w="12240" w:h="15840" w:code="1"/>
          <w:pgMar w:top="720" w:right="1080" w:bottom="720" w:left="1440" w:header="720" w:footer="389" w:gutter="0"/>
          <w:pgNumType w:start="1"/>
          <w:cols w:space="720"/>
          <w:docGrid w:linePitch="360"/>
        </w:sectPr>
      </w:pPr>
    </w:p>
    <w:p w14:paraId="23DB9A6A" w14:textId="6432A5B7" w:rsidR="00D8063B" w:rsidRPr="00395442" w:rsidRDefault="00D8063B" w:rsidP="00D8063B">
      <w:pPr>
        <w:jc w:val="center"/>
        <w:rPr>
          <w:b/>
          <w:sz w:val="28"/>
          <w:szCs w:val="28"/>
        </w:rPr>
      </w:pPr>
    </w:p>
    <w:p w14:paraId="0AB13395" w14:textId="77777777" w:rsidR="00A96FFC" w:rsidRPr="00395442" w:rsidRDefault="00A96FFC" w:rsidP="00D8063B">
      <w:pPr>
        <w:jc w:val="center"/>
        <w:rPr>
          <w:b/>
          <w:sz w:val="28"/>
          <w:szCs w:val="28"/>
        </w:rPr>
      </w:pPr>
      <w:r w:rsidRPr="00395442">
        <w:rPr>
          <w:b/>
          <w:sz w:val="28"/>
          <w:szCs w:val="28"/>
        </w:rPr>
        <w:t>TABLE OF CONTENTS</w:t>
      </w:r>
    </w:p>
    <w:p w14:paraId="4B14980C" w14:textId="77777777" w:rsidR="00A96FFC" w:rsidRPr="00395442" w:rsidRDefault="00A96FFC">
      <w:pPr>
        <w:rPr>
          <w:bCs/>
        </w:rPr>
      </w:pPr>
    </w:p>
    <w:p w14:paraId="4E23D70C" w14:textId="1F1AA225" w:rsidR="00B30E5B" w:rsidRDefault="00FF181A">
      <w:pPr>
        <w:pStyle w:val="TOC1"/>
        <w:rPr>
          <w:rFonts w:asciiTheme="minorHAnsi" w:eastAsiaTheme="minorEastAsia" w:hAnsiTheme="minorHAnsi" w:cstheme="minorBidi"/>
          <w:noProof/>
          <w:sz w:val="22"/>
          <w:szCs w:val="22"/>
        </w:rPr>
      </w:pPr>
      <w:r w:rsidRPr="0081443F">
        <w:rPr>
          <w:bCs/>
        </w:rPr>
        <w:fldChar w:fldCharType="begin"/>
      </w:r>
      <w:r w:rsidR="00A96FFC" w:rsidRPr="00395442">
        <w:rPr>
          <w:bCs/>
        </w:rPr>
        <w:instrText xml:space="preserve"> TOC \o "1-3" \h \z \u </w:instrText>
      </w:r>
      <w:r w:rsidRPr="0081443F">
        <w:rPr>
          <w:bCs/>
        </w:rPr>
        <w:fldChar w:fldCharType="separate"/>
      </w:r>
      <w:hyperlink w:anchor="_Toc47430470" w:history="1">
        <w:r w:rsidR="00B30E5B" w:rsidRPr="006A02AB">
          <w:rPr>
            <w:rStyle w:val="Hyperlink"/>
            <w:rFonts w:ascii="Times New Roman Bold" w:hAnsi="Times New Roman Bold"/>
            <w:noProof/>
          </w:rPr>
          <w:t>1.0</w:t>
        </w:r>
        <w:r w:rsidR="00B30E5B">
          <w:rPr>
            <w:rFonts w:asciiTheme="minorHAnsi" w:eastAsiaTheme="minorEastAsia" w:hAnsiTheme="minorHAnsi" w:cstheme="minorBidi"/>
            <w:noProof/>
            <w:sz w:val="22"/>
            <w:szCs w:val="22"/>
          </w:rPr>
          <w:tab/>
        </w:r>
        <w:r w:rsidR="00B30E5B" w:rsidRPr="006A02AB">
          <w:rPr>
            <w:rStyle w:val="Hyperlink"/>
            <w:noProof/>
          </w:rPr>
          <w:t>INTRODUCTION</w:t>
        </w:r>
        <w:r w:rsidR="00B30E5B">
          <w:rPr>
            <w:noProof/>
            <w:webHidden/>
          </w:rPr>
          <w:tab/>
        </w:r>
        <w:r w:rsidR="00B30E5B">
          <w:rPr>
            <w:noProof/>
            <w:webHidden/>
          </w:rPr>
          <w:fldChar w:fldCharType="begin"/>
        </w:r>
        <w:r w:rsidR="00B30E5B">
          <w:rPr>
            <w:noProof/>
            <w:webHidden/>
          </w:rPr>
          <w:instrText xml:space="preserve"> PAGEREF _Toc47430470 \h </w:instrText>
        </w:r>
        <w:r w:rsidR="00B30E5B">
          <w:rPr>
            <w:noProof/>
            <w:webHidden/>
          </w:rPr>
        </w:r>
        <w:r w:rsidR="00B30E5B">
          <w:rPr>
            <w:noProof/>
            <w:webHidden/>
          </w:rPr>
          <w:fldChar w:fldCharType="separate"/>
        </w:r>
        <w:r w:rsidR="005B385A">
          <w:rPr>
            <w:noProof/>
            <w:webHidden/>
          </w:rPr>
          <w:t>3</w:t>
        </w:r>
        <w:r w:rsidR="00B30E5B">
          <w:rPr>
            <w:noProof/>
            <w:webHidden/>
          </w:rPr>
          <w:fldChar w:fldCharType="end"/>
        </w:r>
      </w:hyperlink>
    </w:p>
    <w:p w14:paraId="4FFDCAF0" w14:textId="6BC31497" w:rsidR="00B30E5B" w:rsidRDefault="00B30E5B">
      <w:pPr>
        <w:pStyle w:val="TOC1"/>
        <w:rPr>
          <w:rFonts w:asciiTheme="minorHAnsi" w:eastAsiaTheme="minorEastAsia" w:hAnsiTheme="minorHAnsi" w:cstheme="minorBidi"/>
          <w:noProof/>
          <w:sz w:val="22"/>
          <w:szCs w:val="22"/>
        </w:rPr>
      </w:pPr>
      <w:hyperlink w:anchor="_Toc47430471" w:history="1">
        <w:r w:rsidRPr="006A02AB">
          <w:rPr>
            <w:rStyle w:val="Hyperlink"/>
            <w:rFonts w:ascii="Times New Roman Bold" w:hAnsi="Times New Roman Bold"/>
            <w:noProof/>
          </w:rPr>
          <w:t>2.0</w:t>
        </w:r>
        <w:r>
          <w:rPr>
            <w:rFonts w:asciiTheme="minorHAnsi" w:eastAsiaTheme="minorEastAsia" w:hAnsiTheme="minorHAnsi" w:cstheme="minorBidi"/>
            <w:noProof/>
            <w:sz w:val="22"/>
            <w:szCs w:val="22"/>
          </w:rPr>
          <w:tab/>
        </w:r>
        <w:r w:rsidRPr="006A02AB">
          <w:rPr>
            <w:rStyle w:val="Hyperlink"/>
            <w:noProof/>
          </w:rPr>
          <w:t>RESPONSIBLILITIES</w:t>
        </w:r>
        <w:r>
          <w:rPr>
            <w:noProof/>
            <w:webHidden/>
          </w:rPr>
          <w:tab/>
        </w:r>
        <w:r>
          <w:rPr>
            <w:noProof/>
            <w:webHidden/>
          </w:rPr>
          <w:fldChar w:fldCharType="begin"/>
        </w:r>
        <w:r>
          <w:rPr>
            <w:noProof/>
            <w:webHidden/>
          </w:rPr>
          <w:instrText xml:space="preserve"> PAGEREF _Toc47430471 \h </w:instrText>
        </w:r>
        <w:r>
          <w:rPr>
            <w:noProof/>
            <w:webHidden/>
          </w:rPr>
        </w:r>
        <w:r>
          <w:rPr>
            <w:noProof/>
            <w:webHidden/>
          </w:rPr>
          <w:fldChar w:fldCharType="separate"/>
        </w:r>
        <w:r w:rsidR="005B385A">
          <w:rPr>
            <w:noProof/>
            <w:webHidden/>
          </w:rPr>
          <w:t>3</w:t>
        </w:r>
        <w:r>
          <w:rPr>
            <w:noProof/>
            <w:webHidden/>
          </w:rPr>
          <w:fldChar w:fldCharType="end"/>
        </w:r>
      </w:hyperlink>
    </w:p>
    <w:p w14:paraId="565F4263" w14:textId="4C543EF6" w:rsidR="00B30E5B" w:rsidRDefault="00B30E5B">
      <w:pPr>
        <w:pStyle w:val="TOC2"/>
        <w:rPr>
          <w:rFonts w:asciiTheme="minorHAnsi" w:eastAsiaTheme="minorEastAsia" w:hAnsiTheme="minorHAnsi" w:cstheme="minorBidi"/>
          <w:noProof/>
          <w:sz w:val="22"/>
          <w:szCs w:val="22"/>
        </w:rPr>
      </w:pPr>
      <w:hyperlink w:anchor="_Toc47430472" w:history="1">
        <w:r w:rsidRPr="006A02AB">
          <w:rPr>
            <w:rStyle w:val="Hyperlink"/>
            <w:rFonts w:ascii="Times New Roman Bold" w:hAnsi="Times New Roman Bold"/>
            <w:noProof/>
          </w:rPr>
          <w:t>2.1</w:t>
        </w:r>
        <w:r>
          <w:rPr>
            <w:rFonts w:asciiTheme="minorHAnsi" w:eastAsiaTheme="minorEastAsia" w:hAnsiTheme="minorHAnsi" w:cstheme="minorBidi"/>
            <w:noProof/>
            <w:sz w:val="22"/>
            <w:szCs w:val="22"/>
          </w:rPr>
          <w:tab/>
        </w:r>
        <w:r w:rsidRPr="006A02AB">
          <w:rPr>
            <w:rStyle w:val="Hyperlink"/>
            <w:noProof/>
          </w:rPr>
          <w:t>Division/Section Heads or Project Managers</w:t>
        </w:r>
        <w:r>
          <w:rPr>
            <w:noProof/>
            <w:webHidden/>
          </w:rPr>
          <w:tab/>
        </w:r>
        <w:r>
          <w:rPr>
            <w:noProof/>
            <w:webHidden/>
          </w:rPr>
          <w:fldChar w:fldCharType="begin"/>
        </w:r>
        <w:r>
          <w:rPr>
            <w:noProof/>
            <w:webHidden/>
          </w:rPr>
          <w:instrText xml:space="preserve"> PAGEREF _Toc47430472 \h </w:instrText>
        </w:r>
        <w:r>
          <w:rPr>
            <w:noProof/>
            <w:webHidden/>
          </w:rPr>
        </w:r>
        <w:r>
          <w:rPr>
            <w:noProof/>
            <w:webHidden/>
          </w:rPr>
          <w:fldChar w:fldCharType="separate"/>
        </w:r>
        <w:r w:rsidR="005B385A">
          <w:rPr>
            <w:noProof/>
            <w:webHidden/>
          </w:rPr>
          <w:t>4</w:t>
        </w:r>
        <w:r>
          <w:rPr>
            <w:noProof/>
            <w:webHidden/>
          </w:rPr>
          <w:fldChar w:fldCharType="end"/>
        </w:r>
      </w:hyperlink>
    </w:p>
    <w:p w14:paraId="1F82AAB5" w14:textId="3EE58FAD" w:rsidR="00B30E5B" w:rsidRDefault="00B30E5B">
      <w:pPr>
        <w:pStyle w:val="TOC2"/>
        <w:rPr>
          <w:rFonts w:asciiTheme="minorHAnsi" w:eastAsiaTheme="minorEastAsia" w:hAnsiTheme="minorHAnsi" w:cstheme="minorBidi"/>
          <w:noProof/>
          <w:sz w:val="22"/>
          <w:szCs w:val="22"/>
        </w:rPr>
      </w:pPr>
      <w:hyperlink w:anchor="_Toc47430473" w:history="1">
        <w:r w:rsidRPr="006A02AB">
          <w:rPr>
            <w:rStyle w:val="Hyperlink"/>
            <w:rFonts w:ascii="Times New Roman Bold" w:hAnsi="Times New Roman Bold"/>
            <w:noProof/>
          </w:rPr>
          <w:t>2.2</w:t>
        </w:r>
        <w:r>
          <w:rPr>
            <w:rFonts w:asciiTheme="minorHAnsi" w:eastAsiaTheme="minorEastAsia" w:hAnsiTheme="minorHAnsi" w:cstheme="minorBidi"/>
            <w:noProof/>
            <w:sz w:val="22"/>
            <w:szCs w:val="22"/>
          </w:rPr>
          <w:tab/>
        </w:r>
        <w:r w:rsidRPr="006A02AB">
          <w:rPr>
            <w:rStyle w:val="Hyperlink"/>
            <w:noProof/>
          </w:rPr>
          <w:t>Supervisor</w:t>
        </w:r>
        <w:r>
          <w:rPr>
            <w:noProof/>
            <w:webHidden/>
          </w:rPr>
          <w:tab/>
        </w:r>
        <w:r>
          <w:rPr>
            <w:noProof/>
            <w:webHidden/>
          </w:rPr>
          <w:fldChar w:fldCharType="begin"/>
        </w:r>
        <w:r>
          <w:rPr>
            <w:noProof/>
            <w:webHidden/>
          </w:rPr>
          <w:instrText xml:space="preserve"> PAGEREF _Toc47430473 \h </w:instrText>
        </w:r>
        <w:r>
          <w:rPr>
            <w:noProof/>
            <w:webHidden/>
          </w:rPr>
        </w:r>
        <w:r>
          <w:rPr>
            <w:noProof/>
            <w:webHidden/>
          </w:rPr>
          <w:fldChar w:fldCharType="separate"/>
        </w:r>
        <w:r w:rsidR="005B385A">
          <w:rPr>
            <w:noProof/>
            <w:webHidden/>
          </w:rPr>
          <w:t>4</w:t>
        </w:r>
        <w:r>
          <w:rPr>
            <w:noProof/>
            <w:webHidden/>
          </w:rPr>
          <w:fldChar w:fldCharType="end"/>
        </w:r>
      </w:hyperlink>
    </w:p>
    <w:p w14:paraId="72DB93F4" w14:textId="4809BFC1" w:rsidR="00B30E5B" w:rsidRDefault="00B30E5B">
      <w:pPr>
        <w:pStyle w:val="TOC2"/>
        <w:rPr>
          <w:rFonts w:asciiTheme="minorHAnsi" w:eastAsiaTheme="minorEastAsia" w:hAnsiTheme="minorHAnsi" w:cstheme="minorBidi"/>
          <w:noProof/>
          <w:sz w:val="22"/>
          <w:szCs w:val="22"/>
        </w:rPr>
      </w:pPr>
      <w:hyperlink w:anchor="_Toc47430474" w:history="1">
        <w:r w:rsidRPr="006A02AB">
          <w:rPr>
            <w:rStyle w:val="Hyperlink"/>
            <w:rFonts w:ascii="Times New Roman Bold" w:hAnsi="Times New Roman Bold"/>
            <w:noProof/>
          </w:rPr>
          <w:t>2.3</w:t>
        </w:r>
        <w:r>
          <w:rPr>
            <w:rFonts w:asciiTheme="minorHAnsi" w:eastAsiaTheme="minorEastAsia" w:hAnsiTheme="minorHAnsi" w:cstheme="minorBidi"/>
            <w:noProof/>
            <w:sz w:val="22"/>
            <w:szCs w:val="22"/>
          </w:rPr>
          <w:tab/>
        </w:r>
        <w:r w:rsidRPr="006A02AB">
          <w:rPr>
            <w:rStyle w:val="Hyperlink"/>
            <w:noProof/>
          </w:rPr>
          <w:t>ES&amp;H Section</w:t>
        </w:r>
        <w:r>
          <w:rPr>
            <w:noProof/>
            <w:webHidden/>
          </w:rPr>
          <w:tab/>
        </w:r>
        <w:r>
          <w:rPr>
            <w:noProof/>
            <w:webHidden/>
          </w:rPr>
          <w:fldChar w:fldCharType="begin"/>
        </w:r>
        <w:r>
          <w:rPr>
            <w:noProof/>
            <w:webHidden/>
          </w:rPr>
          <w:instrText xml:space="preserve"> PAGEREF _Toc47430474 \h </w:instrText>
        </w:r>
        <w:r>
          <w:rPr>
            <w:noProof/>
            <w:webHidden/>
          </w:rPr>
        </w:r>
        <w:r>
          <w:rPr>
            <w:noProof/>
            <w:webHidden/>
          </w:rPr>
          <w:fldChar w:fldCharType="separate"/>
        </w:r>
        <w:r w:rsidR="005B385A">
          <w:rPr>
            <w:noProof/>
            <w:webHidden/>
          </w:rPr>
          <w:t>4</w:t>
        </w:r>
        <w:r>
          <w:rPr>
            <w:noProof/>
            <w:webHidden/>
          </w:rPr>
          <w:fldChar w:fldCharType="end"/>
        </w:r>
      </w:hyperlink>
    </w:p>
    <w:p w14:paraId="6CC7EC4D" w14:textId="70F7F6C8" w:rsidR="00B30E5B" w:rsidRDefault="00B30E5B">
      <w:pPr>
        <w:pStyle w:val="TOC2"/>
        <w:rPr>
          <w:rFonts w:asciiTheme="minorHAnsi" w:eastAsiaTheme="minorEastAsia" w:hAnsiTheme="minorHAnsi" w:cstheme="minorBidi"/>
          <w:noProof/>
          <w:sz w:val="22"/>
          <w:szCs w:val="22"/>
        </w:rPr>
      </w:pPr>
      <w:hyperlink w:anchor="_Toc47430475" w:history="1">
        <w:r w:rsidRPr="006A02AB">
          <w:rPr>
            <w:rStyle w:val="Hyperlink"/>
            <w:rFonts w:ascii="Times New Roman Bold" w:hAnsi="Times New Roman Bold"/>
            <w:noProof/>
          </w:rPr>
          <w:t>2.4</w:t>
        </w:r>
        <w:r>
          <w:rPr>
            <w:rFonts w:asciiTheme="minorHAnsi" w:eastAsiaTheme="minorEastAsia" w:hAnsiTheme="minorHAnsi" w:cstheme="minorBidi"/>
            <w:noProof/>
            <w:sz w:val="22"/>
            <w:szCs w:val="22"/>
          </w:rPr>
          <w:tab/>
        </w:r>
        <w:r w:rsidRPr="006A02AB">
          <w:rPr>
            <w:rStyle w:val="Hyperlink"/>
            <w:noProof/>
          </w:rPr>
          <w:t>Fermilab Occupational Medical Office</w:t>
        </w:r>
        <w:r>
          <w:rPr>
            <w:noProof/>
            <w:webHidden/>
          </w:rPr>
          <w:tab/>
        </w:r>
        <w:r>
          <w:rPr>
            <w:noProof/>
            <w:webHidden/>
          </w:rPr>
          <w:fldChar w:fldCharType="begin"/>
        </w:r>
        <w:r>
          <w:rPr>
            <w:noProof/>
            <w:webHidden/>
          </w:rPr>
          <w:instrText xml:space="preserve"> PAGEREF _Toc47430475 \h </w:instrText>
        </w:r>
        <w:r>
          <w:rPr>
            <w:noProof/>
            <w:webHidden/>
          </w:rPr>
        </w:r>
        <w:r>
          <w:rPr>
            <w:noProof/>
            <w:webHidden/>
          </w:rPr>
          <w:fldChar w:fldCharType="separate"/>
        </w:r>
        <w:r w:rsidR="005B385A">
          <w:rPr>
            <w:noProof/>
            <w:webHidden/>
          </w:rPr>
          <w:t>4</w:t>
        </w:r>
        <w:r>
          <w:rPr>
            <w:noProof/>
            <w:webHidden/>
          </w:rPr>
          <w:fldChar w:fldCharType="end"/>
        </w:r>
      </w:hyperlink>
    </w:p>
    <w:p w14:paraId="4CC13F22" w14:textId="2691F6FC" w:rsidR="00B30E5B" w:rsidRDefault="00B30E5B">
      <w:pPr>
        <w:pStyle w:val="TOC2"/>
        <w:rPr>
          <w:rFonts w:asciiTheme="minorHAnsi" w:eastAsiaTheme="minorEastAsia" w:hAnsiTheme="minorHAnsi" w:cstheme="minorBidi"/>
          <w:noProof/>
          <w:sz w:val="22"/>
          <w:szCs w:val="22"/>
        </w:rPr>
      </w:pPr>
      <w:hyperlink w:anchor="_Toc47430476" w:history="1">
        <w:r w:rsidRPr="006A02AB">
          <w:rPr>
            <w:rStyle w:val="Hyperlink"/>
            <w:rFonts w:ascii="Times New Roman Bold" w:hAnsi="Times New Roman Bold"/>
            <w:noProof/>
          </w:rPr>
          <w:t>2.5</w:t>
        </w:r>
        <w:r>
          <w:rPr>
            <w:rFonts w:asciiTheme="minorHAnsi" w:eastAsiaTheme="minorEastAsia" w:hAnsiTheme="minorHAnsi" w:cstheme="minorBidi"/>
            <w:noProof/>
            <w:sz w:val="22"/>
            <w:szCs w:val="22"/>
          </w:rPr>
          <w:tab/>
        </w:r>
        <w:r w:rsidRPr="006A02AB">
          <w:rPr>
            <w:rStyle w:val="Hyperlink"/>
            <w:noProof/>
          </w:rPr>
          <w:t>Employee/User</w:t>
        </w:r>
        <w:r>
          <w:rPr>
            <w:noProof/>
            <w:webHidden/>
          </w:rPr>
          <w:tab/>
        </w:r>
        <w:r>
          <w:rPr>
            <w:noProof/>
            <w:webHidden/>
          </w:rPr>
          <w:fldChar w:fldCharType="begin"/>
        </w:r>
        <w:r>
          <w:rPr>
            <w:noProof/>
            <w:webHidden/>
          </w:rPr>
          <w:instrText xml:space="preserve"> PAGEREF _Toc47430476 \h </w:instrText>
        </w:r>
        <w:r>
          <w:rPr>
            <w:noProof/>
            <w:webHidden/>
          </w:rPr>
        </w:r>
        <w:r>
          <w:rPr>
            <w:noProof/>
            <w:webHidden/>
          </w:rPr>
          <w:fldChar w:fldCharType="separate"/>
        </w:r>
        <w:r w:rsidR="005B385A">
          <w:rPr>
            <w:noProof/>
            <w:webHidden/>
          </w:rPr>
          <w:t>4</w:t>
        </w:r>
        <w:r>
          <w:rPr>
            <w:noProof/>
            <w:webHidden/>
          </w:rPr>
          <w:fldChar w:fldCharType="end"/>
        </w:r>
      </w:hyperlink>
    </w:p>
    <w:p w14:paraId="2C9FCA41" w14:textId="13B765A4" w:rsidR="00B30E5B" w:rsidRDefault="00B30E5B">
      <w:pPr>
        <w:pStyle w:val="TOC1"/>
        <w:rPr>
          <w:rFonts w:asciiTheme="minorHAnsi" w:eastAsiaTheme="minorEastAsia" w:hAnsiTheme="minorHAnsi" w:cstheme="minorBidi"/>
          <w:noProof/>
          <w:sz w:val="22"/>
          <w:szCs w:val="22"/>
        </w:rPr>
      </w:pPr>
      <w:hyperlink w:anchor="_Toc47430477" w:history="1">
        <w:r w:rsidRPr="006A02AB">
          <w:rPr>
            <w:rStyle w:val="Hyperlink"/>
            <w:rFonts w:ascii="Times New Roman Bold" w:hAnsi="Times New Roman Bold"/>
            <w:noProof/>
          </w:rPr>
          <w:t>3.0</w:t>
        </w:r>
        <w:r>
          <w:rPr>
            <w:rFonts w:asciiTheme="minorHAnsi" w:eastAsiaTheme="minorEastAsia" w:hAnsiTheme="minorHAnsi" w:cstheme="minorBidi"/>
            <w:noProof/>
            <w:sz w:val="22"/>
            <w:szCs w:val="22"/>
          </w:rPr>
          <w:tab/>
        </w:r>
        <w:r w:rsidRPr="006A02AB">
          <w:rPr>
            <w:rStyle w:val="Hyperlink"/>
            <w:noProof/>
          </w:rPr>
          <w:t>PROCEDURES</w:t>
        </w:r>
        <w:r>
          <w:rPr>
            <w:noProof/>
            <w:webHidden/>
          </w:rPr>
          <w:tab/>
        </w:r>
        <w:r>
          <w:rPr>
            <w:noProof/>
            <w:webHidden/>
          </w:rPr>
          <w:fldChar w:fldCharType="begin"/>
        </w:r>
        <w:r>
          <w:rPr>
            <w:noProof/>
            <w:webHidden/>
          </w:rPr>
          <w:instrText xml:space="preserve"> PAGEREF _Toc47430477 \h </w:instrText>
        </w:r>
        <w:r>
          <w:rPr>
            <w:noProof/>
            <w:webHidden/>
          </w:rPr>
        </w:r>
        <w:r>
          <w:rPr>
            <w:noProof/>
            <w:webHidden/>
          </w:rPr>
          <w:fldChar w:fldCharType="separate"/>
        </w:r>
        <w:r w:rsidR="005B385A">
          <w:rPr>
            <w:noProof/>
            <w:webHidden/>
          </w:rPr>
          <w:t>4</w:t>
        </w:r>
        <w:r>
          <w:rPr>
            <w:noProof/>
            <w:webHidden/>
          </w:rPr>
          <w:fldChar w:fldCharType="end"/>
        </w:r>
      </w:hyperlink>
    </w:p>
    <w:p w14:paraId="091EDD5C" w14:textId="3E482503" w:rsidR="00B30E5B" w:rsidRDefault="00B30E5B">
      <w:pPr>
        <w:pStyle w:val="TOC2"/>
        <w:rPr>
          <w:rFonts w:asciiTheme="minorHAnsi" w:eastAsiaTheme="minorEastAsia" w:hAnsiTheme="minorHAnsi" w:cstheme="minorBidi"/>
          <w:noProof/>
          <w:sz w:val="22"/>
          <w:szCs w:val="22"/>
        </w:rPr>
      </w:pPr>
      <w:hyperlink w:anchor="_Toc47430478" w:history="1">
        <w:r w:rsidRPr="006A02AB">
          <w:rPr>
            <w:rStyle w:val="Hyperlink"/>
            <w:rFonts w:ascii="Times New Roman Bold" w:hAnsi="Times New Roman Bold"/>
            <w:noProof/>
          </w:rPr>
          <w:t>3.1</w:t>
        </w:r>
        <w:r>
          <w:rPr>
            <w:rFonts w:asciiTheme="minorHAnsi" w:eastAsiaTheme="minorEastAsia" w:hAnsiTheme="minorHAnsi" w:cstheme="minorBidi"/>
            <w:noProof/>
            <w:sz w:val="22"/>
            <w:szCs w:val="22"/>
          </w:rPr>
          <w:tab/>
        </w:r>
        <w:r w:rsidRPr="006A02AB">
          <w:rPr>
            <w:rStyle w:val="Hyperlink"/>
            <w:noProof/>
          </w:rPr>
          <w:t>MR Boundaries Definitions and Hazards</w:t>
        </w:r>
        <w:r>
          <w:rPr>
            <w:noProof/>
            <w:webHidden/>
          </w:rPr>
          <w:tab/>
        </w:r>
        <w:r>
          <w:rPr>
            <w:noProof/>
            <w:webHidden/>
          </w:rPr>
          <w:fldChar w:fldCharType="begin"/>
        </w:r>
        <w:r>
          <w:rPr>
            <w:noProof/>
            <w:webHidden/>
          </w:rPr>
          <w:instrText xml:space="preserve"> PAGEREF _Toc47430478 \h </w:instrText>
        </w:r>
        <w:r>
          <w:rPr>
            <w:noProof/>
            <w:webHidden/>
          </w:rPr>
        </w:r>
        <w:r>
          <w:rPr>
            <w:noProof/>
            <w:webHidden/>
          </w:rPr>
          <w:fldChar w:fldCharType="separate"/>
        </w:r>
        <w:r w:rsidR="005B385A">
          <w:rPr>
            <w:noProof/>
            <w:webHidden/>
          </w:rPr>
          <w:t>4</w:t>
        </w:r>
        <w:r>
          <w:rPr>
            <w:noProof/>
            <w:webHidden/>
          </w:rPr>
          <w:fldChar w:fldCharType="end"/>
        </w:r>
      </w:hyperlink>
    </w:p>
    <w:p w14:paraId="001EB950" w14:textId="2EE11283" w:rsidR="00B30E5B" w:rsidRDefault="00B30E5B">
      <w:pPr>
        <w:pStyle w:val="TOC2"/>
        <w:rPr>
          <w:rFonts w:asciiTheme="minorHAnsi" w:eastAsiaTheme="minorEastAsia" w:hAnsiTheme="minorHAnsi" w:cstheme="minorBidi"/>
          <w:noProof/>
          <w:sz w:val="22"/>
          <w:szCs w:val="22"/>
        </w:rPr>
      </w:pPr>
      <w:hyperlink w:anchor="_Toc47430479" w:history="1">
        <w:r w:rsidRPr="006A02AB">
          <w:rPr>
            <w:rStyle w:val="Hyperlink"/>
            <w:rFonts w:ascii="Times New Roman Bold" w:hAnsi="Times New Roman Bold"/>
            <w:noProof/>
          </w:rPr>
          <w:t>3.2</w:t>
        </w:r>
        <w:r>
          <w:rPr>
            <w:rFonts w:asciiTheme="minorHAnsi" w:eastAsiaTheme="minorEastAsia" w:hAnsiTheme="minorHAnsi" w:cstheme="minorBidi"/>
            <w:noProof/>
            <w:sz w:val="22"/>
            <w:szCs w:val="22"/>
          </w:rPr>
          <w:tab/>
        </w:r>
        <w:r w:rsidRPr="006A02AB">
          <w:rPr>
            <w:rStyle w:val="Hyperlink"/>
            <w:noProof/>
          </w:rPr>
          <w:t>MR Environment Boundary</w:t>
        </w:r>
        <w:r>
          <w:rPr>
            <w:noProof/>
            <w:webHidden/>
          </w:rPr>
          <w:tab/>
        </w:r>
        <w:r>
          <w:rPr>
            <w:noProof/>
            <w:webHidden/>
          </w:rPr>
          <w:fldChar w:fldCharType="begin"/>
        </w:r>
        <w:r>
          <w:rPr>
            <w:noProof/>
            <w:webHidden/>
          </w:rPr>
          <w:instrText xml:space="preserve"> PAGEREF _Toc47430479 \h </w:instrText>
        </w:r>
        <w:r>
          <w:rPr>
            <w:noProof/>
            <w:webHidden/>
          </w:rPr>
        </w:r>
        <w:r>
          <w:rPr>
            <w:noProof/>
            <w:webHidden/>
          </w:rPr>
          <w:fldChar w:fldCharType="separate"/>
        </w:r>
        <w:r w:rsidR="005B385A">
          <w:rPr>
            <w:noProof/>
            <w:webHidden/>
          </w:rPr>
          <w:t>4</w:t>
        </w:r>
        <w:r>
          <w:rPr>
            <w:noProof/>
            <w:webHidden/>
          </w:rPr>
          <w:fldChar w:fldCharType="end"/>
        </w:r>
      </w:hyperlink>
    </w:p>
    <w:p w14:paraId="35B7EFF4" w14:textId="2C6FBE31" w:rsidR="00B30E5B" w:rsidRDefault="00B30E5B">
      <w:pPr>
        <w:pStyle w:val="TOC2"/>
        <w:rPr>
          <w:rFonts w:asciiTheme="minorHAnsi" w:eastAsiaTheme="minorEastAsia" w:hAnsiTheme="minorHAnsi" w:cstheme="minorBidi"/>
          <w:noProof/>
          <w:sz w:val="22"/>
          <w:szCs w:val="22"/>
        </w:rPr>
      </w:pPr>
      <w:hyperlink w:anchor="_Toc47430480" w:history="1">
        <w:r w:rsidRPr="006A02AB">
          <w:rPr>
            <w:rStyle w:val="Hyperlink"/>
            <w:rFonts w:ascii="Times New Roman Bold" w:hAnsi="Times New Roman Bold"/>
            <w:noProof/>
          </w:rPr>
          <w:t>3.3</w:t>
        </w:r>
        <w:r>
          <w:rPr>
            <w:rFonts w:asciiTheme="minorHAnsi" w:eastAsiaTheme="minorEastAsia" w:hAnsiTheme="minorHAnsi" w:cstheme="minorBidi"/>
            <w:noProof/>
            <w:sz w:val="22"/>
            <w:szCs w:val="22"/>
          </w:rPr>
          <w:tab/>
        </w:r>
        <w:r w:rsidRPr="006A02AB">
          <w:rPr>
            <w:rStyle w:val="Hyperlink"/>
            <w:noProof/>
          </w:rPr>
          <w:t>MR Projectile Boundaries</w:t>
        </w:r>
        <w:r>
          <w:rPr>
            <w:noProof/>
            <w:webHidden/>
          </w:rPr>
          <w:tab/>
        </w:r>
        <w:r>
          <w:rPr>
            <w:noProof/>
            <w:webHidden/>
          </w:rPr>
          <w:fldChar w:fldCharType="begin"/>
        </w:r>
        <w:r>
          <w:rPr>
            <w:noProof/>
            <w:webHidden/>
          </w:rPr>
          <w:instrText xml:space="preserve"> PAGEREF _Toc47430480 \h </w:instrText>
        </w:r>
        <w:r>
          <w:rPr>
            <w:noProof/>
            <w:webHidden/>
          </w:rPr>
        </w:r>
        <w:r>
          <w:rPr>
            <w:noProof/>
            <w:webHidden/>
          </w:rPr>
          <w:fldChar w:fldCharType="separate"/>
        </w:r>
        <w:r w:rsidR="005B385A">
          <w:rPr>
            <w:noProof/>
            <w:webHidden/>
          </w:rPr>
          <w:t>5</w:t>
        </w:r>
        <w:r>
          <w:rPr>
            <w:noProof/>
            <w:webHidden/>
          </w:rPr>
          <w:fldChar w:fldCharType="end"/>
        </w:r>
      </w:hyperlink>
    </w:p>
    <w:p w14:paraId="6C7D3ED4" w14:textId="1128D547" w:rsidR="00B30E5B" w:rsidRDefault="00B30E5B">
      <w:pPr>
        <w:pStyle w:val="TOC2"/>
        <w:rPr>
          <w:rFonts w:asciiTheme="minorHAnsi" w:eastAsiaTheme="minorEastAsia" w:hAnsiTheme="minorHAnsi" w:cstheme="minorBidi"/>
          <w:noProof/>
          <w:sz w:val="22"/>
          <w:szCs w:val="22"/>
        </w:rPr>
      </w:pPr>
      <w:hyperlink w:anchor="_Toc47430481" w:history="1">
        <w:r w:rsidRPr="006A02AB">
          <w:rPr>
            <w:rStyle w:val="Hyperlink"/>
            <w:rFonts w:ascii="Times New Roman Bold" w:hAnsi="Times New Roman Bold"/>
            <w:noProof/>
          </w:rPr>
          <w:t>3.4</w:t>
        </w:r>
        <w:r>
          <w:rPr>
            <w:rFonts w:asciiTheme="minorHAnsi" w:eastAsiaTheme="minorEastAsia" w:hAnsiTheme="minorHAnsi" w:cstheme="minorBidi"/>
            <w:noProof/>
            <w:sz w:val="22"/>
            <w:szCs w:val="22"/>
          </w:rPr>
          <w:tab/>
        </w:r>
        <w:r w:rsidRPr="006A02AB">
          <w:rPr>
            <w:rStyle w:val="Hyperlink"/>
            <w:noProof/>
          </w:rPr>
          <w:t>MR Ceiling Boundary</w:t>
        </w:r>
        <w:r>
          <w:rPr>
            <w:noProof/>
            <w:webHidden/>
          </w:rPr>
          <w:tab/>
        </w:r>
        <w:r>
          <w:rPr>
            <w:noProof/>
            <w:webHidden/>
          </w:rPr>
          <w:fldChar w:fldCharType="begin"/>
        </w:r>
        <w:r>
          <w:rPr>
            <w:noProof/>
            <w:webHidden/>
          </w:rPr>
          <w:instrText xml:space="preserve"> PAGEREF _Toc47430481 \h </w:instrText>
        </w:r>
        <w:r>
          <w:rPr>
            <w:noProof/>
            <w:webHidden/>
          </w:rPr>
        </w:r>
        <w:r>
          <w:rPr>
            <w:noProof/>
            <w:webHidden/>
          </w:rPr>
          <w:fldChar w:fldCharType="separate"/>
        </w:r>
        <w:r w:rsidR="005B385A">
          <w:rPr>
            <w:noProof/>
            <w:webHidden/>
          </w:rPr>
          <w:t>5</w:t>
        </w:r>
        <w:r>
          <w:rPr>
            <w:noProof/>
            <w:webHidden/>
          </w:rPr>
          <w:fldChar w:fldCharType="end"/>
        </w:r>
      </w:hyperlink>
    </w:p>
    <w:p w14:paraId="1BE0356B" w14:textId="72F9FEAB" w:rsidR="00B30E5B" w:rsidRDefault="00B30E5B">
      <w:pPr>
        <w:pStyle w:val="TOC2"/>
        <w:rPr>
          <w:rFonts w:asciiTheme="minorHAnsi" w:eastAsiaTheme="minorEastAsia" w:hAnsiTheme="minorHAnsi" w:cstheme="minorBidi"/>
          <w:noProof/>
          <w:sz w:val="22"/>
          <w:szCs w:val="22"/>
        </w:rPr>
      </w:pPr>
      <w:hyperlink w:anchor="_Toc47430482" w:history="1">
        <w:r w:rsidRPr="006A02AB">
          <w:rPr>
            <w:rStyle w:val="Hyperlink"/>
            <w:rFonts w:ascii="Times New Roman Bold" w:hAnsi="Times New Roman Bold"/>
            <w:noProof/>
          </w:rPr>
          <w:t>3.5</w:t>
        </w:r>
        <w:r>
          <w:rPr>
            <w:rFonts w:asciiTheme="minorHAnsi" w:eastAsiaTheme="minorEastAsia" w:hAnsiTheme="minorHAnsi" w:cstheme="minorBidi"/>
            <w:noProof/>
            <w:sz w:val="22"/>
            <w:szCs w:val="22"/>
          </w:rPr>
          <w:tab/>
        </w:r>
        <w:r w:rsidRPr="006A02AB">
          <w:rPr>
            <w:rStyle w:val="Hyperlink"/>
            <w:noProof/>
          </w:rPr>
          <w:t>MR Hazard Management</w:t>
        </w:r>
        <w:r>
          <w:rPr>
            <w:noProof/>
            <w:webHidden/>
          </w:rPr>
          <w:tab/>
        </w:r>
        <w:r>
          <w:rPr>
            <w:noProof/>
            <w:webHidden/>
          </w:rPr>
          <w:fldChar w:fldCharType="begin"/>
        </w:r>
        <w:r>
          <w:rPr>
            <w:noProof/>
            <w:webHidden/>
          </w:rPr>
          <w:instrText xml:space="preserve"> PAGEREF _Toc47430482 \h </w:instrText>
        </w:r>
        <w:r>
          <w:rPr>
            <w:noProof/>
            <w:webHidden/>
          </w:rPr>
        </w:r>
        <w:r>
          <w:rPr>
            <w:noProof/>
            <w:webHidden/>
          </w:rPr>
          <w:fldChar w:fldCharType="separate"/>
        </w:r>
        <w:r w:rsidR="005B385A">
          <w:rPr>
            <w:noProof/>
            <w:webHidden/>
          </w:rPr>
          <w:t>5</w:t>
        </w:r>
        <w:r>
          <w:rPr>
            <w:noProof/>
            <w:webHidden/>
          </w:rPr>
          <w:fldChar w:fldCharType="end"/>
        </w:r>
      </w:hyperlink>
    </w:p>
    <w:p w14:paraId="036DFAA7" w14:textId="087CC045" w:rsidR="00B30E5B" w:rsidRDefault="00B30E5B">
      <w:pPr>
        <w:pStyle w:val="TOC2"/>
        <w:rPr>
          <w:rFonts w:asciiTheme="minorHAnsi" w:eastAsiaTheme="minorEastAsia" w:hAnsiTheme="minorHAnsi" w:cstheme="minorBidi"/>
          <w:noProof/>
          <w:sz w:val="22"/>
          <w:szCs w:val="22"/>
        </w:rPr>
      </w:pPr>
      <w:hyperlink w:anchor="_Toc47430483" w:history="1">
        <w:r w:rsidRPr="006A02AB">
          <w:rPr>
            <w:rStyle w:val="Hyperlink"/>
            <w:rFonts w:ascii="Times New Roman Bold" w:hAnsi="Times New Roman Bold"/>
            <w:noProof/>
          </w:rPr>
          <w:t>3.6</w:t>
        </w:r>
        <w:r>
          <w:rPr>
            <w:rFonts w:asciiTheme="minorHAnsi" w:eastAsiaTheme="minorEastAsia" w:hAnsiTheme="minorHAnsi" w:cstheme="minorBidi"/>
            <w:noProof/>
            <w:sz w:val="22"/>
            <w:szCs w:val="22"/>
          </w:rPr>
          <w:tab/>
        </w:r>
        <w:r w:rsidRPr="006A02AB">
          <w:rPr>
            <w:rStyle w:val="Hyperlink"/>
            <w:noProof/>
          </w:rPr>
          <w:t>MR Status Management</w:t>
        </w:r>
        <w:r>
          <w:rPr>
            <w:noProof/>
            <w:webHidden/>
          </w:rPr>
          <w:tab/>
        </w:r>
        <w:r>
          <w:rPr>
            <w:noProof/>
            <w:webHidden/>
          </w:rPr>
          <w:fldChar w:fldCharType="begin"/>
        </w:r>
        <w:r>
          <w:rPr>
            <w:noProof/>
            <w:webHidden/>
          </w:rPr>
          <w:instrText xml:space="preserve"> PAGEREF _Toc47430483 \h </w:instrText>
        </w:r>
        <w:r>
          <w:rPr>
            <w:noProof/>
            <w:webHidden/>
          </w:rPr>
        </w:r>
        <w:r>
          <w:rPr>
            <w:noProof/>
            <w:webHidden/>
          </w:rPr>
          <w:fldChar w:fldCharType="separate"/>
        </w:r>
        <w:r w:rsidR="005B385A">
          <w:rPr>
            <w:noProof/>
            <w:webHidden/>
          </w:rPr>
          <w:t>6</w:t>
        </w:r>
        <w:r>
          <w:rPr>
            <w:noProof/>
            <w:webHidden/>
          </w:rPr>
          <w:fldChar w:fldCharType="end"/>
        </w:r>
      </w:hyperlink>
    </w:p>
    <w:p w14:paraId="2D3595A9" w14:textId="63AEB125" w:rsidR="00B30E5B" w:rsidRDefault="00B30E5B">
      <w:pPr>
        <w:pStyle w:val="TOC1"/>
        <w:rPr>
          <w:rFonts w:asciiTheme="minorHAnsi" w:eastAsiaTheme="minorEastAsia" w:hAnsiTheme="minorHAnsi" w:cstheme="minorBidi"/>
          <w:noProof/>
          <w:sz w:val="22"/>
          <w:szCs w:val="22"/>
        </w:rPr>
      </w:pPr>
      <w:hyperlink w:anchor="_Toc47430484" w:history="1">
        <w:r w:rsidRPr="006A02AB">
          <w:rPr>
            <w:rStyle w:val="Hyperlink"/>
            <w:rFonts w:ascii="Times New Roman Bold" w:hAnsi="Times New Roman Bold"/>
            <w:noProof/>
          </w:rPr>
          <w:t>4.0</w:t>
        </w:r>
        <w:r>
          <w:rPr>
            <w:rFonts w:asciiTheme="minorHAnsi" w:eastAsiaTheme="minorEastAsia" w:hAnsiTheme="minorHAnsi" w:cstheme="minorBidi"/>
            <w:noProof/>
            <w:sz w:val="22"/>
            <w:szCs w:val="22"/>
          </w:rPr>
          <w:tab/>
        </w:r>
        <w:r w:rsidRPr="006A02AB">
          <w:rPr>
            <w:rStyle w:val="Hyperlink"/>
            <w:noProof/>
          </w:rPr>
          <w:t>Controlling Exposures to SMF</w:t>
        </w:r>
        <w:r>
          <w:rPr>
            <w:noProof/>
            <w:webHidden/>
          </w:rPr>
          <w:tab/>
        </w:r>
        <w:r>
          <w:rPr>
            <w:noProof/>
            <w:webHidden/>
          </w:rPr>
          <w:fldChar w:fldCharType="begin"/>
        </w:r>
        <w:r>
          <w:rPr>
            <w:noProof/>
            <w:webHidden/>
          </w:rPr>
          <w:instrText xml:space="preserve"> PAGEREF _Toc47430484 \h </w:instrText>
        </w:r>
        <w:r>
          <w:rPr>
            <w:noProof/>
            <w:webHidden/>
          </w:rPr>
        </w:r>
        <w:r>
          <w:rPr>
            <w:noProof/>
            <w:webHidden/>
          </w:rPr>
          <w:fldChar w:fldCharType="separate"/>
        </w:r>
        <w:r w:rsidR="005B385A">
          <w:rPr>
            <w:noProof/>
            <w:webHidden/>
          </w:rPr>
          <w:t>7</w:t>
        </w:r>
        <w:r>
          <w:rPr>
            <w:noProof/>
            <w:webHidden/>
          </w:rPr>
          <w:fldChar w:fldCharType="end"/>
        </w:r>
      </w:hyperlink>
    </w:p>
    <w:p w14:paraId="7BBB48AF" w14:textId="7C968C67" w:rsidR="00B30E5B" w:rsidRDefault="00B30E5B">
      <w:pPr>
        <w:pStyle w:val="TOC2"/>
        <w:rPr>
          <w:rFonts w:asciiTheme="minorHAnsi" w:eastAsiaTheme="minorEastAsia" w:hAnsiTheme="minorHAnsi" w:cstheme="minorBidi"/>
          <w:noProof/>
          <w:sz w:val="22"/>
          <w:szCs w:val="22"/>
        </w:rPr>
      </w:pPr>
      <w:hyperlink w:anchor="_Toc47430485" w:history="1">
        <w:r w:rsidRPr="006A02AB">
          <w:rPr>
            <w:rStyle w:val="Hyperlink"/>
            <w:rFonts w:ascii="Times New Roman Bold" w:hAnsi="Times New Roman Bold"/>
            <w:noProof/>
          </w:rPr>
          <w:t>4.1</w:t>
        </w:r>
        <w:r>
          <w:rPr>
            <w:rFonts w:asciiTheme="minorHAnsi" w:eastAsiaTheme="minorEastAsia" w:hAnsiTheme="minorHAnsi" w:cstheme="minorBidi"/>
            <w:noProof/>
            <w:sz w:val="22"/>
            <w:szCs w:val="22"/>
          </w:rPr>
          <w:tab/>
        </w:r>
        <w:r w:rsidRPr="006A02AB">
          <w:rPr>
            <w:rStyle w:val="Hyperlink"/>
            <w:noProof/>
          </w:rPr>
          <w:t>Occupational Exposure Limits</w:t>
        </w:r>
        <w:r>
          <w:rPr>
            <w:noProof/>
            <w:webHidden/>
          </w:rPr>
          <w:tab/>
        </w:r>
        <w:r>
          <w:rPr>
            <w:noProof/>
            <w:webHidden/>
          </w:rPr>
          <w:fldChar w:fldCharType="begin"/>
        </w:r>
        <w:r>
          <w:rPr>
            <w:noProof/>
            <w:webHidden/>
          </w:rPr>
          <w:instrText xml:space="preserve"> PAGEREF _Toc47430485 \h </w:instrText>
        </w:r>
        <w:r>
          <w:rPr>
            <w:noProof/>
            <w:webHidden/>
          </w:rPr>
        </w:r>
        <w:r>
          <w:rPr>
            <w:noProof/>
            <w:webHidden/>
          </w:rPr>
          <w:fldChar w:fldCharType="separate"/>
        </w:r>
        <w:r w:rsidR="005B385A">
          <w:rPr>
            <w:noProof/>
            <w:webHidden/>
          </w:rPr>
          <w:t>7</w:t>
        </w:r>
        <w:r>
          <w:rPr>
            <w:noProof/>
            <w:webHidden/>
          </w:rPr>
          <w:fldChar w:fldCharType="end"/>
        </w:r>
      </w:hyperlink>
    </w:p>
    <w:p w14:paraId="5AE06F0A" w14:textId="1A32111D" w:rsidR="00B30E5B" w:rsidRDefault="00B30E5B">
      <w:pPr>
        <w:pStyle w:val="TOC2"/>
        <w:rPr>
          <w:rFonts w:asciiTheme="minorHAnsi" w:eastAsiaTheme="minorEastAsia" w:hAnsiTheme="minorHAnsi" w:cstheme="minorBidi"/>
          <w:noProof/>
          <w:sz w:val="22"/>
          <w:szCs w:val="22"/>
        </w:rPr>
      </w:pPr>
      <w:hyperlink w:anchor="_Toc47430486" w:history="1">
        <w:r w:rsidRPr="006A02AB">
          <w:rPr>
            <w:rStyle w:val="Hyperlink"/>
            <w:rFonts w:ascii="Times New Roman Bold" w:hAnsi="Times New Roman Bold"/>
            <w:noProof/>
          </w:rPr>
          <w:t>4.2</w:t>
        </w:r>
        <w:r>
          <w:rPr>
            <w:rFonts w:asciiTheme="minorHAnsi" w:eastAsiaTheme="minorEastAsia" w:hAnsiTheme="minorHAnsi" w:cstheme="minorBidi"/>
            <w:noProof/>
            <w:sz w:val="22"/>
            <w:szCs w:val="22"/>
          </w:rPr>
          <w:tab/>
        </w:r>
        <w:r w:rsidRPr="006A02AB">
          <w:rPr>
            <w:rStyle w:val="Hyperlink"/>
            <w:noProof/>
          </w:rPr>
          <w:t>Monitoring</w:t>
        </w:r>
        <w:r>
          <w:rPr>
            <w:noProof/>
            <w:webHidden/>
          </w:rPr>
          <w:tab/>
        </w:r>
        <w:r>
          <w:rPr>
            <w:noProof/>
            <w:webHidden/>
          </w:rPr>
          <w:fldChar w:fldCharType="begin"/>
        </w:r>
        <w:r>
          <w:rPr>
            <w:noProof/>
            <w:webHidden/>
          </w:rPr>
          <w:instrText xml:space="preserve"> PAGEREF _Toc47430486 \h </w:instrText>
        </w:r>
        <w:r>
          <w:rPr>
            <w:noProof/>
            <w:webHidden/>
          </w:rPr>
        </w:r>
        <w:r>
          <w:rPr>
            <w:noProof/>
            <w:webHidden/>
          </w:rPr>
          <w:fldChar w:fldCharType="separate"/>
        </w:r>
        <w:r w:rsidR="005B385A">
          <w:rPr>
            <w:noProof/>
            <w:webHidden/>
          </w:rPr>
          <w:t>7</w:t>
        </w:r>
        <w:r>
          <w:rPr>
            <w:noProof/>
            <w:webHidden/>
          </w:rPr>
          <w:fldChar w:fldCharType="end"/>
        </w:r>
      </w:hyperlink>
    </w:p>
    <w:p w14:paraId="6F10AA12" w14:textId="2F365603" w:rsidR="00B30E5B" w:rsidRDefault="00B30E5B">
      <w:pPr>
        <w:pStyle w:val="TOC2"/>
        <w:rPr>
          <w:rFonts w:asciiTheme="minorHAnsi" w:eastAsiaTheme="minorEastAsia" w:hAnsiTheme="minorHAnsi" w:cstheme="minorBidi"/>
          <w:noProof/>
          <w:sz w:val="22"/>
          <w:szCs w:val="22"/>
        </w:rPr>
      </w:pPr>
      <w:hyperlink w:anchor="_Toc47430487" w:history="1">
        <w:r w:rsidRPr="006A02AB">
          <w:rPr>
            <w:rStyle w:val="Hyperlink"/>
            <w:rFonts w:ascii="Times New Roman Bold" w:hAnsi="Times New Roman Bold"/>
            <w:noProof/>
          </w:rPr>
          <w:t>4.3</w:t>
        </w:r>
        <w:r>
          <w:rPr>
            <w:rFonts w:asciiTheme="minorHAnsi" w:eastAsiaTheme="minorEastAsia" w:hAnsiTheme="minorHAnsi" w:cstheme="minorBidi"/>
            <w:noProof/>
            <w:sz w:val="22"/>
            <w:szCs w:val="22"/>
          </w:rPr>
          <w:tab/>
        </w:r>
        <w:r w:rsidRPr="006A02AB">
          <w:rPr>
            <w:rStyle w:val="Hyperlink"/>
            <w:noProof/>
          </w:rPr>
          <w:t>Posting</w:t>
        </w:r>
        <w:r>
          <w:rPr>
            <w:noProof/>
            <w:webHidden/>
          </w:rPr>
          <w:tab/>
        </w:r>
        <w:r>
          <w:rPr>
            <w:noProof/>
            <w:webHidden/>
          </w:rPr>
          <w:fldChar w:fldCharType="begin"/>
        </w:r>
        <w:r>
          <w:rPr>
            <w:noProof/>
            <w:webHidden/>
          </w:rPr>
          <w:instrText xml:space="preserve"> PAGEREF _Toc47430487 \h </w:instrText>
        </w:r>
        <w:r>
          <w:rPr>
            <w:noProof/>
            <w:webHidden/>
          </w:rPr>
        </w:r>
        <w:r>
          <w:rPr>
            <w:noProof/>
            <w:webHidden/>
          </w:rPr>
          <w:fldChar w:fldCharType="separate"/>
        </w:r>
        <w:r w:rsidR="005B385A">
          <w:rPr>
            <w:noProof/>
            <w:webHidden/>
          </w:rPr>
          <w:t>8</w:t>
        </w:r>
        <w:r>
          <w:rPr>
            <w:noProof/>
            <w:webHidden/>
          </w:rPr>
          <w:fldChar w:fldCharType="end"/>
        </w:r>
      </w:hyperlink>
    </w:p>
    <w:p w14:paraId="6D5973C4" w14:textId="40B9C68A" w:rsidR="00B30E5B" w:rsidRDefault="00B30E5B">
      <w:pPr>
        <w:pStyle w:val="TOC2"/>
        <w:rPr>
          <w:rFonts w:asciiTheme="minorHAnsi" w:eastAsiaTheme="minorEastAsia" w:hAnsiTheme="minorHAnsi" w:cstheme="minorBidi"/>
          <w:noProof/>
          <w:sz w:val="22"/>
          <w:szCs w:val="22"/>
        </w:rPr>
      </w:pPr>
      <w:hyperlink w:anchor="_Toc47430488" w:history="1">
        <w:r w:rsidRPr="006A02AB">
          <w:rPr>
            <w:rStyle w:val="Hyperlink"/>
            <w:rFonts w:ascii="Times New Roman Bold" w:hAnsi="Times New Roman Bold"/>
            <w:noProof/>
          </w:rPr>
          <w:t>4.4</w:t>
        </w:r>
        <w:r>
          <w:rPr>
            <w:rFonts w:asciiTheme="minorHAnsi" w:eastAsiaTheme="minorEastAsia" w:hAnsiTheme="minorHAnsi" w:cstheme="minorBidi"/>
            <w:noProof/>
            <w:sz w:val="22"/>
            <w:szCs w:val="22"/>
          </w:rPr>
          <w:tab/>
        </w:r>
        <w:r w:rsidRPr="006A02AB">
          <w:rPr>
            <w:rStyle w:val="Hyperlink"/>
            <w:noProof/>
          </w:rPr>
          <w:t>Medical Surveillance</w:t>
        </w:r>
        <w:r>
          <w:rPr>
            <w:noProof/>
            <w:webHidden/>
          </w:rPr>
          <w:tab/>
        </w:r>
        <w:r>
          <w:rPr>
            <w:noProof/>
            <w:webHidden/>
          </w:rPr>
          <w:fldChar w:fldCharType="begin"/>
        </w:r>
        <w:r>
          <w:rPr>
            <w:noProof/>
            <w:webHidden/>
          </w:rPr>
          <w:instrText xml:space="preserve"> PAGEREF _Toc47430488 \h </w:instrText>
        </w:r>
        <w:r>
          <w:rPr>
            <w:noProof/>
            <w:webHidden/>
          </w:rPr>
        </w:r>
        <w:r>
          <w:rPr>
            <w:noProof/>
            <w:webHidden/>
          </w:rPr>
          <w:fldChar w:fldCharType="separate"/>
        </w:r>
        <w:r w:rsidR="005B385A">
          <w:rPr>
            <w:noProof/>
            <w:webHidden/>
          </w:rPr>
          <w:t>10</w:t>
        </w:r>
        <w:r>
          <w:rPr>
            <w:noProof/>
            <w:webHidden/>
          </w:rPr>
          <w:fldChar w:fldCharType="end"/>
        </w:r>
      </w:hyperlink>
    </w:p>
    <w:p w14:paraId="1BBB1087" w14:textId="23498512" w:rsidR="00B30E5B" w:rsidRDefault="00B30E5B">
      <w:pPr>
        <w:pStyle w:val="TOC1"/>
        <w:rPr>
          <w:rFonts w:asciiTheme="minorHAnsi" w:eastAsiaTheme="minorEastAsia" w:hAnsiTheme="minorHAnsi" w:cstheme="minorBidi"/>
          <w:noProof/>
          <w:sz w:val="22"/>
          <w:szCs w:val="22"/>
        </w:rPr>
      </w:pPr>
      <w:hyperlink w:anchor="_Toc47430489" w:history="1">
        <w:r w:rsidRPr="006A02AB">
          <w:rPr>
            <w:rStyle w:val="Hyperlink"/>
            <w:rFonts w:ascii="Times New Roman Bold" w:hAnsi="Times New Roman Bold"/>
            <w:noProof/>
          </w:rPr>
          <w:t>5.0</w:t>
        </w:r>
        <w:r>
          <w:rPr>
            <w:rFonts w:asciiTheme="minorHAnsi" w:eastAsiaTheme="minorEastAsia" w:hAnsiTheme="minorHAnsi" w:cstheme="minorBidi"/>
            <w:noProof/>
            <w:sz w:val="22"/>
            <w:szCs w:val="22"/>
          </w:rPr>
          <w:tab/>
        </w:r>
        <w:r w:rsidRPr="006A02AB">
          <w:rPr>
            <w:rStyle w:val="Hyperlink"/>
            <w:noProof/>
          </w:rPr>
          <w:t>REFERENCES</w:t>
        </w:r>
        <w:r>
          <w:rPr>
            <w:noProof/>
            <w:webHidden/>
          </w:rPr>
          <w:tab/>
        </w:r>
        <w:r>
          <w:rPr>
            <w:noProof/>
            <w:webHidden/>
          </w:rPr>
          <w:fldChar w:fldCharType="begin"/>
        </w:r>
        <w:r>
          <w:rPr>
            <w:noProof/>
            <w:webHidden/>
          </w:rPr>
          <w:instrText xml:space="preserve"> PAGEREF _Toc47430489 \h </w:instrText>
        </w:r>
        <w:r>
          <w:rPr>
            <w:noProof/>
            <w:webHidden/>
          </w:rPr>
        </w:r>
        <w:r>
          <w:rPr>
            <w:noProof/>
            <w:webHidden/>
          </w:rPr>
          <w:fldChar w:fldCharType="separate"/>
        </w:r>
        <w:r w:rsidR="005B385A">
          <w:rPr>
            <w:noProof/>
            <w:webHidden/>
          </w:rPr>
          <w:t>10</w:t>
        </w:r>
        <w:r>
          <w:rPr>
            <w:noProof/>
            <w:webHidden/>
          </w:rPr>
          <w:fldChar w:fldCharType="end"/>
        </w:r>
      </w:hyperlink>
    </w:p>
    <w:p w14:paraId="1CA29728" w14:textId="4C5403D5" w:rsidR="00A96FFC" w:rsidRPr="00395442" w:rsidRDefault="00FF181A" w:rsidP="005802A2">
      <w:pPr>
        <w:tabs>
          <w:tab w:val="right" w:leader="dot" w:pos="9720"/>
        </w:tabs>
        <w:jc w:val="left"/>
        <w:rPr>
          <w:bCs/>
        </w:rPr>
      </w:pPr>
      <w:r w:rsidRPr="0081443F">
        <w:rPr>
          <w:bCs/>
        </w:rPr>
        <w:fldChar w:fldCharType="end"/>
      </w:r>
    </w:p>
    <w:p w14:paraId="248D9986" w14:textId="757B6F18" w:rsidR="00D8063B" w:rsidRPr="00395442" w:rsidRDefault="00D8063B">
      <w:pPr>
        <w:rPr>
          <w:bCs/>
        </w:rPr>
      </w:pPr>
      <w:r w:rsidRPr="00395442">
        <w:rPr>
          <w:bCs/>
        </w:rPr>
        <w:br w:type="page"/>
      </w:r>
    </w:p>
    <w:p w14:paraId="387FD130" w14:textId="742321BB" w:rsidR="00CE5B8A" w:rsidRPr="00395442" w:rsidRDefault="007D5A75" w:rsidP="00702476">
      <w:pPr>
        <w:pStyle w:val="Heading1"/>
        <w:ind w:left="90"/>
      </w:pPr>
      <w:bookmarkStart w:id="2" w:name="_Toc31195210"/>
      <w:bookmarkStart w:id="3" w:name="_Toc34399993"/>
      <w:bookmarkStart w:id="4" w:name="_Toc34401205"/>
      <w:bookmarkStart w:id="5" w:name="_Toc34643409"/>
      <w:bookmarkStart w:id="6" w:name="_Toc34651284"/>
      <w:bookmarkStart w:id="7" w:name="_Toc38982690"/>
      <w:bookmarkStart w:id="8" w:name="_Toc39063493"/>
      <w:bookmarkStart w:id="9" w:name="_Toc39065165"/>
      <w:bookmarkStart w:id="10" w:name="_Toc39067185"/>
      <w:bookmarkStart w:id="11" w:name="_Toc40359429"/>
      <w:bookmarkStart w:id="12" w:name="_Toc47430470"/>
      <w:bookmarkEnd w:id="2"/>
      <w:bookmarkEnd w:id="3"/>
      <w:bookmarkEnd w:id="4"/>
      <w:bookmarkEnd w:id="5"/>
      <w:bookmarkEnd w:id="6"/>
      <w:bookmarkEnd w:id="7"/>
      <w:bookmarkEnd w:id="8"/>
      <w:bookmarkEnd w:id="9"/>
      <w:bookmarkEnd w:id="10"/>
      <w:bookmarkEnd w:id="11"/>
      <w:r w:rsidRPr="00395442">
        <w:lastRenderedPageBreak/>
        <w:t>INTRODUCTION</w:t>
      </w:r>
      <w:bookmarkEnd w:id="12"/>
    </w:p>
    <w:p w14:paraId="1A88DE81" w14:textId="77777777" w:rsidR="00D435EC" w:rsidRPr="00395442" w:rsidRDefault="00D435EC"/>
    <w:p w14:paraId="3F4DCDA8" w14:textId="36AADDEB" w:rsidR="00BC4763" w:rsidRPr="005802A2" w:rsidRDefault="00BC4763" w:rsidP="00BC4763">
      <w:pPr>
        <w:spacing w:after="200" w:line="276" w:lineRule="auto"/>
        <w:jc w:val="left"/>
        <w:rPr>
          <w:rFonts w:eastAsiaTheme="minorHAnsi"/>
        </w:rPr>
      </w:pPr>
      <w:r w:rsidRPr="005802A2">
        <w:rPr>
          <w:rFonts w:eastAsiaTheme="minorHAnsi"/>
        </w:rPr>
        <w:t>Particle accelerators and associated detectors often rely on intense static magnetic fields</w:t>
      </w:r>
      <w:r w:rsidR="00DA1311" w:rsidRPr="005802A2">
        <w:rPr>
          <w:rFonts w:eastAsiaTheme="minorHAnsi"/>
        </w:rPr>
        <w:t xml:space="preserve"> (SMF)</w:t>
      </w:r>
      <w:r w:rsidRPr="005802A2">
        <w:rPr>
          <w:rFonts w:eastAsiaTheme="minorHAnsi"/>
        </w:rPr>
        <w:t xml:space="preserve"> in order to operate.  The fields associated with most of Fermilab’s magnets (i.e., accelerator magnets) are constrained to their interiors and present little hazard.  On the other hand, there are </w:t>
      </w:r>
      <w:r w:rsidR="00987C3D">
        <w:rPr>
          <w:rFonts w:eastAsiaTheme="minorHAnsi"/>
        </w:rPr>
        <w:t xml:space="preserve">specific cases where </w:t>
      </w:r>
      <w:r w:rsidRPr="005802A2">
        <w:rPr>
          <w:rFonts w:eastAsiaTheme="minorHAnsi"/>
        </w:rPr>
        <w:t xml:space="preserve">magnets </w:t>
      </w:r>
      <w:r w:rsidR="00987C3D">
        <w:rPr>
          <w:rFonts w:eastAsiaTheme="minorHAnsi"/>
        </w:rPr>
        <w:t>associated with experiments</w:t>
      </w:r>
      <w:r w:rsidRPr="005802A2">
        <w:rPr>
          <w:rFonts w:eastAsiaTheme="minorHAnsi"/>
        </w:rPr>
        <w:t xml:space="preserve"> can present exposures that are comparable to those encountered in medical </w:t>
      </w:r>
      <w:r w:rsidR="00740BBE" w:rsidRPr="005802A2">
        <w:rPr>
          <w:rFonts w:eastAsiaTheme="minorHAnsi"/>
        </w:rPr>
        <w:t xml:space="preserve">magnetic </w:t>
      </w:r>
      <w:r w:rsidR="0047029F" w:rsidRPr="005802A2">
        <w:rPr>
          <w:rFonts w:eastAsiaTheme="minorHAnsi"/>
        </w:rPr>
        <w:t>resonance</w:t>
      </w:r>
      <w:r w:rsidR="00740BBE" w:rsidRPr="005802A2">
        <w:rPr>
          <w:rFonts w:eastAsiaTheme="minorHAnsi"/>
        </w:rPr>
        <w:t xml:space="preserve"> imaging</w:t>
      </w:r>
      <w:r w:rsidR="0047029F" w:rsidRPr="005802A2">
        <w:rPr>
          <w:rFonts w:eastAsiaTheme="minorHAnsi"/>
        </w:rPr>
        <w:t xml:space="preserve"> (MRI)</w:t>
      </w:r>
      <w:r w:rsidR="00740BBE" w:rsidRPr="005802A2">
        <w:rPr>
          <w:rFonts w:eastAsiaTheme="minorHAnsi"/>
        </w:rPr>
        <w:t xml:space="preserve"> </w:t>
      </w:r>
      <w:r w:rsidRPr="005802A2">
        <w:rPr>
          <w:rFonts w:eastAsiaTheme="minorHAnsi"/>
        </w:rPr>
        <w:t>scanners.</w:t>
      </w:r>
      <w:r w:rsidR="00987C3D">
        <w:rPr>
          <w:rFonts w:eastAsiaTheme="minorHAnsi"/>
        </w:rPr>
        <w:t xml:space="preserve">  (For example, the Muon g-2 main magnet, the Mu2e, detector, transport, and production solenoids</w:t>
      </w:r>
      <w:r w:rsidR="00594388">
        <w:rPr>
          <w:rFonts w:eastAsiaTheme="minorHAnsi"/>
        </w:rPr>
        <w:t>, and fixed target analyzing magnets.</w:t>
      </w:r>
      <w:r w:rsidR="00987C3D">
        <w:rPr>
          <w:rFonts w:eastAsiaTheme="minorHAnsi"/>
        </w:rPr>
        <w:t>)</w:t>
      </w:r>
      <w:r w:rsidRPr="005802A2">
        <w:rPr>
          <w:rFonts w:eastAsiaTheme="minorHAnsi"/>
        </w:rPr>
        <w:t xml:space="preserve">  Other sources of </w:t>
      </w:r>
      <w:r w:rsidR="00DA1311" w:rsidRPr="005802A2">
        <w:rPr>
          <w:rFonts w:eastAsiaTheme="minorHAnsi"/>
        </w:rPr>
        <w:t>SMF</w:t>
      </w:r>
      <w:r w:rsidRPr="005802A2">
        <w:rPr>
          <w:rFonts w:eastAsiaTheme="minorHAnsi"/>
        </w:rPr>
        <w:t>s are more typical of a general work environment such as permanent magnets, electromagnets used for lifting, and steel products with residual magnetization.</w:t>
      </w:r>
    </w:p>
    <w:p w14:paraId="7C75077F" w14:textId="60C697FC" w:rsidR="00F27FE5" w:rsidRPr="003B1C88" w:rsidRDefault="00BC4763">
      <w:pPr>
        <w:spacing w:after="200" w:line="276" w:lineRule="auto"/>
        <w:jc w:val="left"/>
        <w:rPr>
          <w:rFonts w:eastAsiaTheme="minorHAnsi"/>
        </w:rPr>
      </w:pPr>
      <w:r w:rsidRPr="005802A2">
        <w:rPr>
          <w:rFonts w:eastAsiaTheme="minorHAnsi"/>
        </w:rPr>
        <w:t xml:space="preserve">This chapter describes Fermilab’s program and procedures for addressing exposure to </w:t>
      </w:r>
      <w:proofErr w:type="gramStart"/>
      <w:r w:rsidR="00DA1311" w:rsidRPr="005802A2">
        <w:rPr>
          <w:rFonts w:eastAsiaTheme="minorHAnsi"/>
        </w:rPr>
        <w:t>SMF</w:t>
      </w:r>
      <w:r w:rsidRPr="005802A2">
        <w:rPr>
          <w:rFonts w:eastAsiaTheme="minorHAnsi"/>
        </w:rPr>
        <w:t>s</w:t>
      </w:r>
      <w:r w:rsidR="005C17D3" w:rsidRPr="005802A2">
        <w:rPr>
          <w:rFonts w:eastAsiaTheme="minorHAnsi"/>
        </w:rPr>
        <w:t>, and</w:t>
      </w:r>
      <w:proofErr w:type="gramEnd"/>
      <w:r w:rsidR="005C17D3" w:rsidRPr="005802A2">
        <w:rPr>
          <w:rFonts w:eastAsiaTheme="minorHAnsi"/>
        </w:rPr>
        <w:t xml:space="preserve"> describes hazards as Magnetic Region (MR)</w:t>
      </w:r>
      <w:r w:rsidR="00F527C6">
        <w:rPr>
          <w:rFonts w:eastAsiaTheme="minorHAnsi"/>
        </w:rPr>
        <w:t xml:space="preserve"> Boundaries</w:t>
      </w:r>
      <w:r w:rsidRPr="005802A2">
        <w:rPr>
          <w:rFonts w:eastAsiaTheme="minorHAnsi"/>
        </w:rPr>
        <w:t>.</w:t>
      </w:r>
      <w:r w:rsidR="004B35AB" w:rsidRPr="005802A2">
        <w:rPr>
          <w:rFonts w:eastAsiaTheme="minorHAnsi"/>
        </w:rPr>
        <w:t xml:space="preserve">  </w:t>
      </w:r>
      <w:bookmarkStart w:id="13" w:name="_Toc38982692"/>
      <w:bookmarkStart w:id="14" w:name="_Toc39063495"/>
      <w:bookmarkStart w:id="15" w:name="_Toc39065167"/>
      <w:bookmarkStart w:id="16" w:name="_Toc39067187"/>
      <w:bookmarkEnd w:id="13"/>
      <w:bookmarkEnd w:id="14"/>
      <w:bookmarkEnd w:id="15"/>
      <w:bookmarkEnd w:id="16"/>
    </w:p>
    <w:p w14:paraId="262E8398" w14:textId="3DC19097" w:rsidR="00FC4AB0" w:rsidRPr="005802A2" w:rsidRDefault="00BE5D7A" w:rsidP="005802A2">
      <w:r w:rsidRPr="005802A2">
        <w:rPr>
          <w:b/>
          <w:bCs/>
          <w:kern w:val="32"/>
          <w:sz w:val="28"/>
          <w:szCs w:val="32"/>
        </w:rPr>
        <w:t>DEFINITIONS</w:t>
      </w:r>
    </w:p>
    <w:p w14:paraId="4A4CF1AC" w14:textId="77777777" w:rsidR="00BE5D7A" w:rsidRPr="00395442" w:rsidRDefault="00BE5D7A" w:rsidP="005802A2">
      <w:pPr>
        <w:pStyle w:val="Heading1"/>
        <w:numPr>
          <w:ilvl w:val="0"/>
          <w:numId w:val="0"/>
        </w:numPr>
        <w:ind w:left="288"/>
        <w:rPr>
          <w:rFonts w:eastAsiaTheme="minorHAnsi"/>
        </w:rPr>
      </w:pPr>
    </w:p>
    <w:p w14:paraId="26C8F5A7" w14:textId="3863FA63" w:rsidR="00BE5D7A" w:rsidRPr="005802A2" w:rsidRDefault="00BE5D7A" w:rsidP="00BE5D7A">
      <w:pPr>
        <w:spacing w:after="200" w:line="276" w:lineRule="auto"/>
        <w:jc w:val="left"/>
        <w:rPr>
          <w:rFonts w:eastAsiaTheme="minorHAnsi"/>
        </w:rPr>
      </w:pPr>
      <w:r w:rsidRPr="005802A2">
        <w:rPr>
          <w:rFonts w:eastAsiaTheme="minorHAnsi"/>
          <w:u w:val="single"/>
        </w:rPr>
        <w:t>Ferromagnetic</w:t>
      </w:r>
      <w:r w:rsidRPr="005802A2">
        <w:rPr>
          <w:rFonts w:eastAsiaTheme="minorHAnsi"/>
        </w:rPr>
        <w:t xml:space="preserve"> – Materials that exhibit a strong attraction to magnetic fields and </w:t>
      </w:r>
      <w:r w:rsidR="00A849F0" w:rsidRPr="005802A2">
        <w:rPr>
          <w:rFonts w:eastAsiaTheme="minorHAnsi"/>
        </w:rPr>
        <w:t>can</w:t>
      </w:r>
      <w:r w:rsidRPr="005802A2">
        <w:rPr>
          <w:rFonts w:eastAsiaTheme="minorHAnsi"/>
        </w:rPr>
        <w:t xml:space="preserve"> retain magnetic properties after the external field has been removed.  Iron, nickel, and cobalt are examples of ferromagnetic materials.</w:t>
      </w:r>
    </w:p>
    <w:p w14:paraId="131E7624" w14:textId="77280E52" w:rsidR="00636B74" w:rsidRPr="005802A2" w:rsidRDefault="00636B74" w:rsidP="00BE5D7A">
      <w:pPr>
        <w:spacing w:after="200" w:line="276" w:lineRule="auto"/>
        <w:jc w:val="left"/>
        <w:rPr>
          <w:rFonts w:eastAsiaTheme="minorHAnsi"/>
        </w:rPr>
      </w:pPr>
      <w:r w:rsidRPr="005802A2">
        <w:rPr>
          <w:rFonts w:eastAsiaTheme="minorHAnsi"/>
          <w:u w:val="single"/>
        </w:rPr>
        <w:t>Gauss</w:t>
      </w:r>
      <w:r w:rsidRPr="005802A2">
        <w:rPr>
          <w:rFonts w:eastAsiaTheme="minorHAnsi"/>
        </w:rPr>
        <w:t xml:space="preserve"> – a non-SI unit of magnetic flux density.  10,000 Gauss </w:t>
      </w:r>
      <w:r w:rsidR="004C1AB3" w:rsidRPr="005802A2">
        <w:rPr>
          <w:rFonts w:eastAsiaTheme="minorHAnsi"/>
        </w:rPr>
        <w:t>equals 1 Tesla.  The symbols for tesla and gauss are T and G, respectively.</w:t>
      </w:r>
    </w:p>
    <w:p w14:paraId="0684C94F" w14:textId="2D34BC93" w:rsidR="00BE5D7A" w:rsidRDefault="00BE5D7A" w:rsidP="00BE5D7A">
      <w:pPr>
        <w:spacing w:after="200" w:line="276" w:lineRule="auto"/>
        <w:jc w:val="left"/>
        <w:rPr>
          <w:rFonts w:eastAsiaTheme="minorHAnsi"/>
        </w:rPr>
      </w:pPr>
      <w:r w:rsidRPr="005802A2">
        <w:rPr>
          <w:rFonts w:eastAsiaTheme="minorHAnsi"/>
          <w:u w:val="single"/>
        </w:rPr>
        <w:t>Magnetohydrodynamic</w:t>
      </w:r>
      <w:r w:rsidRPr="005802A2">
        <w:rPr>
          <w:rFonts w:eastAsiaTheme="minorHAnsi"/>
        </w:rPr>
        <w:t xml:space="preserve"> – Refers to the interaction of magnetic fields and electrically conducting fluids such as blood.</w:t>
      </w:r>
    </w:p>
    <w:p w14:paraId="5B33290B" w14:textId="13806B3A" w:rsidR="00C4347B" w:rsidRPr="005802A2" w:rsidRDefault="00C4347B" w:rsidP="00BE5D7A">
      <w:pPr>
        <w:spacing w:after="200" w:line="276" w:lineRule="auto"/>
        <w:jc w:val="left"/>
        <w:rPr>
          <w:rFonts w:eastAsiaTheme="minorHAnsi"/>
        </w:rPr>
      </w:pPr>
      <w:r w:rsidRPr="00C83D88">
        <w:rPr>
          <w:rFonts w:eastAsiaTheme="minorHAnsi"/>
          <w:u w:val="single"/>
        </w:rPr>
        <w:t>MR Environment</w:t>
      </w:r>
      <w:r>
        <w:rPr>
          <w:rFonts w:eastAsiaTheme="minorHAnsi"/>
        </w:rPr>
        <w:t xml:space="preserve"> - T</w:t>
      </w:r>
      <w:r w:rsidRPr="00C4347B">
        <w:rPr>
          <w:rFonts w:eastAsiaTheme="minorHAnsi"/>
        </w:rPr>
        <w:t xml:space="preserve">he </w:t>
      </w:r>
      <w:r w:rsidR="00E61CE0" w:rsidRPr="00C4347B">
        <w:rPr>
          <w:rFonts w:eastAsiaTheme="minorHAnsi"/>
        </w:rPr>
        <w:t>three-dimensional</w:t>
      </w:r>
      <w:r w:rsidRPr="00C4347B">
        <w:rPr>
          <w:rFonts w:eastAsiaTheme="minorHAnsi"/>
        </w:rPr>
        <w:t xml:space="preserve"> volume of space surrounding the magnet</w:t>
      </w:r>
      <w:r w:rsidR="00E61CE0">
        <w:rPr>
          <w:rFonts w:eastAsiaTheme="minorHAnsi"/>
        </w:rPr>
        <w:t>ic field</w:t>
      </w:r>
      <w:r w:rsidRPr="00C4347B">
        <w:rPr>
          <w:rFonts w:eastAsiaTheme="minorHAnsi"/>
        </w:rPr>
        <w:t xml:space="preserve"> </w:t>
      </w:r>
      <w:r w:rsidR="00E61CE0">
        <w:rPr>
          <w:rFonts w:eastAsiaTheme="minorHAnsi"/>
        </w:rPr>
        <w:t xml:space="preserve">that contains </w:t>
      </w:r>
      <w:r w:rsidRPr="00C4347B">
        <w:rPr>
          <w:rFonts w:eastAsiaTheme="minorHAnsi"/>
        </w:rPr>
        <w:t>the 0.5</w:t>
      </w:r>
      <w:r w:rsidR="00E61CE0">
        <w:rPr>
          <w:rFonts w:eastAsiaTheme="minorHAnsi"/>
        </w:rPr>
        <w:t xml:space="preserve"> m</w:t>
      </w:r>
      <w:r w:rsidRPr="00C4347B">
        <w:rPr>
          <w:rFonts w:eastAsiaTheme="minorHAnsi"/>
        </w:rPr>
        <w:t>T field contour (5 G</w:t>
      </w:r>
      <w:r w:rsidR="00E61CE0">
        <w:rPr>
          <w:rFonts w:eastAsiaTheme="minorHAnsi"/>
        </w:rPr>
        <w:t xml:space="preserve"> </w:t>
      </w:r>
      <w:r w:rsidRPr="00C4347B">
        <w:rPr>
          <w:rFonts w:eastAsiaTheme="minorHAnsi"/>
        </w:rPr>
        <w:t xml:space="preserve">line). This volume is the region in which </w:t>
      </w:r>
      <w:r w:rsidR="00E61CE0">
        <w:rPr>
          <w:rFonts w:eastAsiaTheme="minorHAnsi"/>
        </w:rPr>
        <w:t>a person may be subject to</w:t>
      </w:r>
      <w:r w:rsidRPr="00C4347B">
        <w:rPr>
          <w:rFonts w:eastAsiaTheme="minorHAnsi"/>
        </w:rPr>
        <w:t xml:space="preserve"> a hazard </w:t>
      </w:r>
      <w:r w:rsidR="00E61CE0">
        <w:rPr>
          <w:rFonts w:eastAsiaTheme="minorHAnsi"/>
        </w:rPr>
        <w:t>due</w:t>
      </w:r>
      <w:r w:rsidRPr="00C4347B">
        <w:rPr>
          <w:rFonts w:eastAsiaTheme="minorHAnsi"/>
        </w:rPr>
        <w:t xml:space="preserve"> to the </w:t>
      </w:r>
      <w:r w:rsidR="00E61CE0">
        <w:rPr>
          <w:rFonts w:eastAsiaTheme="minorHAnsi"/>
        </w:rPr>
        <w:t>magnetic field.</w:t>
      </w:r>
    </w:p>
    <w:p w14:paraId="2F2B93AC" w14:textId="5BFEB2AE" w:rsidR="00BE5D7A" w:rsidRPr="005802A2" w:rsidRDefault="00BE5D7A" w:rsidP="00BE5D7A">
      <w:pPr>
        <w:spacing w:after="200" w:line="276" w:lineRule="auto"/>
        <w:jc w:val="left"/>
        <w:rPr>
          <w:rFonts w:eastAsiaTheme="minorHAnsi"/>
        </w:rPr>
      </w:pPr>
      <w:r w:rsidRPr="005802A2">
        <w:rPr>
          <w:rFonts w:eastAsiaTheme="minorHAnsi"/>
          <w:u w:val="single"/>
        </w:rPr>
        <w:t xml:space="preserve">Phosphenes </w:t>
      </w:r>
      <w:r w:rsidRPr="005802A2">
        <w:rPr>
          <w:rFonts w:eastAsiaTheme="minorHAnsi"/>
        </w:rPr>
        <w:t>- Brief spots of light brought on by eye movement that last for less than a few seconds.</w:t>
      </w:r>
    </w:p>
    <w:p w14:paraId="6174616A" w14:textId="46140EA7" w:rsidR="00B71DB7" w:rsidRPr="005802A2" w:rsidRDefault="00B71DB7" w:rsidP="00BE5D7A">
      <w:pPr>
        <w:spacing w:after="200" w:line="276" w:lineRule="auto"/>
        <w:jc w:val="left"/>
        <w:rPr>
          <w:rFonts w:eastAsiaTheme="minorHAnsi"/>
        </w:rPr>
      </w:pPr>
      <w:r w:rsidRPr="005802A2">
        <w:rPr>
          <w:rFonts w:eastAsiaTheme="minorHAnsi"/>
          <w:u w:val="single"/>
        </w:rPr>
        <w:t>Static magnetic field</w:t>
      </w:r>
      <w:r w:rsidR="00DA1311" w:rsidRPr="005802A2">
        <w:rPr>
          <w:rFonts w:eastAsiaTheme="minorHAnsi"/>
          <w:u w:val="single"/>
        </w:rPr>
        <w:t xml:space="preserve"> (SMF)</w:t>
      </w:r>
      <w:r w:rsidRPr="005802A2">
        <w:rPr>
          <w:rFonts w:eastAsiaTheme="minorHAnsi"/>
        </w:rPr>
        <w:t xml:space="preserve"> </w:t>
      </w:r>
      <w:r w:rsidR="00DA1311" w:rsidRPr="005802A2">
        <w:rPr>
          <w:rFonts w:eastAsiaTheme="minorHAnsi"/>
        </w:rPr>
        <w:t>–</w:t>
      </w:r>
      <w:r w:rsidRPr="005802A2">
        <w:rPr>
          <w:rFonts w:eastAsiaTheme="minorHAnsi"/>
        </w:rPr>
        <w:t xml:space="preserve"> </w:t>
      </w:r>
      <w:r w:rsidR="00DA1311" w:rsidRPr="005802A2">
        <w:rPr>
          <w:rFonts w:eastAsiaTheme="minorHAnsi"/>
        </w:rPr>
        <w:t>constant fields which do not change in intensity or direction over time, in contrast to a low and high frequency alternating field.  Hence, they have a frequency of 0 Hz.</w:t>
      </w:r>
    </w:p>
    <w:p w14:paraId="35CCFB43" w14:textId="0C51C44B" w:rsidR="00BE5D7A" w:rsidRPr="005802A2" w:rsidRDefault="00931BED" w:rsidP="00BE5D7A">
      <w:pPr>
        <w:spacing w:after="200" w:line="276" w:lineRule="auto"/>
        <w:jc w:val="left"/>
        <w:rPr>
          <w:rFonts w:eastAsiaTheme="minorHAnsi"/>
        </w:rPr>
      </w:pPr>
      <w:r w:rsidRPr="00395442">
        <w:rPr>
          <w:rFonts w:eastAsiaTheme="minorHAnsi"/>
          <w:u w:val="single"/>
        </w:rPr>
        <w:t xml:space="preserve">Tesla </w:t>
      </w:r>
      <w:r w:rsidRPr="00395442">
        <w:rPr>
          <w:rFonts w:eastAsiaTheme="minorHAnsi"/>
        </w:rPr>
        <w:t>–</w:t>
      </w:r>
      <w:r w:rsidR="00BE5D7A" w:rsidRPr="005802A2">
        <w:rPr>
          <w:rFonts w:eastAsiaTheme="minorHAnsi"/>
        </w:rPr>
        <w:t xml:space="preserve"> SI unit of magnetic flux density (B).  1 tesla = 10,000 gauss.  The symbols for tesla and gauss are T and G, respectively.</w:t>
      </w:r>
    </w:p>
    <w:p w14:paraId="13D001A6" w14:textId="77777777" w:rsidR="00BE5D7A" w:rsidRPr="005802A2" w:rsidRDefault="00BE5D7A" w:rsidP="00BE5D7A">
      <w:pPr>
        <w:spacing w:after="200" w:line="276" w:lineRule="auto"/>
        <w:jc w:val="left"/>
        <w:rPr>
          <w:rFonts w:eastAsiaTheme="minorHAnsi"/>
          <w:b/>
        </w:rPr>
      </w:pPr>
      <w:r w:rsidRPr="005802A2">
        <w:rPr>
          <w:rFonts w:eastAsiaTheme="minorHAnsi"/>
          <w:u w:val="single"/>
        </w:rPr>
        <w:t>Vestibular</w:t>
      </w:r>
      <w:r w:rsidRPr="005802A2">
        <w:rPr>
          <w:rFonts w:eastAsiaTheme="minorHAnsi"/>
        </w:rPr>
        <w:t xml:space="preserve"> - Having to do with the body's system for maintaining equilibrium.</w:t>
      </w:r>
    </w:p>
    <w:p w14:paraId="64CAC73C" w14:textId="77777777" w:rsidR="00554664" w:rsidRPr="00395442" w:rsidRDefault="00554664" w:rsidP="0026770D">
      <w:pPr>
        <w:pStyle w:val="Heading1"/>
        <w:keepNext w:val="0"/>
        <w:ind w:left="0" w:firstLine="0"/>
      </w:pPr>
      <w:bookmarkStart w:id="17" w:name="_Toc536792686"/>
      <w:bookmarkStart w:id="18" w:name="_Toc31195213"/>
      <w:bookmarkStart w:id="19" w:name="_Toc34399997"/>
      <w:bookmarkStart w:id="20" w:name="_Toc34401209"/>
      <w:bookmarkStart w:id="21" w:name="_Toc34643413"/>
      <w:bookmarkStart w:id="22" w:name="_Toc34651288"/>
      <w:bookmarkStart w:id="23" w:name="_Toc38982694"/>
      <w:bookmarkStart w:id="24" w:name="_Toc39063497"/>
      <w:bookmarkStart w:id="25" w:name="_Toc39065169"/>
      <w:bookmarkStart w:id="26" w:name="_Toc39067189"/>
      <w:bookmarkStart w:id="27" w:name="_Toc40359431"/>
      <w:bookmarkStart w:id="28" w:name="_Toc47430471"/>
      <w:bookmarkEnd w:id="17"/>
      <w:bookmarkEnd w:id="18"/>
      <w:bookmarkEnd w:id="19"/>
      <w:bookmarkEnd w:id="20"/>
      <w:bookmarkEnd w:id="21"/>
      <w:bookmarkEnd w:id="22"/>
      <w:bookmarkEnd w:id="23"/>
      <w:bookmarkEnd w:id="24"/>
      <w:bookmarkEnd w:id="25"/>
      <w:bookmarkEnd w:id="26"/>
      <w:bookmarkEnd w:id="27"/>
      <w:r w:rsidRPr="00395442">
        <w:t>RESPONSIBL</w:t>
      </w:r>
      <w:r w:rsidR="007D5A75" w:rsidRPr="00395442">
        <w:t>ILITIES</w:t>
      </w:r>
      <w:bookmarkEnd w:id="28"/>
    </w:p>
    <w:p w14:paraId="524A2ABA" w14:textId="77777777" w:rsidR="00C552C0" w:rsidRPr="00395442" w:rsidRDefault="00C552C0" w:rsidP="00E00D72">
      <w:pPr>
        <w:rPr>
          <w:bCs/>
          <w:color w:val="000000"/>
          <w:kern w:val="32"/>
        </w:rPr>
      </w:pPr>
    </w:p>
    <w:p w14:paraId="6610947C" w14:textId="13BF0E76" w:rsidR="00F27FE5" w:rsidRDefault="00F27FE5" w:rsidP="003E2A77">
      <w:pPr>
        <w:pStyle w:val="Heading2"/>
        <w:keepNext w:val="0"/>
        <w:rPr>
          <w:bCs w:val="0"/>
        </w:rPr>
      </w:pPr>
      <w:bookmarkStart w:id="29" w:name="_Toc47430472"/>
      <w:r w:rsidRPr="005802A2">
        <w:rPr>
          <w:bCs w:val="0"/>
        </w:rPr>
        <w:lastRenderedPageBreak/>
        <w:t>Division/Section</w:t>
      </w:r>
      <w:r w:rsidR="00FE6F9D">
        <w:rPr>
          <w:bCs w:val="0"/>
        </w:rPr>
        <w:t xml:space="preserve"> Heads or Project Managers</w:t>
      </w:r>
      <w:bookmarkEnd w:id="29"/>
    </w:p>
    <w:p w14:paraId="1152E67B" w14:textId="42473FAF" w:rsidR="0095275E" w:rsidRPr="005802A2" w:rsidRDefault="00FE6F9D" w:rsidP="005802A2">
      <w:pPr>
        <w:ind w:left="450"/>
        <w:rPr>
          <w:b/>
        </w:rPr>
      </w:pPr>
      <w:r>
        <w:t>Ensure the requirements of this chapter are fulfilled regarding SMF hazards including MR Status Management</w:t>
      </w:r>
      <w:r w:rsidR="006A6BE3">
        <w:t xml:space="preserve"> and MR Hazard Management</w:t>
      </w:r>
      <w:r>
        <w:t xml:space="preserve"> </w:t>
      </w:r>
      <w:r w:rsidR="006A6BE3">
        <w:t>implementations as necessary</w:t>
      </w:r>
      <w:r w:rsidR="0095275E">
        <w:t>.</w:t>
      </w:r>
      <w:r w:rsidR="00AA1DA7">
        <w:t xml:space="preserve">  Where appropriate, ensure SMF boundaries are determined by calculation ahead of commissioning, and by field measurement during commissioning.</w:t>
      </w:r>
    </w:p>
    <w:p w14:paraId="62E347A7" w14:textId="77777777" w:rsidR="00E7004C" w:rsidRPr="00395442" w:rsidRDefault="00E7004C" w:rsidP="005802A2">
      <w:pPr>
        <w:overflowPunct w:val="0"/>
        <w:autoSpaceDE w:val="0"/>
        <w:autoSpaceDN w:val="0"/>
        <w:adjustRightInd w:val="0"/>
        <w:ind w:right="36"/>
        <w:jc w:val="left"/>
        <w:textAlignment w:val="baseline"/>
        <w:rPr>
          <w:b/>
          <w:highlight w:val="yellow"/>
        </w:rPr>
      </w:pPr>
    </w:p>
    <w:p w14:paraId="4440AD9B" w14:textId="263BF4B2" w:rsidR="006E7F4F" w:rsidRPr="00395442" w:rsidRDefault="00540A98" w:rsidP="00540A98">
      <w:pPr>
        <w:pStyle w:val="Heading2"/>
        <w:keepNext w:val="0"/>
        <w:jc w:val="both"/>
      </w:pPr>
      <w:bookmarkStart w:id="30" w:name="_Toc47430473"/>
      <w:r w:rsidRPr="00395442">
        <w:t>Supervisor</w:t>
      </w:r>
      <w:bookmarkEnd w:id="30"/>
    </w:p>
    <w:p w14:paraId="3AEBC4E2" w14:textId="6B4B9684" w:rsidR="00E7004C" w:rsidRPr="005802A2" w:rsidRDefault="00540A98" w:rsidP="00540A98">
      <w:pPr>
        <w:ind w:left="450"/>
      </w:pPr>
      <w:r w:rsidRPr="005802A2">
        <w:t xml:space="preserve">Assist in identifying potential exposures and in implementing any necessary controls.  Supervisors have a key role in assuring that their </w:t>
      </w:r>
      <w:r w:rsidR="00E54377">
        <w:t>personnel</w:t>
      </w:r>
      <w:r w:rsidR="00A335B9" w:rsidRPr="005802A2">
        <w:t xml:space="preserve"> </w:t>
      </w:r>
      <w:r w:rsidRPr="005802A2">
        <w:t>adhere to requisite behaviors.</w:t>
      </w:r>
    </w:p>
    <w:p w14:paraId="7F0BFDC0" w14:textId="77777777" w:rsidR="00540A98" w:rsidRPr="00395442" w:rsidRDefault="00540A98" w:rsidP="00540A98">
      <w:pPr>
        <w:ind w:left="450"/>
      </w:pPr>
    </w:p>
    <w:p w14:paraId="01ECEAD2" w14:textId="0231D0D6" w:rsidR="006E7F4F" w:rsidRPr="00395442" w:rsidRDefault="00540A98" w:rsidP="003E2A77">
      <w:pPr>
        <w:pStyle w:val="Heading2"/>
        <w:keepNext w:val="0"/>
        <w:jc w:val="both"/>
        <w:rPr>
          <w:b w:val="0"/>
        </w:rPr>
      </w:pPr>
      <w:bookmarkStart w:id="31" w:name="_Toc47430474"/>
      <w:r w:rsidRPr="00395442">
        <w:t>ES</w:t>
      </w:r>
      <w:r w:rsidR="00F27FE5">
        <w:t>&amp;</w:t>
      </w:r>
      <w:r w:rsidRPr="00395442">
        <w:t>H</w:t>
      </w:r>
      <w:r w:rsidR="00F27FE5">
        <w:t xml:space="preserve"> Section</w:t>
      </w:r>
      <w:bookmarkEnd w:id="31"/>
    </w:p>
    <w:p w14:paraId="2D93C604" w14:textId="2BA7749F" w:rsidR="001E4839" w:rsidRPr="005802A2" w:rsidRDefault="00F27FE5" w:rsidP="00540A98">
      <w:pPr>
        <w:ind w:left="450"/>
      </w:pPr>
      <w:r w:rsidRPr="00C47B59">
        <w:t xml:space="preserve">Work with </w:t>
      </w:r>
      <w:r>
        <w:t>division/sections/projects</w:t>
      </w:r>
      <w:r w:rsidRPr="00C47B59">
        <w:t>, the Medical</w:t>
      </w:r>
      <w:r>
        <w:t xml:space="preserve"> Office</w:t>
      </w:r>
      <w:r w:rsidRPr="00C47B59">
        <w:t xml:space="preserve">, </w:t>
      </w:r>
      <w:r>
        <w:t xml:space="preserve">and </w:t>
      </w:r>
      <w:r w:rsidR="00A849F0" w:rsidRPr="00C47B59">
        <w:t>potentially exposed</w:t>
      </w:r>
      <w:r w:rsidRPr="00C47B59">
        <w:t xml:space="preserve"> personnel in assessing exposures, designing controls, training, and providing signs and labels.</w:t>
      </w:r>
      <w:r>
        <w:t xml:space="preserve">  </w:t>
      </w:r>
      <w:r w:rsidR="00540A98" w:rsidRPr="005802A2">
        <w:t>Assist affected divisions/sections in providing technical advice in this chapter, assessing exposures, designing controls, training, and providing signs and labels.</w:t>
      </w:r>
    </w:p>
    <w:p w14:paraId="07305808" w14:textId="77777777" w:rsidR="00540A98" w:rsidRPr="005802A2" w:rsidRDefault="00540A98" w:rsidP="00540A98">
      <w:pPr>
        <w:ind w:left="450"/>
      </w:pPr>
    </w:p>
    <w:p w14:paraId="47903F7F" w14:textId="4DDA34C6" w:rsidR="00540A98" w:rsidRPr="00395442" w:rsidRDefault="00CC6204" w:rsidP="00540A98">
      <w:pPr>
        <w:pStyle w:val="Heading2"/>
      </w:pPr>
      <w:bookmarkStart w:id="32" w:name="_Hlk43453363"/>
      <w:bookmarkStart w:id="33" w:name="_Toc47430475"/>
      <w:r>
        <w:t xml:space="preserve">Fermilab </w:t>
      </w:r>
      <w:r w:rsidR="00FB5B78">
        <w:t>Occupational Medic</w:t>
      </w:r>
      <w:r>
        <w:t>al Office</w:t>
      </w:r>
      <w:bookmarkEnd w:id="33"/>
    </w:p>
    <w:bookmarkEnd w:id="32"/>
    <w:p w14:paraId="2165C058" w14:textId="44C7808D" w:rsidR="00540A98" w:rsidRDefault="00B87084" w:rsidP="00540A98">
      <w:pPr>
        <w:ind w:left="450"/>
      </w:pPr>
      <w:r w:rsidRPr="00B87084">
        <w:t xml:space="preserve">Provide guidance to workers on potential hazards of </w:t>
      </w:r>
      <w:r>
        <w:t>SMF</w:t>
      </w:r>
      <w:r w:rsidRPr="00B87084">
        <w:t xml:space="preserve"> and interference with electronic medical devices, if requested.  In the event of a known or suspected </w:t>
      </w:r>
      <w:r>
        <w:t>SMF</w:t>
      </w:r>
      <w:r w:rsidRPr="00B87084">
        <w:t xml:space="preserve"> overexposure, conduct and exam and arrange for further exams as necessary.</w:t>
      </w:r>
    </w:p>
    <w:p w14:paraId="2BC65120" w14:textId="77777777" w:rsidR="00B87084" w:rsidRPr="00395442" w:rsidRDefault="00B87084" w:rsidP="00540A98">
      <w:pPr>
        <w:ind w:left="450"/>
      </w:pPr>
    </w:p>
    <w:p w14:paraId="3A68ECEE" w14:textId="5038B97C" w:rsidR="00540A98" w:rsidRPr="00395442" w:rsidRDefault="00540A98" w:rsidP="00540A98">
      <w:pPr>
        <w:pStyle w:val="Heading2"/>
        <w:keepNext w:val="0"/>
        <w:jc w:val="both"/>
        <w:rPr>
          <w:b w:val="0"/>
        </w:rPr>
      </w:pPr>
      <w:bookmarkStart w:id="34" w:name="_Toc47430476"/>
      <w:r w:rsidRPr="00395442">
        <w:t>Employee</w:t>
      </w:r>
      <w:r w:rsidR="00A335B9">
        <w:t>/User</w:t>
      </w:r>
      <w:bookmarkEnd w:id="34"/>
    </w:p>
    <w:p w14:paraId="66F432A3" w14:textId="066D62A2" w:rsidR="00540A98" w:rsidRPr="005802A2" w:rsidRDefault="00540A98" w:rsidP="005802A2">
      <w:pPr>
        <w:spacing w:after="200" w:line="276" w:lineRule="auto"/>
        <w:ind w:left="446"/>
      </w:pPr>
      <w:r w:rsidRPr="005802A2">
        <w:t>Assist in identifying potential exposures and in implementing any necessary controls.  Adhere to requisite safety behaviors.</w:t>
      </w:r>
    </w:p>
    <w:p w14:paraId="08516DE2" w14:textId="7C9F731A" w:rsidR="00FE3184" w:rsidRPr="00395442" w:rsidRDefault="00FE3184" w:rsidP="00FE3184">
      <w:pPr>
        <w:pStyle w:val="Heading1"/>
        <w:keepNext w:val="0"/>
        <w:ind w:left="0" w:firstLine="0"/>
      </w:pPr>
      <w:bookmarkStart w:id="35" w:name="_Toc31195220"/>
      <w:bookmarkStart w:id="36" w:name="_Toc34401216"/>
      <w:bookmarkStart w:id="37" w:name="_Toc34643420"/>
      <w:bookmarkStart w:id="38" w:name="_Toc34651295"/>
      <w:bookmarkStart w:id="39" w:name="_Toc38982701"/>
      <w:bookmarkStart w:id="40" w:name="_Toc39063504"/>
      <w:bookmarkStart w:id="41" w:name="_Toc39065176"/>
      <w:bookmarkStart w:id="42" w:name="_Toc39067196"/>
      <w:bookmarkStart w:id="43" w:name="_Toc40359438"/>
      <w:bookmarkStart w:id="44" w:name="_Toc31195221"/>
      <w:bookmarkStart w:id="45" w:name="_Toc34400004"/>
      <w:bookmarkStart w:id="46" w:name="_Toc34401217"/>
      <w:bookmarkStart w:id="47" w:name="_Toc34643421"/>
      <w:bookmarkStart w:id="48" w:name="_Toc34651296"/>
      <w:bookmarkStart w:id="49" w:name="_Toc38982702"/>
      <w:bookmarkStart w:id="50" w:name="_Toc39063505"/>
      <w:bookmarkStart w:id="51" w:name="_Toc39065177"/>
      <w:bookmarkStart w:id="52" w:name="_Toc39067197"/>
      <w:bookmarkStart w:id="53" w:name="_Toc40359439"/>
      <w:bookmarkStart w:id="54" w:name="_Toc4743047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95442">
        <w:t>PROCEDURES</w:t>
      </w:r>
      <w:bookmarkEnd w:id="54"/>
    </w:p>
    <w:p w14:paraId="17F04F63" w14:textId="6E5DA0E5" w:rsidR="00DB1241" w:rsidRPr="002565E1" w:rsidRDefault="00DB1241" w:rsidP="005802A2">
      <w:pPr>
        <w:pStyle w:val="Heading1"/>
        <w:keepNext w:val="0"/>
        <w:numPr>
          <w:ilvl w:val="0"/>
          <w:numId w:val="0"/>
        </w:numPr>
      </w:pPr>
    </w:p>
    <w:p w14:paraId="4DC6D49D" w14:textId="18F26FBF" w:rsidR="00F27FE5" w:rsidRDefault="006A6BE3" w:rsidP="00AB59C5">
      <w:pPr>
        <w:pStyle w:val="Heading2"/>
      </w:pPr>
      <w:bookmarkStart w:id="55" w:name="_Toc47430478"/>
      <w:r>
        <w:t>MR</w:t>
      </w:r>
      <w:r w:rsidR="00F27FE5">
        <w:t xml:space="preserve"> Boundaries Definitions and Hazards</w:t>
      </w:r>
      <w:bookmarkEnd w:id="55"/>
    </w:p>
    <w:p w14:paraId="08574F68" w14:textId="0192A0DA" w:rsidR="00F27FE5" w:rsidRPr="00C47B59" w:rsidRDefault="00F27FE5" w:rsidP="00F27FE5">
      <w:pPr>
        <w:spacing w:after="200" w:line="276" w:lineRule="auto"/>
        <w:jc w:val="left"/>
        <w:rPr>
          <w:rFonts w:eastAsiaTheme="min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31"/>
        <w:gridCol w:w="1979"/>
        <w:gridCol w:w="3510"/>
      </w:tblGrid>
      <w:tr w:rsidR="0029459A" w:rsidRPr="00395442" w14:paraId="6422C418" w14:textId="77777777" w:rsidTr="006A4124">
        <w:trPr>
          <w:trHeight w:val="170"/>
          <w:jc w:val="center"/>
        </w:trPr>
        <w:tc>
          <w:tcPr>
            <w:tcW w:w="3331" w:type="dxa"/>
            <w:shd w:val="clear" w:color="auto" w:fill="D9D9D9" w:themeFill="background1" w:themeFillShade="D9"/>
            <w:vAlign w:val="center"/>
          </w:tcPr>
          <w:p w14:paraId="188DF5D1" w14:textId="0EBB2C0E" w:rsidR="0029459A" w:rsidRPr="005802A2" w:rsidRDefault="0029459A">
            <w:pPr>
              <w:overflowPunct w:val="0"/>
              <w:autoSpaceDE w:val="0"/>
              <w:autoSpaceDN w:val="0"/>
              <w:adjustRightInd w:val="0"/>
              <w:ind w:right="36"/>
              <w:jc w:val="center"/>
              <w:textAlignment w:val="baseline"/>
              <w:rPr>
                <w:b/>
                <w:bCs/>
              </w:rPr>
            </w:pPr>
            <w:r w:rsidRPr="005802A2">
              <w:rPr>
                <w:b/>
                <w:bCs/>
              </w:rPr>
              <w:t>MR Boundaries</w:t>
            </w:r>
          </w:p>
        </w:tc>
        <w:tc>
          <w:tcPr>
            <w:tcW w:w="1979" w:type="dxa"/>
            <w:shd w:val="clear" w:color="auto" w:fill="D9D9D9" w:themeFill="background1" w:themeFillShade="D9"/>
            <w:vAlign w:val="center"/>
          </w:tcPr>
          <w:p w14:paraId="3FD546BE" w14:textId="105F4969" w:rsidR="0029459A" w:rsidRPr="00931BED" w:rsidRDefault="0029459A">
            <w:pPr>
              <w:overflowPunct w:val="0"/>
              <w:autoSpaceDE w:val="0"/>
              <w:autoSpaceDN w:val="0"/>
              <w:adjustRightInd w:val="0"/>
              <w:ind w:right="36"/>
              <w:jc w:val="center"/>
              <w:textAlignment w:val="baseline"/>
              <w:rPr>
                <w:b/>
                <w:bCs/>
              </w:rPr>
            </w:pPr>
            <w:r>
              <w:rPr>
                <w:b/>
                <w:bCs/>
              </w:rPr>
              <w:t>Definition</w:t>
            </w:r>
          </w:p>
        </w:tc>
        <w:tc>
          <w:tcPr>
            <w:tcW w:w="3510" w:type="dxa"/>
            <w:shd w:val="clear" w:color="auto" w:fill="D9D9D9" w:themeFill="background1" w:themeFillShade="D9"/>
            <w:vAlign w:val="center"/>
          </w:tcPr>
          <w:p w14:paraId="191C0CC6" w14:textId="4B646FD3" w:rsidR="0029459A" w:rsidRPr="005802A2" w:rsidRDefault="0029459A">
            <w:pPr>
              <w:overflowPunct w:val="0"/>
              <w:autoSpaceDE w:val="0"/>
              <w:autoSpaceDN w:val="0"/>
              <w:adjustRightInd w:val="0"/>
              <w:ind w:right="36"/>
              <w:jc w:val="center"/>
              <w:textAlignment w:val="baseline"/>
              <w:rPr>
                <w:b/>
                <w:bCs/>
              </w:rPr>
            </w:pPr>
            <w:r w:rsidRPr="005802A2">
              <w:rPr>
                <w:b/>
                <w:bCs/>
              </w:rPr>
              <w:t>Hazard</w:t>
            </w:r>
          </w:p>
        </w:tc>
      </w:tr>
      <w:tr w:rsidR="0029459A" w:rsidRPr="00395442" w14:paraId="3BF7BD68" w14:textId="77777777" w:rsidTr="006A4124">
        <w:trPr>
          <w:jc w:val="center"/>
        </w:trPr>
        <w:tc>
          <w:tcPr>
            <w:tcW w:w="3331" w:type="dxa"/>
            <w:vAlign w:val="center"/>
          </w:tcPr>
          <w:p w14:paraId="24C9C774" w14:textId="77777777" w:rsidR="0029459A" w:rsidRPr="00C47B59" w:rsidRDefault="0029459A">
            <w:pPr>
              <w:overflowPunct w:val="0"/>
              <w:autoSpaceDE w:val="0"/>
              <w:autoSpaceDN w:val="0"/>
              <w:adjustRightInd w:val="0"/>
              <w:ind w:right="36"/>
              <w:jc w:val="center"/>
              <w:textAlignment w:val="baseline"/>
            </w:pPr>
            <w:r w:rsidRPr="00C47B59">
              <w:t>MR</w:t>
            </w:r>
            <w:r>
              <w:t xml:space="preserve"> </w:t>
            </w:r>
            <w:r w:rsidRPr="00C47B59">
              <w:t>Environment</w:t>
            </w:r>
            <w:r>
              <w:t xml:space="preserve"> Boundary</w:t>
            </w:r>
          </w:p>
        </w:tc>
        <w:tc>
          <w:tcPr>
            <w:tcW w:w="1979" w:type="dxa"/>
            <w:vAlign w:val="center"/>
          </w:tcPr>
          <w:p w14:paraId="660C0C26" w14:textId="5F6DCCB3" w:rsidR="0029459A" w:rsidRDefault="0029459A" w:rsidP="005802A2">
            <w:pPr>
              <w:overflowPunct w:val="0"/>
              <w:autoSpaceDE w:val="0"/>
              <w:autoSpaceDN w:val="0"/>
              <w:adjustRightInd w:val="0"/>
              <w:ind w:right="36"/>
              <w:jc w:val="center"/>
              <w:textAlignment w:val="baseline"/>
            </w:pPr>
            <w:r>
              <w:t>5 G (0.5 mT)</w:t>
            </w:r>
          </w:p>
        </w:tc>
        <w:tc>
          <w:tcPr>
            <w:tcW w:w="3510" w:type="dxa"/>
            <w:vAlign w:val="center"/>
          </w:tcPr>
          <w:p w14:paraId="42907C27" w14:textId="39BA05C4" w:rsidR="0029459A" w:rsidRPr="00C47B59" w:rsidRDefault="0029459A" w:rsidP="005802A2">
            <w:pPr>
              <w:overflowPunct w:val="0"/>
              <w:autoSpaceDE w:val="0"/>
              <w:autoSpaceDN w:val="0"/>
              <w:adjustRightInd w:val="0"/>
              <w:ind w:right="36"/>
              <w:jc w:val="center"/>
              <w:textAlignment w:val="baseline"/>
            </w:pPr>
            <w:r w:rsidRPr="00C47B59">
              <w:t>Implanted metallic or electronic medical device interference</w:t>
            </w:r>
          </w:p>
        </w:tc>
      </w:tr>
      <w:tr w:rsidR="0029459A" w:rsidRPr="00395442" w14:paraId="7F428160" w14:textId="77777777" w:rsidTr="006A4124">
        <w:trPr>
          <w:trHeight w:val="332"/>
          <w:jc w:val="center"/>
        </w:trPr>
        <w:tc>
          <w:tcPr>
            <w:tcW w:w="3331" w:type="dxa"/>
            <w:vAlign w:val="center"/>
          </w:tcPr>
          <w:p w14:paraId="2A2A256F" w14:textId="77777777" w:rsidR="0029459A" w:rsidRPr="00C47B59" w:rsidRDefault="0029459A">
            <w:pPr>
              <w:overflowPunct w:val="0"/>
              <w:autoSpaceDE w:val="0"/>
              <w:autoSpaceDN w:val="0"/>
              <w:adjustRightInd w:val="0"/>
              <w:ind w:right="36"/>
              <w:jc w:val="center"/>
              <w:textAlignment w:val="baseline"/>
            </w:pPr>
            <w:r w:rsidRPr="00C47B59">
              <w:t>MR</w:t>
            </w:r>
            <w:r>
              <w:t xml:space="preserve"> </w:t>
            </w:r>
            <w:r w:rsidRPr="00C47B59">
              <w:t xml:space="preserve">Projectile </w:t>
            </w:r>
            <w:r>
              <w:t>Boundary- Low</w:t>
            </w:r>
          </w:p>
        </w:tc>
        <w:tc>
          <w:tcPr>
            <w:tcW w:w="1979" w:type="dxa"/>
            <w:vAlign w:val="center"/>
          </w:tcPr>
          <w:p w14:paraId="2C2B5BB7" w14:textId="0FD93CD4" w:rsidR="0029459A" w:rsidRDefault="0029459A" w:rsidP="005802A2">
            <w:pPr>
              <w:overflowPunct w:val="0"/>
              <w:autoSpaceDE w:val="0"/>
              <w:autoSpaceDN w:val="0"/>
              <w:adjustRightInd w:val="0"/>
              <w:ind w:right="36"/>
              <w:jc w:val="center"/>
              <w:textAlignment w:val="baseline"/>
            </w:pPr>
            <w:r>
              <w:t xml:space="preserve">≥ </w:t>
            </w:r>
            <w:r w:rsidR="005802A2">
              <w:t>30</w:t>
            </w:r>
            <w:r>
              <w:t xml:space="preserve"> G (</w:t>
            </w:r>
            <w:r w:rsidR="00A335B9">
              <w:t>3</w:t>
            </w:r>
            <w:r>
              <w:t xml:space="preserve"> mT)</w:t>
            </w:r>
          </w:p>
        </w:tc>
        <w:tc>
          <w:tcPr>
            <w:tcW w:w="3510" w:type="dxa"/>
            <w:vAlign w:val="center"/>
          </w:tcPr>
          <w:p w14:paraId="27B90005" w14:textId="6C7A2DB3" w:rsidR="0029459A" w:rsidRPr="00C47B59" w:rsidRDefault="0029459A" w:rsidP="005802A2">
            <w:pPr>
              <w:overflowPunct w:val="0"/>
              <w:autoSpaceDE w:val="0"/>
              <w:autoSpaceDN w:val="0"/>
              <w:adjustRightInd w:val="0"/>
              <w:ind w:right="36"/>
              <w:jc w:val="center"/>
              <w:textAlignment w:val="baseline"/>
            </w:pPr>
            <w:r>
              <w:t>Projectile</w:t>
            </w:r>
            <w:r w:rsidRPr="00C47B59">
              <w:t xml:space="preserve"> object hazard</w:t>
            </w:r>
          </w:p>
        </w:tc>
      </w:tr>
      <w:tr w:rsidR="0029459A" w:rsidRPr="00395442" w14:paraId="13829915" w14:textId="77777777" w:rsidTr="006A4124">
        <w:trPr>
          <w:trHeight w:val="332"/>
          <w:jc w:val="center"/>
        </w:trPr>
        <w:tc>
          <w:tcPr>
            <w:tcW w:w="3331" w:type="dxa"/>
            <w:vAlign w:val="center"/>
          </w:tcPr>
          <w:p w14:paraId="356A3D9B" w14:textId="77777777" w:rsidR="0029459A" w:rsidRPr="00395442" w:rsidRDefault="0029459A">
            <w:pPr>
              <w:overflowPunct w:val="0"/>
              <w:autoSpaceDE w:val="0"/>
              <w:autoSpaceDN w:val="0"/>
              <w:adjustRightInd w:val="0"/>
              <w:ind w:right="36"/>
              <w:jc w:val="center"/>
              <w:textAlignment w:val="baseline"/>
            </w:pPr>
            <w:r>
              <w:t>MR Projectile Boundary- High</w:t>
            </w:r>
          </w:p>
        </w:tc>
        <w:tc>
          <w:tcPr>
            <w:tcW w:w="1979" w:type="dxa"/>
            <w:vAlign w:val="center"/>
          </w:tcPr>
          <w:p w14:paraId="065293BE" w14:textId="357DFD4C" w:rsidR="0029459A" w:rsidRDefault="0029459A" w:rsidP="005802A2">
            <w:pPr>
              <w:overflowPunct w:val="0"/>
              <w:autoSpaceDE w:val="0"/>
              <w:autoSpaceDN w:val="0"/>
              <w:adjustRightInd w:val="0"/>
              <w:ind w:right="36"/>
              <w:jc w:val="center"/>
              <w:textAlignment w:val="baseline"/>
            </w:pPr>
            <w:r>
              <w:t>≥ 300 G (3</w:t>
            </w:r>
            <w:r w:rsidR="00A335B9">
              <w:t>0</w:t>
            </w:r>
            <w:r>
              <w:t xml:space="preserve"> mT)</w:t>
            </w:r>
          </w:p>
        </w:tc>
        <w:tc>
          <w:tcPr>
            <w:tcW w:w="3510" w:type="dxa"/>
            <w:vAlign w:val="center"/>
          </w:tcPr>
          <w:p w14:paraId="336DB9ED" w14:textId="26381C32" w:rsidR="0029459A" w:rsidRDefault="0029459A" w:rsidP="005802A2">
            <w:pPr>
              <w:overflowPunct w:val="0"/>
              <w:autoSpaceDE w:val="0"/>
              <w:autoSpaceDN w:val="0"/>
              <w:adjustRightInd w:val="0"/>
              <w:ind w:right="36"/>
              <w:jc w:val="center"/>
              <w:textAlignment w:val="baseline"/>
            </w:pPr>
            <w:r>
              <w:t>Projectile</w:t>
            </w:r>
            <w:r w:rsidRPr="00C47B59">
              <w:t xml:space="preserve"> object hazard</w:t>
            </w:r>
          </w:p>
        </w:tc>
      </w:tr>
      <w:tr w:rsidR="0029459A" w:rsidRPr="00395442" w14:paraId="0C91D0E5" w14:textId="77777777" w:rsidTr="006A4124">
        <w:trPr>
          <w:jc w:val="center"/>
        </w:trPr>
        <w:tc>
          <w:tcPr>
            <w:tcW w:w="3331" w:type="dxa"/>
            <w:vAlign w:val="center"/>
          </w:tcPr>
          <w:p w14:paraId="14378842" w14:textId="77777777" w:rsidR="0029459A" w:rsidRPr="00C47B59" w:rsidRDefault="0029459A">
            <w:pPr>
              <w:overflowPunct w:val="0"/>
              <w:autoSpaceDE w:val="0"/>
              <w:autoSpaceDN w:val="0"/>
              <w:adjustRightInd w:val="0"/>
              <w:ind w:right="36"/>
              <w:jc w:val="center"/>
              <w:textAlignment w:val="baseline"/>
            </w:pPr>
            <w:r w:rsidRPr="00C47B59">
              <w:t>MR</w:t>
            </w:r>
            <w:r>
              <w:t xml:space="preserve"> Ceiling Boundary</w:t>
            </w:r>
          </w:p>
        </w:tc>
        <w:tc>
          <w:tcPr>
            <w:tcW w:w="1979" w:type="dxa"/>
            <w:vAlign w:val="center"/>
          </w:tcPr>
          <w:p w14:paraId="31D691B4" w14:textId="71782033" w:rsidR="0029459A" w:rsidRDefault="0029459A" w:rsidP="005802A2">
            <w:pPr>
              <w:overflowPunct w:val="0"/>
              <w:autoSpaceDE w:val="0"/>
              <w:autoSpaceDN w:val="0"/>
              <w:adjustRightInd w:val="0"/>
              <w:ind w:right="36"/>
              <w:jc w:val="center"/>
              <w:textAlignment w:val="baseline"/>
            </w:pPr>
            <w:r>
              <w:t>≥ 20,000 G (2 T)</w:t>
            </w:r>
          </w:p>
        </w:tc>
        <w:tc>
          <w:tcPr>
            <w:tcW w:w="3510" w:type="dxa"/>
            <w:vAlign w:val="center"/>
          </w:tcPr>
          <w:p w14:paraId="24C74AEB" w14:textId="519E80DB" w:rsidR="0029459A" w:rsidRPr="00C47B59" w:rsidRDefault="0029459A" w:rsidP="005802A2">
            <w:pPr>
              <w:overflowPunct w:val="0"/>
              <w:autoSpaceDE w:val="0"/>
              <w:autoSpaceDN w:val="0"/>
              <w:adjustRightInd w:val="0"/>
              <w:ind w:right="36"/>
              <w:jc w:val="center"/>
              <w:textAlignment w:val="baseline"/>
            </w:pPr>
            <w:r w:rsidRPr="00C47B59">
              <w:t>Health hazard posed to the general working population</w:t>
            </w:r>
          </w:p>
        </w:tc>
      </w:tr>
    </w:tbl>
    <w:p w14:paraId="57E35526" w14:textId="77777777" w:rsidR="00D728E0" w:rsidRPr="00D728E0" w:rsidRDefault="00D728E0" w:rsidP="00D728E0"/>
    <w:p w14:paraId="7E5139FA" w14:textId="7F8D37DF" w:rsidR="00DE1494" w:rsidRPr="00395442" w:rsidRDefault="00DE1494" w:rsidP="005802A2">
      <w:pPr>
        <w:pStyle w:val="Heading2"/>
      </w:pPr>
      <w:bookmarkStart w:id="56" w:name="_Toc47430479"/>
      <w:r w:rsidRPr="00395442">
        <w:t>MR Environment</w:t>
      </w:r>
      <w:r w:rsidR="00842D0B">
        <w:t xml:space="preserve"> Boundary</w:t>
      </w:r>
      <w:bookmarkEnd w:id="56"/>
    </w:p>
    <w:p w14:paraId="272A5C62" w14:textId="1BFF4ADD" w:rsidR="00DE1494" w:rsidRPr="00395442" w:rsidRDefault="002058CF" w:rsidP="00DE1494">
      <w:pPr>
        <w:ind w:left="540"/>
      </w:pPr>
      <w:r>
        <w:t>Inside</w:t>
      </w:r>
      <w:r w:rsidR="00DA744C">
        <w:t xml:space="preserve"> t</w:t>
      </w:r>
      <w:r w:rsidR="007137AD" w:rsidRPr="00395442">
        <w:t xml:space="preserve">he MR </w:t>
      </w:r>
      <w:r w:rsidR="00476E8C" w:rsidRPr="00395442">
        <w:t>E</w:t>
      </w:r>
      <w:r w:rsidR="007137AD" w:rsidRPr="00395442">
        <w:t xml:space="preserve">nvironment </w:t>
      </w:r>
      <w:r w:rsidR="00A335B9">
        <w:t>B</w:t>
      </w:r>
      <w:r w:rsidR="00DA744C">
        <w:t xml:space="preserve">oundary, conditions </w:t>
      </w:r>
      <w:r w:rsidR="007137AD" w:rsidRPr="00395442">
        <w:t>may be unsafe for individuals with certain biomedical implants or devices</w:t>
      </w:r>
      <w:r w:rsidR="009B2010">
        <w:t xml:space="preserve">.  </w:t>
      </w:r>
      <w:r w:rsidR="007137AD" w:rsidRPr="00395442">
        <w:t xml:space="preserve"> </w:t>
      </w:r>
      <w:r w:rsidR="00F736D1" w:rsidRPr="00395442">
        <w:t>Electronically activated m</w:t>
      </w:r>
      <w:r w:rsidR="00DE1494" w:rsidRPr="00395442">
        <w:t xml:space="preserve">edical devices </w:t>
      </w:r>
      <w:r w:rsidR="00F736D1" w:rsidRPr="00395442">
        <w:t xml:space="preserve">can be subject to excessive heating and the induction of electrical currents (pacemakers, </w:t>
      </w:r>
      <w:r w:rsidR="00476E8C" w:rsidRPr="00395442">
        <w:t xml:space="preserve">implantable cardioverter </w:t>
      </w:r>
      <w:r w:rsidR="00476E8C" w:rsidRPr="00395442">
        <w:lastRenderedPageBreak/>
        <w:t xml:space="preserve">defibrillators, </w:t>
      </w:r>
      <w:r w:rsidR="00B3222E" w:rsidRPr="00395442">
        <w:t>neurostimulators, etc.)</w:t>
      </w:r>
      <w:r w:rsidR="000F0F63" w:rsidRPr="00395442">
        <w:t xml:space="preserve"> </w:t>
      </w:r>
      <w:r w:rsidR="00842D0B">
        <w:t>Fe</w:t>
      </w:r>
      <w:r w:rsidR="009B2010">
        <w:t>rromagnetic implants can also be affected d</w:t>
      </w:r>
      <w:r w:rsidR="009B2010" w:rsidRPr="00395442">
        <w:t>ue to movement or dislodgment</w:t>
      </w:r>
      <w:r w:rsidR="009B2010">
        <w:t>.</w:t>
      </w:r>
    </w:p>
    <w:p w14:paraId="263C4AE5" w14:textId="72120755" w:rsidR="000F0F63" w:rsidRPr="00395442" w:rsidRDefault="000F0F63" w:rsidP="00DE1494">
      <w:pPr>
        <w:ind w:left="540"/>
      </w:pPr>
    </w:p>
    <w:p w14:paraId="37C63513" w14:textId="02716E02" w:rsidR="000F0F63" w:rsidRPr="00395442" w:rsidRDefault="000F0F63" w:rsidP="00DE1494">
      <w:pPr>
        <w:ind w:left="540"/>
      </w:pPr>
      <w:r w:rsidRPr="00395442">
        <w:t xml:space="preserve">The MR Environment </w:t>
      </w:r>
      <w:r w:rsidR="00842D0B">
        <w:t>boundary</w:t>
      </w:r>
      <w:r w:rsidRPr="00395442">
        <w:t xml:space="preserve"> aligns with the ACGIH Occupational Exposure Limit for medical device wearers </w:t>
      </w:r>
      <w:r w:rsidR="00D3384C">
        <w:t>presented</w:t>
      </w:r>
      <w:r w:rsidRPr="00395442">
        <w:t xml:space="preserve"> in </w:t>
      </w:r>
      <w:r w:rsidRPr="00D86390">
        <w:t>Section 4.</w:t>
      </w:r>
      <w:r w:rsidR="00F5266A" w:rsidRPr="00C83D88">
        <w:t>1</w:t>
      </w:r>
      <w:r w:rsidRPr="00395442">
        <w:t xml:space="preserve">.  MR Environment </w:t>
      </w:r>
      <w:r w:rsidR="00D3384C">
        <w:t>Boundaries</w:t>
      </w:r>
      <w:r w:rsidR="00D3384C" w:rsidRPr="00395442">
        <w:t xml:space="preserve"> </w:t>
      </w:r>
      <w:r w:rsidRPr="00395442">
        <w:t xml:space="preserve">shall be clearly </w:t>
      </w:r>
      <w:r w:rsidR="00D3384C">
        <w:t xml:space="preserve">posted with </w:t>
      </w:r>
      <w:r w:rsidRPr="00395442">
        <w:t>sign</w:t>
      </w:r>
      <w:r w:rsidR="00D3384C">
        <w:t>age</w:t>
      </w:r>
      <w:r w:rsidRPr="00395442">
        <w:t xml:space="preserve">.  Examples of signage are presented in </w:t>
      </w:r>
      <w:r w:rsidRPr="00C83D88">
        <w:t xml:space="preserve">Section </w:t>
      </w:r>
      <w:r w:rsidR="00EB0F87" w:rsidRPr="00C83D88">
        <w:t>4</w:t>
      </w:r>
      <w:r w:rsidR="00CE082B" w:rsidRPr="00C83D88">
        <w:t>.3</w:t>
      </w:r>
      <w:r w:rsidRPr="00395442">
        <w:t xml:space="preserve">. </w:t>
      </w:r>
    </w:p>
    <w:p w14:paraId="38B04768" w14:textId="5D1CDFE5" w:rsidR="000F0F63" w:rsidRPr="00EA2E6A" w:rsidRDefault="000F0F63" w:rsidP="005802A2">
      <w:pPr>
        <w:ind w:left="540"/>
      </w:pPr>
      <w:r w:rsidRPr="00EA2E6A">
        <w:t xml:space="preserve"> </w:t>
      </w:r>
    </w:p>
    <w:p w14:paraId="6A116A07" w14:textId="058ADFB4" w:rsidR="00636B74" w:rsidRPr="005802A2" w:rsidRDefault="00C41ED4" w:rsidP="00C83D88">
      <w:pPr>
        <w:pStyle w:val="Heading2"/>
      </w:pPr>
      <w:bookmarkStart w:id="57" w:name="_Toc47430480"/>
      <w:r w:rsidRPr="00EA2E6A">
        <w:t xml:space="preserve">MR Projectile </w:t>
      </w:r>
      <w:r w:rsidR="00CE082B">
        <w:t>Boundaries</w:t>
      </w:r>
      <w:bookmarkEnd w:id="57"/>
    </w:p>
    <w:p w14:paraId="3DAEA733" w14:textId="19074F93" w:rsidR="00D420EE" w:rsidRDefault="00A121DC" w:rsidP="007A7C6F">
      <w:pPr>
        <w:ind w:left="540"/>
      </w:pPr>
      <w:r w:rsidRPr="005802A2">
        <w:t>Projectile i</w:t>
      </w:r>
      <w:r w:rsidR="00DF33AB" w:rsidRPr="005802A2">
        <w:t xml:space="preserve">ncidents may occur when a </w:t>
      </w:r>
      <w:r w:rsidR="0038078C" w:rsidRPr="005802A2">
        <w:t>ferro</w:t>
      </w:r>
      <w:r w:rsidR="0038078C">
        <w:t>us</w:t>
      </w:r>
      <w:r w:rsidR="0038078C" w:rsidRPr="005802A2">
        <w:t xml:space="preserve"> </w:t>
      </w:r>
      <w:r w:rsidR="00DF33AB" w:rsidRPr="005802A2">
        <w:t xml:space="preserve">object is </w:t>
      </w:r>
      <w:r w:rsidR="00601305">
        <w:t>subject to</w:t>
      </w:r>
      <w:r w:rsidR="00DF33AB" w:rsidRPr="005802A2">
        <w:t xml:space="preserve"> a </w:t>
      </w:r>
      <w:r w:rsidR="00DA1311" w:rsidRPr="005802A2">
        <w:t>SMF</w:t>
      </w:r>
      <w:r w:rsidR="00196B80" w:rsidRPr="005802A2">
        <w:t xml:space="preserve">.  </w:t>
      </w:r>
      <w:r w:rsidR="0038078C">
        <w:t xml:space="preserve">Ferrous </w:t>
      </w:r>
      <w:r w:rsidR="00601305">
        <w:t>o</w:t>
      </w:r>
      <w:r w:rsidR="00DF33AB" w:rsidRPr="005802A2">
        <w:t xml:space="preserve">bjects </w:t>
      </w:r>
      <w:r w:rsidR="00601305">
        <w:t>in a magnetic field</w:t>
      </w:r>
      <w:r w:rsidR="004A0EF2">
        <w:t xml:space="preserve"> </w:t>
      </w:r>
      <w:r w:rsidR="00601305">
        <w:t xml:space="preserve">may </w:t>
      </w:r>
      <w:r w:rsidR="00DF33AB" w:rsidRPr="005802A2">
        <w:t xml:space="preserve">experience </w:t>
      </w:r>
      <w:r w:rsidR="00BE3B2E" w:rsidRPr="005802A2">
        <w:t xml:space="preserve">a </w:t>
      </w:r>
      <w:r w:rsidR="00DF33AB" w:rsidRPr="005802A2">
        <w:t>rapidly increasing velocit</w:t>
      </w:r>
      <w:r w:rsidR="00BE3B2E" w:rsidRPr="005802A2">
        <w:t>y</w:t>
      </w:r>
      <w:r w:rsidR="00601305">
        <w:t xml:space="preserve"> due to magnetic forces </w:t>
      </w:r>
      <w:r w:rsidR="00D420EE">
        <w:t xml:space="preserve">acting </w:t>
      </w:r>
      <w:r w:rsidR="00601305">
        <w:t>on the object</w:t>
      </w:r>
      <w:r w:rsidR="00BE3B2E" w:rsidRPr="005802A2">
        <w:t xml:space="preserve">.  For that reason, an impact </w:t>
      </w:r>
      <w:r w:rsidR="008447D6" w:rsidRPr="005802A2">
        <w:t>could cause injury to people or body parts in the path of the object, even for small objects.</w:t>
      </w:r>
      <w:r w:rsidR="00276EA5" w:rsidRPr="005802A2">
        <w:t xml:space="preserve">  </w:t>
      </w:r>
    </w:p>
    <w:p w14:paraId="735C7BF3" w14:textId="77777777" w:rsidR="00D420EE" w:rsidRDefault="00D420EE" w:rsidP="007A7C6F">
      <w:pPr>
        <w:ind w:left="540"/>
      </w:pPr>
    </w:p>
    <w:p w14:paraId="3F3C993D" w14:textId="4089AFDF" w:rsidR="007760F5" w:rsidRDefault="008F1B14" w:rsidP="00C83D88">
      <w:pPr>
        <w:ind w:left="540"/>
      </w:pPr>
      <w:r w:rsidRPr="005802A2">
        <w:t xml:space="preserve">There is currently no consensus standard </w:t>
      </w:r>
      <w:r w:rsidR="00D420EE">
        <w:t xml:space="preserve">for </w:t>
      </w:r>
      <w:r w:rsidR="0038078C" w:rsidRPr="005802A2">
        <w:t>ferro</w:t>
      </w:r>
      <w:r w:rsidR="0038078C">
        <w:t>us</w:t>
      </w:r>
      <w:r w:rsidR="0038078C" w:rsidRPr="005802A2">
        <w:t xml:space="preserve"> </w:t>
      </w:r>
      <w:r w:rsidR="00D420EE">
        <w:t xml:space="preserve">projectile </w:t>
      </w:r>
      <w:r w:rsidRPr="005802A2">
        <w:t>hazards.</w:t>
      </w:r>
      <w:r>
        <w:t xml:space="preserve">  The thresholds used for the </w:t>
      </w:r>
      <w:r w:rsidR="00601305">
        <w:t xml:space="preserve">MR Projectile Boundaries in this chapter are based on guidance developed for use with </w:t>
      </w:r>
      <w:r w:rsidR="00601305" w:rsidRPr="00601305">
        <w:t xml:space="preserve">magnetic resonance </w:t>
      </w:r>
      <w:r w:rsidR="00601305">
        <w:t xml:space="preserve">(MRI) </w:t>
      </w:r>
      <w:r w:rsidR="00601305" w:rsidRPr="00601305">
        <w:t>scanners</w:t>
      </w:r>
      <w:r w:rsidR="00601305">
        <w:t xml:space="preserve"> and studies performed at Fermilab.</w:t>
      </w:r>
    </w:p>
    <w:p w14:paraId="27E10AEC" w14:textId="77777777" w:rsidR="007A7C6F" w:rsidRDefault="007A7C6F" w:rsidP="00C83D88">
      <w:pPr>
        <w:ind w:left="540"/>
      </w:pPr>
    </w:p>
    <w:p w14:paraId="1F479EA6" w14:textId="7B402658" w:rsidR="005802A2" w:rsidRDefault="00782D24" w:rsidP="00C83D88">
      <w:pPr>
        <w:ind w:left="540"/>
      </w:pPr>
      <w:r>
        <w:t>Above 30</w:t>
      </w:r>
      <w:r w:rsidR="00D420EE">
        <w:t xml:space="preserve"> </w:t>
      </w:r>
      <w:r>
        <w:t>G (3</w:t>
      </w:r>
      <w:r w:rsidR="00C86573">
        <w:t xml:space="preserve"> </w:t>
      </w:r>
      <w:r>
        <w:t>mT), there can be a kinetic hazard from ferrous objects due to the force experienced in the magnetic field.  Typically, frictional forces and conventional support structures are adequate to balance this force in the range of 30</w:t>
      </w:r>
      <w:r w:rsidR="00D420EE">
        <w:t xml:space="preserve"> </w:t>
      </w:r>
      <w:r>
        <w:t>G (3 mT) to 300</w:t>
      </w:r>
      <w:r w:rsidR="00D420EE">
        <w:t xml:space="preserve"> </w:t>
      </w:r>
      <w:r>
        <w:t>G (30 mT)</w:t>
      </w:r>
      <w:r w:rsidR="00C97E80">
        <w:t>;</w:t>
      </w:r>
      <w:r>
        <w:t xml:space="preserve"> however, the use of ferrous materials in that </w:t>
      </w:r>
      <w:r w:rsidR="00C97E80">
        <w:t xml:space="preserve">field strength </w:t>
      </w:r>
      <w:r>
        <w:t>range need</w:t>
      </w:r>
      <w:r w:rsidR="00C97E80">
        <w:t>s</w:t>
      </w:r>
      <w:r>
        <w:t xml:space="preserve"> to be evaluate</w:t>
      </w:r>
      <w:r w:rsidR="00C97E80">
        <w:t>d</w:t>
      </w:r>
      <w:r>
        <w:t xml:space="preserve"> to</w:t>
      </w:r>
      <w:r w:rsidR="00C97E80">
        <w:t xml:space="preserve"> understand the hazard and</w:t>
      </w:r>
      <w:r>
        <w:t xml:space="preserve"> ensure </w:t>
      </w:r>
      <w:r w:rsidR="00C97E80">
        <w:t>the necessary controls are in place to control the hazard</w:t>
      </w:r>
      <w:r>
        <w:t>.  Beyond 300</w:t>
      </w:r>
      <w:r w:rsidR="002A60CB">
        <w:t xml:space="preserve"> </w:t>
      </w:r>
      <w:r>
        <w:t xml:space="preserve">G (30 mT), the </w:t>
      </w:r>
      <w:r w:rsidR="00C97E80">
        <w:t>risk</w:t>
      </w:r>
      <w:r>
        <w:t xml:space="preserve"> increases for both </w:t>
      </w:r>
      <w:r w:rsidR="00C97E80">
        <w:t>small and large objects, and additional controls on materials and personnel access into areas where the field is greater than 300</w:t>
      </w:r>
      <w:r w:rsidR="002A60CB">
        <w:t xml:space="preserve"> </w:t>
      </w:r>
      <w:r w:rsidR="00C97E80">
        <w:t>G (30 mT) are required.</w:t>
      </w:r>
    </w:p>
    <w:p w14:paraId="13C09D21" w14:textId="5F58B595" w:rsidR="00636B74" w:rsidRPr="005802A2" w:rsidRDefault="00636B74" w:rsidP="00636B74">
      <w:pPr>
        <w:ind w:right="36"/>
        <w:jc w:val="left"/>
      </w:pPr>
    </w:p>
    <w:p w14:paraId="21F5BB1F" w14:textId="4D48CCD5" w:rsidR="00395442" w:rsidRPr="00395442" w:rsidRDefault="00395442" w:rsidP="00395442">
      <w:pPr>
        <w:pStyle w:val="Heading2"/>
        <w:keepNext w:val="0"/>
        <w:tabs>
          <w:tab w:val="clear" w:pos="774"/>
          <w:tab w:val="num" w:pos="450"/>
        </w:tabs>
        <w:ind w:left="504" w:hanging="234"/>
        <w:jc w:val="both"/>
      </w:pPr>
      <w:bookmarkStart w:id="58" w:name="_Toc47430481"/>
      <w:r w:rsidRPr="00395442">
        <w:t xml:space="preserve">MR </w:t>
      </w:r>
      <w:r w:rsidR="00FB7C0F">
        <w:t xml:space="preserve">Ceiling </w:t>
      </w:r>
      <w:r w:rsidR="002848C0">
        <w:t>Boundary</w:t>
      </w:r>
      <w:bookmarkEnd w:id="58"/>
    </w:p>
    <w:p w14:paraId="28FF77C2" w14:textId="39597AC9" w:rsidR="00C649A0" w:rsidRDefault="00781342" w:rsidP="005B6A71">
      <w:pPr>
        <w:overflowPunct w:val="0"/>
        <w:autoSpaceDE w:val="0"/>
        <w:autoSpaceDN w:val="0"/>
        <w:adjustRightInd w:val="0"/>
        <w:ind w:left="504" w:right="36"/>
        <w:jc w:val="left"/>
        <w:textAlignment w:val="baseline"/>
      </w:pPr>
      <w:r>
        <w:t xml:space="preserve">The MR </w:t>
      </w:r>
      <w:r w:rsidR="002848C0">
        <w:t>Ceiling Boundary</w:t>
      </w:r>
      <w:r>
        <w:t xml:space="preserve"> aligns with the ACGIH </w:t>
      </w:r>
      <w:r w:rsidR="00D519C3">
        <w:t>Occupational Exposure Limit (OEL)</w:t>
      </w:r>
      <w:r>
        <w:t xml:space="preserve"> </w:t>
      </w:r>
      <w:r w:rsidR="002848C0">
        <w:t xml:space="preserve">Ceiling </w:t>
      </w:r>
      <w:r>
        <w:t xml:space="preserve">for </w:t>
      </w:r>
      <w:r w:rsidR="00D519C3">
        <w:t>w</w:t>
      </w:r>
      <w:r>
        <w:t xml:space="preserve">hole </w:t>
      </w:r>
      <w:r w:rsidR="00D519C3">
        <w:t>b</w:t>
      </w:r>
      <w:r>
        <w:t xml:space="preserve">ody exposure to </w:t>
      </w:r>
      <w:r w:rsidR="00EA2E6A">
        <w:t xml:space="preserve">SMFs </w:t>
      </w:r>
      <w:r w:rsidR="00E318E8">
        <w:t>presented</w:t>
      </w:r>
      <w:r w:rsidR="007A27F8">
        <w:t xml:space="preserve"> in </w:t>
      </w:r>
      <w:r w:rsidR="007A27F8" w:rsidRPr="00C83D88">
        <w:t xml:space="preserve">Section </w:t>
      </w:r>
      <w:r w:rsidR="00EB0F87" w:rsidRPr="00C83D88">
        <w:t>4</w:t>
      </w:r>
      <w:r w:rsidR="002848C0" w:rsidRPr="00C83D88">
        <w:t>.1</w:t>
      </w:r>
      <w:r>
        <w:t xml:space="preserve">.  Areas </w:t>
      </w:r>
      <w:r w:rsidR="00B422BE">
        <w:t xml:space="preserve">within </w:t>
      </w:r>
      <w:r w:rsidR="002565E1">
        <w:t>the Boundary are</w:t>
      </w:r>
      <w:r>
        <w:t xml:space="preserve"> those that </w:t>
      </w:r>
      <w:r w:rsidR="00D519C3">
        <w:t xml:space="preserve">meet or </w:t>
      </w:r>
      <w:r>
        <w:t xml:space="preserve">exceed the </w:t>
      </w:r>
      <w:r w:rsidR="00D519C3">
        <w:t>OEL</w:t>
      </w:r>
      <w:r>
        <w:t>.</w:t>
      </w:r>
      <w:r w:rsidR="007A27F8">
        <w:t xml:space="preserve">  </w:t>
      </w:r>
      <w:r w:rsidR="00395442">
        <w:t>MR</w:t>
      </w:r>
      <w:r w:rsidR="00395442" w:rsidRPr="005802A2">
        <w:t xml:space="preserve"> </w:t>
      </w:r>
      <w:r w:rsidR="003B1C88">
        <w:t>Ceiling Boundary</w:t>
      </w:r>
      <w:r w:rsidR="00395442">
        <w:t xml:space="preserve"> </w:t>
      </w:r>
      <w:r w:rsidR="00D519C3">
        <w:t>procedure</w:t>
      </w:r>
      <w:r w:rsidR="00EA2E6A">
        <w:t>s</w:t>
      </w:r>
      <w:r w:rsidR="00D519C3">
        <w:t xml:space="preserve"> </w:t>
      </w:r>
      <w:r>
        <w:t>will be location dependent</w:t>
      </w:r>
      <w:r w:rsidR="00395442" w:rsidRPr="005802A2">
        <w:t>.</w:t>
      </w:r>
      <w:r w:rsidR="005B6A71">
        <w:t xml:space="preserve">  </w:t>
      </w:r>
      <w:r w:rsidR="00395442" w:rsidRPr="005802A2">
        <w:t xml:space="preserve">Contact your DSO for assistance </w:t>
      </w:r>
      <w:r w:rsidR="005B6A71">
        <w:t>in</w:t>
      </w:r>
      <w:r w:rsidR="00395442" w:rsidRPr="005802A2">
        <w:t xml:space="preserve"> developing </w:t>
      </w:r>
      <w:r w:rsidR="00D519C3">
        <w:t>a MR</w:t>
      </w:r>
      <w:r w:rsidR="00395442" w:rsidRPr="005802A2">
        <w:t xml:space="preserve"> </w:t>
      </w:r>
      <w:r w:rsidR="005B6A71">
        <w:t>Ceiling Boundary procedure</w:t>
      </w:r>
      <w:r w:rsidR="00395442" w:rsidRPr="005802A2">
        <w:t>.</w:t>
      </w:r>
    </w:p>
    <w:p w14:paraId="38F7459C" w14:textId="77777777" w:rsidR="007E6928" w:rsidRDefault="007E6928" w:rsidP="007E6928">
      <w:pPr>
        <w:overflowPunct w:val="0"/>
        <w:autoSpaceDE w:val="0"/>
        <w:autoSpaceDN w:val="0"/>
        <w:adjustRightInd w:val="0"/>
        <w:ind w:left="504" w:right="36"/>
        <w:jc w:val="left"/>
        <w:textAlignment w:val="baseline"/>
      </w:pPr>
    </w:p>
    <w:p w14:paraId="2102B6CC" w14:textId="01363736" w:rsidR="003B1C88" w:rsidRDefault="006037A4" w:rsidP="007E6928">
      <w:pPr>
        <w:pStyle w:val="Heading2"/>
        <w:keepNext w:val="0"/>
        <w:tabs>
          <w:tab w:val="clear" w:pos="774"/>
          <w:tab w:val="num" w:pos="450"/>
        </w:tabs>
        <w:ind w:left="504" w:hanging="234"/>
        <w:jc w:val="both"/>
      </w:pPr>
      <w:bookmarkStart w:id="59" w:name="_Toc47430482"/>
      <w:r w:rsidRPr="00395442">
        <w:t xml:space="preserve">MR </w:t>
      </w:r>
      <w:r>
        <w:t>Hazard Management</w:t>
      </w:r>
      <w:bookmarkEnd w:id="59"/>
    </w:p>
    <w:p w14:paraId="17F0B550" w14:textId="1DB68306" w:rsidR="007E6928" w:rsidRDefault="00D425A7" w:rsidP="008D235F">
      <w:pPr>
        <w:ind w:left="540"/>
      </w:pPr>
      <w:r>
        <w:t xml:space="preserve">SMF hazards </w:t>
      </w:r>
      <w:r w:rsidR="00CB259E">
        <w:t xml:space="preserve">change depending on </w:t>
      </w:r>
      <w:r w:rsidR="00205349">
        <w:t xml:space="preserve">the field strength.  </w:t>
      </w:r>
      <w:r>
        <w:t xml:space="preserve">As field strength increases </w:t>
      </w:r>
      <w:r w:rsidR="00CB259E">
        <w:t>additional hazards are introduced, and c</w:t>
      </w:r>
      <w:r>
        <w:t>ontrols are scaled up</w:t>
      </w:r>
      <w:r w:rsidR="00CB259E">
        <w:t xml:space="preserve"> to mitigate those hazards.  The MR Hazard Management table below lists the required controls for each Magnetic Region.</w:t>
      </w:r>
    </w:p>
    <w:p w14:paraId="7DCD4DF3" w14:textId="40B44F4B" w:rsidR="00FC2ABA" w:rsidRDefault="00FC2ABA">
      <w:pPr>
        <w:jc w:val="left"/>
      </w:pPr>
      <w:r>
        <w:br w:type="page"/>
      </w:r>
    </w:p>
    <w:tbl>
      <w:tblPr>
        <w:tblStyle w:val="TableGrid"/>
        <w:tblW w:w="1043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55"/>
        <w:gridCol w:w="1980"/>
        <w:gridCol w:w="6300"/>
      </w:tblGrid>
      <w:tr w:rsidR="003B1C88" w:rsidRPr="00395442" w14:paraId="27D18037" w14:textId="77777777" w:rsidTr="005802A2">
        <w:trPr>
          <w:jc w:val="center"/>
        </w:trPr>
        <w:tc>
          <w:tcPr>
            <w:tcW w:w="10435" w:type="dxa"/>
            <w:gridSpan w:val="3"/>
            <w:shd w:val="clear" w:color="auto" w:fill="D9D9D9" w:themeFill="background1" w:themeFillShade="D9"/>
            <w:vAlign w:val="center"/>
          </w:tcPr>
          <w:p w14:paraId="56918614" w14:textId="01C85B6A" w:rsidR="003B1C88" w:rsidRPr="005802A2" w:rsidRDefault="003B1C88" w:rsidP="005802A2">
            <w:pPr>
              <w:overflowPunct w:val="0"/>
              <w:autoSpaceDE w:val="0"/>
              <w:autoSpaceDN w:val="0"/>
              <w:adjustRightInd w:val="0"/>
              <w:ind w:right="36"/>
              <w:jc w:val="center"/>
              <w:textAlignment w:val="baseline"/>
              <w:rPr>
                <w:b/>
                <w:bCs/>
              </w:rPr>
            </w:pPr>
            <w:r w:rsidRPr="005802A2">
              <w:rPr>
                <w:b/>
                <w:bCs/>
              </w:rPr>
              <w:lastRenderedPageBreak/>
              <w:t xml:space="preserve">MR Hazard </w:t>
            </w:r>
            <w:r w:rsidR="006037A4" w:rsidRPr="005802A2">
              <w:rPr>
                <w:b/>
                <w:bCs/>
              </w:rPr>
              <w:t>Management</w:t>
            </w:r>
          </w:p>
        </w:tc>
      </w:tr>
      <w:tr w:rsidR="003B1C88" w:rsidRPr="00395442" w14:paraId="06D212CC" w14:textId="77777777" w:rsidTr="005802A2">
        <w:trPr>
          <w:jc w:val="center"/>
        </w:trPr>
        <w:tc>
          <w:tcPr>
            <w:tcW w:w="2155" w:type="dxa"/>
            <w:shd w:val="clear" w:color="auto" w:fill="F2F2F2" w:themeFill="background1" w:themeFillShade="F2"/>
            <w:vAlign w:val="center"/>
          </w:tcPr>
          <w:p w14:paraId="2B307461" w14:textId="4CC431C7" w:rsidR="003B1C88" w:rsidRPr="005802A2" w:rsidRDefault="00CB259E">
            <w:pPr>
              <w:overflowPunct w:val="0"/>
              <w:autoSpaceDE w:val="0"/>
              <w:autoSpaceDN w:val="0"/>
              <w:adjustRightInd w:val="0"/>
              <w:ind w:right="36"/>
              <w:jc w:val="center"/>
              <w:textAlignment w:val="baseline"/>
              <w:rPr>
                <w:b/>
                <w:bCs/>
              </w:rPr>
            </w:pPr>
            <w:r w:rsidRPr="005802A2">
              <w:rPr>
                <w:b/>
                <w:bCs/>
              </w:rPr>
              <w:t>Magnetic Region</w:t>
            </w:r>
          </w:p>
        </w:tc>
        <w:tc>
          <w:tcPr>
            <w:tcW w:w="1980" w:type="dxa"/>
            <w:shd w:val="clear" w:color="auto" w:fill="F2F2F2" w:themeFill="background1" w:themeFillShade="F2"/>
            <w:vAlign w:val="center"/>
          </w:tcPr>
          <w:p w14:paraId="7CED8221" w14:textId="129FB4A9" w:rsidR="003B1C88" w:rsidRPr="005802A2" w:rsidRDefault="003B1C88" w:rsidP="005802A2">
            <w:pPr>
              <w:overflowPunct w:val="0"/>
              <w:autoSpaceDE w:val="0"/>
              <w:autoSpaceDN w:val="0"/>
              <w:adjustRightInd w:val="0"/>
              <w:ind w:right="36"/>
              <w:jc w:val="center"/>
              <w:textAlignment w:val="baseline"/>
              <w:rPr>
                <w:b/>
                <w:bCs/>
              </w:rPr>
            </w:pPr>
            <w:r w:rsidRPr="005802A2">
              <w:rPr>
                <w:b/>
                <w:bCs/>
              </w:rPr>
              <w:t>Static Magnetic Field</w:t>
            </w:r>
          </w:p>
        </w:tc>
        <w:tc>
          <w:tcPr>
            <w:tcW w:w="6300" w:type="dxa"/>
            <w:shd w:val="clear" w:color="auto" w:fill="F2F2F2" w:themeFill="background1" w:themeFillShade="F2"/>
            <w:vAlign w:val="center"/>
          </w:tcPr>
          <w:p w14:paraId="3EA62479" w14:textId="77777777" w:rsidR="003B1C88" w:rsidRPr="005802A2" w:rsidRDefault="003B1C88" w:rsidP="005802A2">
            <w:pPr>
              <w:overflowPunct w:val="0"/>
              <w:autoSpaceDE w:val="0"/>
              <w:autoSpaceDN w:val="0"/>
              <w:adjustRightInd w:val="0"/>
              <w:ind w:right="36"/>
              <w:jc w:val="center"/>
              <w:textAlignment w:val="baseline"/>
              <w:rPr>
                <w:b/>
                <w:bCs/>
              </w:rPr>
            </w:pPr>
            <w:r w:rsidRPr="005802A2">
              <w:rPr>
                <w:b/>
                <w:bCs/>
              </w:rPr>
              <w:t>Required Controls</w:t>
            </w:r>
          </w:p>
        </w:tc>
      </w:tr>
      <w:tr w:rsidR="003B1C88" w:rsidRPr="00395442" w14:paraId="3ECFEF01" w14:textId="77777777" w:rsidTr="005802A2">
        <w:trPr>
          <w:jc w:val="center"/>
        </w:trPr>
        <w:tc>
          <w:tcPr>
            <w:tcW w:w="2155" w:type="dxa"/>
            <w:shd w:val="clear" w:color="auto" w:fill="auto"/>
          </w:tcPr>
          <w:p w14:paraId="4427D19C" w14:textId="2DD3332E" w:rsidR="003B1C88" w:rsidRPr="00395442" w:rsidRDefault="003B1C88" w:rsidP="006171ED">
            <w:pPr>
              <w:overflowPunct w:val="0"/>
              <w:autoSpaceDE w:val="0"/>
              <w:autoSpaceDN w:val="0"/>
              <w:adjustRightInd w:val="0"/>
              <w:ind w:right="36"/>
              <w:jc w:val="center"/>
              <w:textAlignment w:val="baseline"/>
            </w:pPr>
            <w:r>
              <w:t>MR Environment</w:t>
            </w:r>
            <w:r w:rsidR="003E2DA5">
              <w:t xml:space="preserve"> Boundary</w:t>
            </w:r>
          </w:p>
        </w:tc>
        <w:tc>
          <w:tcPr>
            <w:tcW w:w="1980" w:type="dxa"/>
            <w:shd w:val="clear" w:color="auto" w:fill="auto"/>
            <w:vAlign w:val="center"/>
          </w:tcPr>
          <w:p w14:paraId="6F9A31C3" w14:textId="77777777" w:rsidR="00F527C6" w:rsidRDefault="003B1C88" w:rsidP="006171ED">
            <w:pPr>
              <w:overflowPunct w:val="0"/>
              <w:autoSpaceDE w:val="0"/>
              <w:autoSpaceDN w:val="0"/>
              <w:adjustRightInd w:val="0"/>
              <w:ind w:right="36"/>
              <w:jc w:val="center"/>
              <w:textAlignment w:val="baseline"/>
            </w:pPr>
            <w:r>
              <w:t>5</w:t>
            </w:r>
            <w:r w:rsidR="0027002A">
              <w:t xml:space="preserve"> G </w:t>
            </w:r>
          </w:p>
          <w:p w14:paraId="46A11BAC" w14:textId="38C84A8F" w:rsidR="003B1C88" w:rsidRPr="00395442" w:rsidRDefault="0027002A" w:rsidP="006171ED">
            <w:pPr>
              <w:overflowPunct w:val="0"/>
              <w:autoSpaceDE w:val="0"/>
              <w:autoSpaceDN w:val="0"/>
              <w:adjustRightInd w:val="0"/>
              <w:ind w:right="36"/>
              <w:jc w:val="center"/>
              <w:textAlignment w:val="baseline"/>
            </w:pPr>
            <w:r>
              <w:t>(0.5 mT)</w:t>
            </w:r>
          </w:p>
        </w:tc>
        <w:tc>
          <w:tcPr>
            <w:tcW w:w="6300" w:type="dxa"/>
            <w:shd w:val="clear" w:color="auto" w:fill="auto"/>
            <w:vAlign w:val="center"/>
          </w:tcPr>
          <w:p w14:paraId="2DAF72B2" w14:textId="46214E3D" w:rsidR="003B1C88" w:rsidRPr="00B32BDB" w:rsidRDefault="00B32BDB" w:rsidP="00B32BDB">
            <w:pPr>
              <w:pStyle w:val="ListParagraph"/>
              <w:numPr>
                <w:ilvl w:val="0"/>
                <w:numId w:val="37"/>
              </w:numPr>
              <w:jc w:val="left"/>
            </w:pPr>
            <w:r>
              <w:t xml:space="preserve">Medical device </w:t>
            </w:r>
            <w:r w:rsidR="008D235F">
              <w:t>DANGER</w:t>
            </w:r>
            <w:r>
              <w:t xml:space="preserve"> sign posted at boundary</w:t>
            </w:r>
          </w:p>
        </w:tc>
      </w:tr>
      <w:tr w:rsidR="003B1C88" w:rsidRPr="00395442" w14:paraId="792B028F" w14:textId="77777777" w:rsidTr="005802A2">
        <w:trPr>
          <w:jc w:val="center"/>
        </w:trPr>
        <w:tc>
          <w:tcPr>
            <w:tcW w:w="2155" w:type="dxa"/>
            <w:vAlign w:val="center"/>
          </w:tcPr>
          <w:p w14:paraId="4A10D91F" w14:textId="77777777" w:rsidR="003B1C88" w:rsidRPr="00395442" w:rsidRDefault="003B1C88" w:rsidP="006171ED">
            <w:pPr>
              <w:overflowPunct w:val="0"/>
              <w:autoSpaceDE w:val="0"/>
              <w:autoSpaceDN w:val="0"/>
              <w:adjustRightInd w:val="0"/>
              <w:ind w:right="36"/>
              <w:jc w:val="center"/>
              <w:textAlignment w:val="baseline"/>
            </w:pPr>
            <w:r>
              <w:t>MR Projectile Boundary: Low</w:t>
            </w:r>
          </w:p>
        </w:tc>
        <w:tc>
          <w:tcPr>
            <w:tcW w:w="1980" w:type="dxa"/>
            <w:vAlign w:val="center"/>
          </w:tcPr>
          <w:p w14:paraId="394FBE20" w14:textId="72D340E9" w:rsidR="003B1C88" w:rsidRDefault="00C97E80">
            <w:pPr>
              <w:overflowPunct w:val="0"/>
              <w:autoSpaceDE w:val="0"/>
              <w:autoSpaceDN w:val="0"/>
              <w:adjustRightInd w:val="0"/>
              <w:ind w:right="36"/>
              <w:jc w:val="center"/>
              <w:textAlignment w:val="baseline"/>
            </w:pPr>
            <w:r>
              <w:t>30</w:t>
            </w:r>
            <w:r w:rsidR="00F527C6">
              <w:t xml:space="preserve"> G</w:t>
            </w:r>
          </w:p>
          <w:p w14:paraId="0366595A" w14:textId="76E12C1C" w:rsidR="00F527C6" w:rsidRPr="005802A2" w:rsidRDefault="00F527C6" w:rsidP="005802A2">
            <w:pPr>
              <w:overflowPunct w:val="0"/>
              <w:autoSpaceDE w:val="0"/>
              <w:autoSpaceDN w:val="0"/>
              <w:adjustRightInd w:val="0"/>
              <w:ind w:right="36"/>
              <w:jc w:val="center"/>
              <w:textAlignment w:val="baseline"/>
            </w:pPr>
            <w:r>
              <w:t>(</w:t>
            </w:r>
            <w:r w:rsidR="00C97E80">
              <w:t>3</w:t>
            </w:r>
            <w:r>
              <w:t xml:space="preserve"> mT)</w:t>
            </w:r>
          </w:p>
        </w:tc>
        <w:tc>
          <w:tcPr>
            <w:tcW w:w="6300" w:type="dxa"/>
            <w:vAlign w:val="center"/>
          </w:tcPr>
          <w:p w14:paraId="087E7211" w14:textId="60F772B3" w:rsidR="003B1C88" w:rsidRPr="00395442" w:rsidRDefault="003B1C88" w:rsidP="005802A2">
            <w:pPr>
              <w:pStyle w:val="ListParagraph"/>
              <w:numPr>
                <w:ilvl w:val="0"/>
                <w:numId w:val="23"/>
              </w:numPr>
              <w:overflowPunct w:val="0"/>
              <w:autoSpaceDE w:val="0"/>
              <w:autoSpaceDN w:val="0"/>
              <w:adjustRightInd w:val="0"/>
              <w:ind w:right="36"/>
              <w:jc w:val="left"/>
              <w:textAlignment w:val="baseline"/>
            </w:pPr>
            <w:r w:rsidRPr="00395442">
              <w:t>Ferro</w:t>
            </w:r>
            <w:r w:rsidR="009C3EF9">
              <w:t>us</w:t>
            </w:r>
            <w:r w:rsidR="008D235F">
              <w:t xml:space="preserve"> Material</w:t>
            </w:r>
            <w:r w:rsidRPr="00395442">
              <w:t xml:space="preserve"> </w:t>
            </w:r>
            <w:r w:rsidR="00C97E80">
              <w:t>C</w:t>
            </w:r>
            <w:r w:rsidR="008D235F">
              <w:t>AUTION</w:t>
            </w:r>
            <w:r w:rsidR="001776A4">
              <w:t xml:space="preserve"> </w:t>
            </w:r>
            <w:r w:rsidR="00B32BDB">
              <w:t>sign posted at boundary</w:t>
            </w:r>
          </w:p>
          <w:p w14:paraId="75EABBA2" w14:textId="77777777" w:rsidR="003B1C88" w:rsidRPr="005802A2" w:rsidRDefault="003B1C88" w:rsidP="006171ED">
            <w:pPr>
              <w:pStyle w:val="ListParagraph"/>
              <w:numPr>
                <w:ilvl w:val="0"/>
                <w:numId w:val="23"/>
              </w:numPr>
              <w:overflowPunct w:val="0"/>
              <w:autoSpaceDE w:val="0"/>
              <w:autoSpaceDN w:val="0"/>
              <w:adjustRightInd w:val="0"/>
              <w:ind w:right="36"/>
              <w:jc w:val="left"/>
              <w:textAlignment w:val="baseline"/>
            </w:pPr>
            <w:r w:rsidRPr="005802A2">
              <w:t>A documented safety a</w:t>
            </w:r>
            <w:r w:rsidRPr="00395442">
              <w:t>nalysis of the workspace</w:t>
            </w:r>
          </w:p>
          <w:p w14:paraId="492D1E4D" w14:textId="77777777" w:rsidR="003B1C88" w:rsidRPr="005802A2" w:rsidRDefault="003B1C88" w:rsidP="006171ED">
            <w:pPr>
              <w:pStyle w:val="ListParagraph"/>
              <w:numPr>
                <w:ilvl w:val="1"/>
                <w:numId w:val="23"/>
              </w:numPr>
              <w:overflowPunct w:val="0"/>
              <w:autoSpaceDE w:val="0"/>
              <w:autoSpaceDN w:val="0"/>
              <w:adjustRightInd w:val="0"/>
              <w:ind w:right="36"/>
              <w:jc w:val="left"/>
              <w:textAlignment w:val="baseline"/>
            </w:pPr>
            <w:r w:rsidRPr="005802A2">
              <w:t>Completed prior to operation</w:t>
            </w:r>
          </w:p>
          <w:p w14:paraId="62F051E7" w14:textId="335E4C92" w:rsidR="003B1C88" w:rsidRPr="005802A2" w:rsidRDefault="003B1C88" w:rsidP="006171ED">
            <w:pPr>
              <w:pStyle w:val="ListParagraph"/>
              <w:numPr>
                <w:ilvl w:val="1"/>
                <w:numId w:val="23"/>
              </w:numPr>
              <w:overflowPunct w:val="0"/>
              <w:autoSpaceDE w:val="0"/>
              <w:autoSpaceDN w:val="0"/>
              <w:adjustRightInd w:val="0"/>
              <w:ind w:right="36"/>
              <w:jc w:val="left"/>
              <w:textAlignment w:val="baseline"/>
            </w:pPr>
            <w:r w:rsidRPr="005802A2">
              <w:t xml:space="preserve">Provided to the </w:t>
            </w:r>
            <w:r w:rsidR="00C90DDC">
              <w:t>DSO</w:t>
            </w:r>
            <w:r w:rsidRPr="005802A2">
              <w:t xml:space="preserve"> for review</w:t>
            </w:r>
          </w:p>
          <w:p w14:paraId="3882F445" w14:textId="77777777" w:rsidR="003B1C88" w:rsidRPr="005802A2" w:rsidRDefault="003B1C88" w:rsidP="006171ED">
            <w:pPr>
              <w:pStyle w:val="ListParagraph"/>
              <w:numPr>
                <w:ilvl w:val="1"/>
                <w:numId w:val="23"/>
              </w:numPr>
              <w:overflowPunct w:val="0"/>
              <w:autoSpaceDE w:val="0"/>
              <w:autoSpaceDN w:val="0"/>
              <w:adjustRightInd w:val="0"/>
              <w:ind w:right="36"/>
              <w:jc w:val="left"/>
              <w:textAlignment w:val="baseline"/>
            </w:pPr>
            <w:r w:rsidRPr="005802A2">
              <w:t>Include consideration for materials in the area</w:t>
            </w:r>
          </w:p>
          <w:p w14:paraId="12E1BD62" w14:textId="77777777" w:rsidR="003B1C88" w:rsidRPr="00395442" w:rsidRDefault="003B1C88" w:rsidP="005802A2">
            <w:pPr>
              <w:pStyle w:val="ListParagraph"/>
              <w:numPr>
                <w:ilvl w:val="1"/>
                <w:numId w:val="23"/>
              </w:numPr>
              <w:overflowPunct w:val="0"/>
              <w:autoSpaceDE w:val="0"/>
              <w:autoSpaceDN w:val="0"/>
              <w:adjustRightInd w:val="0"/>
              <w:ind w:right="36"/>
              <w:jc w:val="left"/>
              <w:textAlignment w:val="baseline"/>
            </w:pPr>
            <w:r w:rsidRPr="005802A2">
              <w:t>Include an assessment of consequence</w:t>
            </w:r>
          </w:p>
        </w:tc>
      </w:tr>
      <w:tr w:rsidR="003B1C88" w:rsidRPr="00395442" w14:paraId="55486046" w14:textId="77777777" w:rsidTr="005802A2">
        <w:trPr>
          <w:jc w:val="center"/>
        </w:trPr>
        <w:tc>
          <w:tcPr>
            <w:tcW w:w="2155" w:type="dxa"/>
            <w:vAlign w:val="center"/>
          </w:tcPr>
          <w:p w14:paraId="020E1D5E" w14:textId="77777777" w:rsidR="003B1C88" w:rsidRPr="00395442" w:rsidRDefault="003B1C88" w:rsidP="006171ED">
            <w:pPr>
              <w:overflowPunct w:val="0"/>
              <w:autoSpaceDE w:val="0"/>
              <w:autoSpaceDN w:val="0"/>
              <w:adjustRightInd w:val="0"/>
              <w:ind w:right="36"/>
              <w:jc w:val="center"/>
              <w:textAlignment w:val="baseline"/>
            </w:pPr>
            <w:r>
              <w:t>MR Projectile Boundary: High</w:t>
            </w:r>
          </w:p>
        </w:tc>
        <w:tc>
          <w:tcPr>
            <w:tcW w:w="1980" w:type="dxa"/>
            <w:vAlign w:val="center"/>
          </w:tcPr>
          <w:p w14:paraId="6B1DB7B5" w14:textId="611306CD" w:rsidR="003B1C88" w:rsidRDefault="00B32BDB">
            <w:pPr>
              <w:overflowPunct w:val="0"/>
              <w:autoSpaceDE w:val="0"/>
              <w:autoSpaceDN w:val="0"/>
              <w:adjustRightInd w:val="0"/>
              <w:ind w:right="36"/>
              <w:jc w:val="center"/>
              <w:textAlignment w:val="baseline"/>
            </w:pPr>
            <w:r>
              <w:t>300</w:t>
            </w:r>
            <w:r w:rsidR="00F527C6">
              <w:t xml:space="preserve"> G</w:t>
            </w:r>
          </w:p>
          <w:p w14:paraId="72894489" w14:textId="5889B9D9" w:rsidR="00F527C6" w:rsidRPr="005802A2" w:rsidRDefault="00F527C6" w:rsidP="005802A2">
            <w:pPr>
              <w:overflowPunct w:val="0"/>
              <w:autoSpaceDE w:val="0"/>
              <w:autoSpaceDN w:val="0"/>
              <w:adjustRightInd w:val="0"/>
              <w:ind w:right="36"/>
              <w:jc w:val="center"/>
              <w:textAlignment w:val="baseline"/>
            </w:pPr>
            <w:r>
              <w:t>(3</w:t>
            </w:r>
            <w:r w:rsidR="00E318E8">
              <w:t>0</w:t>
            </w:r>
            <w:r>
              <w:t xml:space="preserve"> mT)</w:t>
            </w:r>
          </w:p>
        </w:tc>
        <w:tc>
          <w:tcPr>
            <w:tcW w:w="6300" w:type="dxa"/>
            <w:vAlign w:val="center"/>
          </w:tcPr>
          <w:p w14:paraId="7FD18A33" w14:textId="77777777" w:rsidR="009C3EF9" w:rsidRDefault="009C3EF9" w:rsidP="009C3EF9">
            <w:pPr>
              <w:pStyle w:val="ListParagraph"/>
              <w:numPr>
                <w:ilvl w:val="0"/>
                <w:numId w:val="38"/>
              </w:numPr>
              <w:overflowPunct w:val="0"/>
              <w:autoSpaceDE w:val="0"/>
              <w:autoSpaceDN w:val="0"/>
              <w:adjustRightInd w:val="0"/>
              <w:ind w:right="36"/>
              <w:jc w:val="left"/>
              <w:textAlignment w:val="baseline"/>
            </w:pPr>
            <w:r>
              <w:t>Ferrous Material DANGER sign posted at boundary</w:t>
            </w:r>
          </w:p>
          <w:p w14:paraId="5479169A" w14:textId="5A1C03FB" w:rsidR="00E318E8" w:rsidRPr="005802A2" w:rsidRDefault="00E318E8" w:rsidP="009C3EF9">
            <w:pPr>
              <w:pStyle w:val="ListParagraph"/>
              <w:numPr>
                <w:ilvl w:val="0"/>
                <w:numId w:val="38"/>
              </w:numPr>
              <w:overflowPunct w:val="0"/>
              <w:autoSpaceDE w:val="0"/>
              <w:autoSpaceDN w:val="0"/>
              <w:adjustRightInd w:val="0"/>
              <w:ind w:right="36"/>
              <w:jc w:val="left"/>
              <w:textAlignment w:val="baseline"/>
            </w:pPr>
            <w:r w:rsidRPr="005802A2">
              <w:t>A documented safety a</w:t>
            </w:r>
            <w:r w:rsidRPr="00395442">
              <w:t>nalysis of the workspace</w:t>
            </w:r>
          </w:p>
          <w:p w14:paraId="4464E44B" w14:textId="77777777" w:rsidR="00E318E8" w:rsidRPr="005802A2" w:rsidRDefault="00E318E8" w:rsidP="00E318E8">
            <w:pPr>
              <w:pStyle w:val="ListParagraph"/>
              <w:numPr>
                <w:ilvl w:val="1"/>
                <w:numId w:val="38"/>
              </w:numPr>
              <w:overflowPunct w:val="0"/>
              <w:autoSpaceDE w:val="0"/>
              <w:autoSpaceDN w:val="0"/>
              <w:adjustRightInd w:val="0"/>
              <w:ind w:right="36"/>
              <w:jc w:val="left"/>
              <w:textAlignment w:val="baseline"/>
            </w:pPr>
            <w:r w:rsidRPr="005802A2">
              <w:t>Completed prior to operation</w:t>
            </w:r>
          </w:p>
          <w:p w14:paraId="6D96DC9F" w14:textId="77777777" w:rsidR="00E318E8" w:rsidRPr="005802A2" w:rsidRDefault="00E318E8" w:rsidP="00E318E8">
            <w:pPr>
              <w:pStyle w:val="ListParagraph"/>
              <w:numPr>
                <w:ilvl w:val="1"/>
                <w:numId w:val="38"/>
              </w:numPr>
              <w:overflowPunct w:val="0"/>
              <w:autoSpaceDE w:val="0"/>
              <w:autoSpaceDN w:val="0"/>
              <w:adjustRightInd w:val="0"/>
              <w:ind w:right="36"/>
              <w:jc w:val="left"/>
              <w:textAlignment w:val="baseline"/>
            </w:pPr>
            <w:r w:rsidRPr="005802A2">
              <w:t xml:space="preserve">Provided to the </w:t>
            </w:r>
            <w:r>
              <w:t>DSO</w:t>
            </w:r>
            <w:r w:rsidRPr="005802A2">
              <w:t xml:space="preserve"> for review</w:t>
            </w:r>
          </w:p>
          <w:p w14:paraId="7B80F76C" w14:textId="5BCF8723" w:rsidR="009C3EF9" w:rsidRDefault="00E318E8" w:rsidP="009C3EF9">
            <w:pPr>
              <w:pStyle w:val="ListParagraph"/>
              <w:numPr>
                <w:ilvl w:val="1"/>
                <w:numId w:val="38"/>
              </w:numPr>
              <w:overflowPunct w:val="0"/>
              <w:autoSpaceDE w:val="0"/>
              <w:autoSpaceDN w:val="0"/>
              <w:adjustRightInd w:val="0"/>
              <w:ind w:right="36"/>
              <w:jc w:val="left"/>
              <w:textAlignment w:val="baseline"/>
            </w:pPr>
            <w:r w:rsidRPr="005802A2">
              <w:t>Include consideration for materials in the area</w:t>
            </w:r>
          </w:p>
          <w:p w14:paraId="43802880" w14:textId="269E87B9" w:rsidR="009C3EF9" w:rsidRDefault="009C3EF9" w:rsidP="006A4124">
            <w:pPr>
              <w:pStyle w:val="ListParagraph"/>
              <w:numPr>
                <w:ilvl w:val="1"/>
                <w:numId w:val="38"/>
              </w:numPr>
              <w:overflowPunct w:val="0"/>
              <w:autoSpaceDE w:val="0"/>
              <w:autoSpaceDN w:val="0"/>
              <w:adjustRightInd w:val="0"/>
              <w:ind w:right="36"/>
              <w:jc w:val="left"/>
              <w:textAlignment w:val="baseline"/>
            </w:pPr>
            <w:r w:rsidRPr="005802A2">
              <w:t>Include an assessment of consequence</w:t>
            </w:r>
          </w:p>
          <w:p w14:paraId="6F50E021" w14:textId="77777777" w:rsidR="003B1C88" w:rsidRPr="005802A2" w:rsidRDefault="003B1C88" w:rsidP="00E318E8">
            <w:pPr>
              <w:pStyle w:val="ListParagraph"/>
              <w:numPr>
                <w:ilvl w:val="0"/>
                <w:numId w:val="38"/>
              </w:numPr>
              <w:overflowPunct w:val="0"/>
              <w:autoSpaceDE w:val="0"/>
              <w:autoSpaceDN w:val="0"/>
              <w:adjustRightInd w:val="0"/>
              <w:ind w:right="36"/>
              <w:jc w:val="left"/>
              <w:textAlignment w:val="baseline"/>
            </w:pPr>
            <w:r w:rsidRPr="005802A2">
              <w:t>Material control procedure</w:t>
            </w:r>
          </w:p>
          <w:p w14:paraId="0CB34AC7" w14:textId="77777777" w:rsidR="003B1C88" w:rsidRPr="00395442" w:rsidRDefault="003B1C88" w:rsidP="00E318E8">
            <w:pPr>
              <w:pStyle w:val="ListParagraph"/>
              <w:numPr>
                <w:ilvl w:val="0"/>
                <w:numId w:val="38"/>
              </w:numPr>
              <w:overflowPunct w:val="0"/>
              <w:autoSpaceDE w:val="0"/>
              <w:autoSpaceDN w:val="0"/>
              <w:adjustRightInd w:val="0"/>
              <w:ind w:right="36"/>
              <w:jc w:val="left"/>
              <w:textAlignment w:val="baseline"/>
            </w:pPr>
            <w:r w:rsidRPr="005802A2">
              <w:t>Access controls</w:t>
            </w:r>
          </w:p>
        </w:tc>
      </w:tr>
      <w:tr w:rsidR="00D3196D" w:rsidRPr="00395442" w14:paraId="2E63FA99" w14:textId="77777777" w:rsidTr="005802A2">
        <w:trPr>
          <w:jc w:val="center"/>
        </w:trPr>
        <w:tc>
          <w:tcPr>
            <w:tcW w:w="2155" w:type="dxa"/>
            <w:vAlign w:val="center"/>
          </w:tcPr>
          <w:p w14:paraId="2AD94E5E" w14:textId="295B7819" w:rsidR="00D3196D" w:rsidRDefault="00D3196D" w:rsidP="006171ED">
            <w:pPr>
              <w:overflowPunct w:val="0"/>
              <w:autoSpaceDE w:val="0"/>
              <w:autoSpaceDN w:val="0"/>
              <w:adjustRightInd w:val="0"/>
              <w:ind w:right="36"/>
              <w:jc w:val="center"/>
              <w:textAlignment w:val="baseline"/>
            </w:pPr>
            <w:r>
              <w:t>MR Ceiling Boundary</w:t>
            </w:r>
          </w:p>
        </w:tc>
        <w:tc>
          <w:tcPr>
            <w:tcW w:w="1980" w:type="dxa"/>
            <w:vAlign w:val="center"/>
          </w:tcPr>
          <w:p w14:paraId="3B7F9B11" w14:textId="3360581C" w:rsidR="00D3196D" w:rsidRDefault="00D3196D">
            <w:pPr>
              <w:overflowPunct w:val="0"/>
              <w:autoSpaceDE w:val="0"/>
              <w:autoSpaceDN w:val="0"/>
              <w:adjustRightInd w:val="0"/>
              <w:ind w:right="36"/>
              <w:jc w:val="center"/>
              <w:textAlignment w:val="baseline"/>
            </w:pPr>
            <w:r>
              <w:t>20,000</w:t>
            </w:r>
            <w:r w:rsidR="00F527C6">
              <w:t xml:space="preserve"> G</w:t>
            </w:r>
          </w:p>
          <w:p w14:paraId="6DA034E7" w14:textId="1220E691" w:rsidR="00662A97" w:rsidRDefault="00662A97" w:rsidP="00662A97">
            <w:pPr>
              <w:overflowPunct w:val="0"/>
              <w:autoSpaceDE w:val="0"/>
              <w:autoSpaceDN w:val="0"/>
              <w:adjustRightInd w:val="0"/>
              <w:ind w:right="36"/>
              <w:jc w:val="center"/>
              <w:textAlignment w:val="baseline"/>
            </w:pPr>
            <w:r>
              <w:t>(2 T)</w:t>
            </w:r>
          </w:p>
        </w:tc>
        <w:tc>
          <w:tcPr>
            <w:tcW w:w="6300" w:type="dxa"/>
            <w:vAlign w:val="center"/>
          </w:tcPr>
          <w:p w14:paraId="48297A2E" w14:textId="4DEDFB66" w:rsidR="009C3EF9" w:rsidRDefault="009C3EF9" w:rsidP="009C3EF9">
            <w:pPr>
              <w:pStyle w:val="ListParagraph"/>
              <w:numPr>
                <w:ilvl w:val="0"/>
                <w:numId w:val="39"/>
              </w:numPr>
              <w:overflowPunct w:val="0"/>
              <w:autoSpaceDE w:val="0"/>
              <w:autoSpaceDN w:val="0"/>
              <w:adjustRightInd w:val="0"/>
              <w:ind w:right="36"/>
              <w:jc w:val="left"/>
              <w:textAlignment w:val="baseline"/>
            </w:pPr>
            <w:r>
              <w:t>MR Exposure DANGER sign posted at boundary</w:t>
            </w:r>
          </w:p>
          <w:p w14:paraId="361A6A12" w14:textId="1D9308D1" w:rsidR="00A72509" w:rsidRPr="00395442" w:rsidRDefault="000238E1" w:rsidP="006A4124">
            <w:pPr>
              <w:pStyle w:val="ListParagraph"/>
              <w:numPr>
                <w:ilvl w:val="0"/>
                <w:numId w:val="39"/>
              </w:numPr>
              <w:overflowPunct w:val="0"/>
              <w:autoSpaceDE w:val="0"/>
              <w:autoSpaceDN w:val="0"/>
              <w:adjustRightInd w:val="0"/>
              <w:ind w:right="36"/>
              <w:jc w:val="left"/>
              <w:textAlignment w:val="baseline"/>
            </w:pPr>
            <w:r>
              <w:t xml:space="preserve">Access prohibited </w:t>
            </w:r>
            <w:r w:rsidR="00B53CE1">
              <w:t xml:space="preserve">to </w:t>
            </w:r>
            <w:r w:rsidR="00C649A0">
              <w:t>all worke</w:t>
            </w:r>
            <w:r w:rsidR="00A72509">
              <w:t>rs</w:t>
            </w:r>
            <w:r>
              <w:t xml:space="preserve"> unless given written approval by D</w:t>
            </w:r>
            <w:r w:rsidR="00A849F0">
              <w:t>ivision</w:t>
            </w:r>
            <w:r>
              <w:t>/S</w:t>
            </w:r>
            <w:r w:rsidR="00A849F0">
              <w:t>ection</w:t>
            </w:r>
            <w:r>
              <w:t>/P</w:t>
            </w:r>
            <w:r w:rsidR="00A849F0">
              <w:t>roject</w:t>
            </w:r>
            <w:r>
              <w:t xml:space="preserve"> Head with DSO concurrence.</w:t>
            </w:r>
          </w:p>
        </w:tc>
      </w:tr>
    </w:tbl>
    <w:p w14:paraId="0D4D977A" w14:textId="67AB3CD9" w:rsidR="00CB259E" w:rsidRDefault="00CB259E"/>
    <w:p w14:paraId="2F4A4E7D" w14:textId="352EADF0" w:rsidR="00A556E9" w:rsidRDefault="00A556E9" w:rsidP="008D235F">
      <w:pPr>
        <w:ind w:left="630" w:hanging="630"/>
      </w:pPr>
      <w:r>
        <w:t>Note</w:t>
      </w:r>
      <w:r w:rsidR="008D235F">
        <w:t>:  D</w:t>
      </w:r>
      <w:r>
        <w:t xml:space="preserve">epending </w:t>
      </w:r>
      <w:r w:rsidR="008D235F">
        <w:t>up</w:t>
      </w:r>
      <w:r>
        <w:t xml:space="preserve">on the </w:t>
      </w:r>
      <w:r w:rsidR="008D235F">
        <w:t>characteristics of the magnetic field and the existing features of the building in which the magnetic field is present, not all boundaries need to be de</w:t>
      </w:r>
      <w:r w:rsidR="00E441F3">
        <w:t>marcat</w:t>
      </w:r>
      <w:r w:rsidR="008D235F">
        <w:t>ed, as long as boundary postings and controls are more conservative (more protective) than required by the table above.  For instance, if there is a natural control point (such as a door or gate) that encompasses all areas where the field is &gt;5</w:t>
      </w:r>
      <w:r w:rsidR="002817FC">
        <w:t xml:space="preserve"> </w:t>
      </w:r>
      <w:r w:rsidR="008D235F">
        <w:t>G (0.5 mT)), then that control point may be used as the MR Environment Boundary even though the field strength at that point is &lt;5</w:t>
      </w:r>
      <w:r w:rsidR="002817FC">
        <w:t xml:space="preserve"> </w:t>
      </w:r>
      <w:r w:rsidR="008D235F">
        <w:t>G (0.5 mT).</w:t>
      </w:r>
    </w:p>
    <w:p w14:paraId="451F2E2F" w14:textId="583BA434" w:rsidR="0086467F" w:rsidRDefault="0086467F" w:rsidP="008D235F">
      <w:pPr>
        <w:ind w:left="630" w:hanging="630"/>
      </w:pPr>
    </w:p>
    <w:p w14:paraId="031744A6" w14:textId="2EB13B0B" w:rsidR="0086467F" w:rsidRDefault="0086467F" w:rsidP="008D235F">
      <w:pPr>
        <w:ind w:left="630" w:hanging="630"/>
      </w:pPr>
    </w:p>
    <w:p w14:paraId="2E179B5D" w14:textId="77777777" w:rsidR="0086467F" w:rsidRDefault="0086467F" w:rsidP="0086467F">
      <w:pPr>
        <w:pStyle w:val="Heading2"/>
      </w:pPr>
      <w:bookmarkStart w:id="60" w:name="_Toc47430483"/>
      <w:r>
        <w:t>MR Status Management</w:t>
      </w:r>
      <w:bookmarkEnd w:id="60"/>
    </w:p>
    <w:p w14:paraId="5AB0031E" w14:textId="77777777" w:rsidR="0086467F" w:rsidRDefault="0086467F" w:rsidP="0086467F">
      <w:pPr>
        <w:ind w:left="540"/>
      </w:pPr>
      <w:r>
        <w:t xml:space="preserve">Electromagnets are capable of both powered-on and powered-off states.  An electromagnet that is powered-off does not typically pose a magnetic field hazard to workers.  MR Boundaries are typically unnecessary for an electromagnet in the powered-off state.    </w:t>
      </w:r>
    </w:p>
    <w:p w14:paraId="2D7488EA" w14:textId="77777777" w:rsidR="0086467F" w:rsidRDefault="0086467F" w:rsidP="0086467F">
      <w:pPr>
        <w:ind w:left="540"/>
      </w:pPr>
    </w:p>
    <w:p w14:paraId="6AB54BE0" w14:textId="77777777" w:rsidR="0086467F" w:rsidRDefault="0086467F" w:rsidP="0086467F">
      <w:pPr>
        <w:ind w:left="540"/>
      </w:pPr>
      <w:r>
        <w:t xml:space="preserve">When an electromagnet is powered-off and all necessary configuration controls are in place to ensure the magnetic field hazard is removed, MR-Open status allows access restrictions to be relaxed or lifted to carry out maintenance or other activities.  (In some cases, it’s possible that residual fields could pose a hazard and will have to be addressed during the MR-Open state.)  MR-Closed status establishes that the electromagnet can be powered-on, once the appropriate access restrictions are in place.  </w:t>
      </w:r>
    </w:p>
    <w:p w14:paraId="482CCC88" w14:textId="77777777" w:rsidR="0086467F" w:rsidRDefault="0086467F" w:rsidP="0086467F">
      <w:pPr>
        <w:ind w:left="540"/>
      </w:pPr>
    </w:p>
    <w:p w14:paraId="79AF566B" w14:textId="77777777" w:rsidR="0086467F" w:rsidRDefault="0086467F" w:rsidP="0086467F">
      <w:pPr>
        <w:ind w:left="540"/>
      </w:pPr>
      <w:r>
        <w:t xml:space="preserve">MR-Open/Closed status require the implementation of a written MR status management procedure to track the steps necessary to ensure safe access to a workspace containing one or more operational electromagnets.  </w:t>
      </w:r>
    </w:p>
    <w:p w14:paraId="56933EFB" w14:textId="77777777" w:rsidR="0086467F" w:rsidRDefault="0086467F" w:rsidP="0086467F">
      <w:pPr>
        <w:ind w:left="540"/>
      </w:pPr>
    </w:p>
    <w:p w14:paraId="69E4039D" w14:textId="77777777" w:rsidR="0086467F" w:rsidRDefault="0086467F" w:rsidP="0086467F">
      <w:pPr>
        <w:ind w:left="540"/>
      </w:pPr>
      <w:r>
        <w:t>A summary of MR-Open and MR-Closed states are as follows:</w:t>
      </w:r>
    </w:p>
    <w:p w14:paraId="6B6B9578" w14:textId="77777777" w:rsidR="0086467F" w:rsidRDefault="0086467F" w:rsidP="0086467F">
      <w:pPr>
        <w:ind w:left="540"/>
      </w:pPr>
    </w:p>
    <w:tbl>
      <w:tblPr>
        <w:tblStyle w:val="TableGrid"/>
        <w:tblW w:w="0" w:type="auto"/>
        <w:jc w:val="center"/>
        <w:tblBorders>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1620"/>
        <w:gridCol w:w="1723"/>
        <w:gridCol w:w="5224"/>
      </w:tblGrid>
      <w:tr w:rsidR="0086467F" w14:paraId="24BF0538" w14:textId="77777777" w:rsidTr="00C83D88">
        <w:trPr>
          <w:jc w:val="center"/>
        </w:trPr>
        <w:tc>
          <w:tcPr>
            <w:tcW w:w="1620" w:type="dxa"/>
            <w:shd w:val="clear" w:color="auto" w:fill="D9D9D9" w:themeFill="background1" w:themeFillShade="D9"/>
            <w:vAlign w:val="center"/>
          </w:tcPr>
          <w:p w14:paraId="19520AF7" w14:textId="77777777" w:rsidR="0086467F" w:rsidRPr="005802A2" w:rsidRDefault="0086467F" w:rsidP="00C83D88">
            <w:pPr>
              <w:keepNext/>
              <w:jc w:val="center"/>
              <w:rPr>
                <w:b/>
                <w:bCs/>
              </w:rPr>
            </w:pPr>
            <w:r w:rsidRPr="005802A2">
              <w:rPr>
                <w:b/>
                <w:bCs/>
              </w:rPr>
              <w:t>MR Status</w:t>
            </w:r>
          </w:p>
        </w:tc>
        <w:tc>
          <w:tcPr>
            <w:tcW w:w="1616" w:type="dxa"/>
            <w:shd w:val="clear" w:color="auto" w:fill="D9D9D9" w:themeFill="background1" w:themeFillShade="D9"/>
            <w:vAlign w:val="center"/>
          </w:tcPr>
          <w:p w14:paraId="7B7B6EA2" w14:textId="77777777" w:rsidR="0086467F" w:rsidRPr="005802A2" w:rsidRDefault="0086467F" w:rsidP="00C83D88">
            <w:pPr>
              <w:keepNext/>
              <w:jc w:val="center"/>
              <w:rPr>
                <w:b/>
                <w:bCs/>
              </w:rPr>
            </w:pPr>
            <w:r w:rsidRPr="005802A2">
              <w:rPr>
                <w:b/>
                <w:bCs/>
              </w:rPr>
              <w:t>Electromagnet Power State</w:t>
            </w:r>
          </w:p>
        </w:tc>
        <w:tc>
          <w:tcPr>
            <w:tcW w:w="5224" w:type="dxa"/>
            <w:shd w:val="clear" w:color="auto" w:fill="D9D9D9" w:themeFill="background1" w:themeFillShade="D9"/>
            <w:vAlign w:val="center"/>
          </w:tcPr>
          <w:p w14:paraId="495032F0" w14:textId="77777777" w:rsidR="0086467F" w:rsidRPr="005802A2" w:rsidRDefault="0086467F" w:rsidP="00C83D88">
            <w:pPr>
              <w:keepNext/>
              <w:jc w:val="center"/>
              <w:rPr>
                <w:b/>
                <w:bCs/>
              </w:rPr>
            </w:pPr>
            <w:r w:rsidRPr="005802A2">
              <w:rPr>
                <w:b/>
                <w:bCs/>
              </w:rPr>
              <w:t>Requirements</w:t>
            </w:r>
          </w:p>
        </w:tc>
      </w:tr>
      <w:tr w:rsidR="0086467F" w14:paraId="7E9909C2" w14:textId="77777777" w:rsidTr="00C83D88">
        <w:trPr>
          <w:trHeight w:val="1502"/>
          <w:jc w:val="center"/>
        </w:trPr>
        <w:tc>
          <w:tcPr>
            <w:tcW w:w="1620" w:type="dxa"/>
            <w:shd w:val="clear" w:color="auto" w:fill="auto"/>
            <w:vAlign w:val="center"/>
          </w:tcPr>
          <w:p w14:paraId="4F37FBA0" w14:textId="77777777" w:rsidR="0086467F" w:rsidRDefault="0086467F" w:rsidP="004A6AF7">
            <w:pPr>
              <w:jc w:val="center"/>
            </w:pPr>
            <w:r>
              <w:t>MR- Open</w:t>
            </w:r>
          </w:p>
        </w:tc>
        <w:tc>
          <w:tcPr>
            <w:tcW w:w="1616" w:type="dxa"/>
            <w:shd w:val="clear" w:color="auto" w:fill="auto"/>
            <w:vAlign w:val="center"/>
          </w:tcPr>
          <w:p w14:paraId="31BD1180" w14:textId="77777777" w:rsidR="0086467F" w:rsidRDefault="0086467F" w:rsidP="004A6AF7">
            <w:pPr>
              <w:jc w:val="center"/>
            </w:pPr>
            <w:r>
              <w:t>Powered-off</w:t>
            </w:r>
          </w:p>
        </w:tc>
        <w:tc>
          <w:tcPr>
            <w:tcW w:w="5224" w:type="dxa"/>
            <w:shd w:val="clear" w:color="auto" w:fill="auto"/>
            <w:vAlign w:val="center"/>
          </w:tcPr>
          <w:p w14:paraId="3D553650" w14:textId="77777777" w:rsidR="0086467F" w:rsidRDefault="0086467F" w:rsidP="004A6AF7">
            <w:pPr>
              <w:pStyle w:val="ListParagraph"/>
              <w:numPr>
                <w:ilvl w:val="0"/>
                <w:numId w:val="35"/>
              </w:numPr>
              <w:jc w:val="left"/>
            </w:pPr>
            <w:r>
              <w:t>Magnetic field configuration controls engaged</w:t>
            </w:r>
          </w:p>
          <w:p w14:paraId="09117A9A" w14:textId="77777777" w:rsidR="0086467F" w:rsidRDefault="0086467F" w:rsidP="004A6AF7">
            <w:pPr>
              <w:pStyle w:val="ListParagraph"/>
              <w:numPr>
                <w:ilvl w:val="0"/>
                <w:numId w:val="35"/>
              </w:numPr>
              <w:jc w:val="left"/>
            </w:pPr>
            <w:r>
              <w:t>Area of signage in accordance with MR status management procedures</w:t>
            </w:r>
          </w:p>
        </w:tc>
      </w:tr>
      <w:tr w:rsidR="0086467F" w14:paraId="1AFB7EC0" w14:textId="77777777" w:rsidTr="00C83D88">
        <w:trPr>
          <w:trHeight w:val="1520"/>
          <w:jc w:val="center"/>
        </w:trPr>
        <w:tc>
          <w:tcPr>
            <w:tcW w:w="1620" w:type="dxa"/>
            <w:shd w:val="clear" w:color="auto" w:fill="auto"/>
            <w:vAlign w:val="center"/>
          </w:tcPr>
          <w:p w14:paraId="501850EF" w14:textId="77777777" w:rsidR="0086467F" w:rsidRDefault="0086467F" w:rsidP="004A6AF7">
            <w:pPr>
              <w:jc w:val="center"/>
            </w:pPr>
            <w:r>
              <w:t>MR- Closed</w:t>
            </w:r>
          </w:p>
        </w:tc>
        <w:tc>
          <w:tcPr>
            <w:tcW w:w="1616" w:type="dxa"/>
            <w:shd w:val="clear" w:color="auto" w:fill="auto"/>
            <w:vAlign w:val="center"/>
          </w:tcPr>
          <w:p w14:paraId="4FE5CB99" w14:textId="77777777" w:rsidR="0086467F" w:rsidRDefault="0086467F" w:rsidP="004A6AF7">
            <w:pPr>
              <w:jc w:val="center"/>
            </w:pPr>
            <w:r>
              <w:t>Powered-on</w:t>
            </w:r>
          </w:p>
        </w:tc>
        <w:tc>
          <w:tcPr>
            <w:tcW w:w="5224" w:type="dxa"/>
            <w:shd w:val="clear" w:color="auto" w:fill="auto"/>
            <w:vAlign w:val="center"/>
          </w:tcPr>
          <w:p w14:paraId="3DC08034" w14:textId="3A569AA7" w:rsidR="0086467F" w:rsidRDefault="0086467F" w:rsidP="004A6AF7">
            <w:pPr>
              <w:pStyle w:val="ListParagraph"/>
              <w:numPr>
                <w:ilvl w:val="0"/>
                <w:numId w:val="36"/>
              </w:numPr>
              <w:jc w:val="left"/>
            </w:pPr>
            <w:r w:rsidRPr="009711EB">
              <w:t xml:space="preserve">Magnetic field hazard access </w:t>
            </w:r>
            <w:r w:rsidR="00633F6B">
              <w:t xml:space="preserve">and material control </w:t>
            </w:r>
            <w:r w:rsidRPr="009711EB">
              <w:t>restrictions engaged</w:t>
            </w:r>
          </w:p>
          <w:p w14:paraId="1D0319A5" w14:textId="77777777" w:rsidR="0086467F" w:rsidRDefault="0086467F" w:rsidP="004A6AF7">
            <w:pPr>
              <w:pStyle w:val="ListParagraph"/>
              <w:numPr>
                <w:ilvl w:val="0"/>
                <w:numId w:val="36"/>
              </w:numPr>
              <w:jc w:val="left"/>
            </w:pPr>
            <w:r>
              <w:t>Area of signage in accordance with MR status management procedures</w:t>
            </w:r>
          </w:p>
        </w:tc>
      </w:tr>
    </w:tbl>
    <w:p w14:paraId="6032EB50" w14:textId="77777777" w:rsidR="0086467F" w:rsidRDefault="0086467F" w:rsidP="00C83D88">
      <w:pPr>
        <w:ind w:left="630" w:hanging="630"/>
      </w:pPr>
    </w:p>
    <w:p w14:paraId="51D574F7" w14:textId="55071BA6" w:rsidR="004F2A41" w:rsidRPr="00395442" w:rsidRDefault="004F2A41" w:rsidP="004F2A41">
      <w:pPr>
        <w:pStyle w:val="Heading1"/>
        <w:keepNext w:val="0"/>
        <w:ind w:left="0" w:firstLine="0"/>
      </w:pPr>
      <w:bookmarkStart w:id="61" w:name="_Toc47430484"/>
      <w:r>
        <w:t>Controlling Exposures to SMF</w:t>
      </w:r>
      <w:bookmarkEnd w:id="61"/>
    </w:p>
    <w:p w14:paraId="2A895B4F" w14:textId="77777777" w:rsidR="00A26B92" w:rsidRPr="0081443F" w:rsidRDefault="00A26B92" w:rsidP="005802A2"/>
    <w:p w14:paraId="291C7CF6" w14:textId="4DF3C297" w:rsidR="00A26B92" w:rsidRPr="0081443F" w:rsidRDefault="004F2A41" w:rsidP="005802A2">
      <w:pPr>
        <w:pStyle w:val="Heading2"/>
        <w:tabs>
          <w:tab w:val="clear" w:pos="774"/>
        </w:tabs>
        <w:ind w:left="720" w:hanging="450"/>
      </w:pPr>
      <w:bookmarkStart w:id="62" w:name="_Toc47430485"/>
      <w:r>
        <w:t xml:space="preserve">Occupational </w:t>
      </w:r>
      <w:r w:rsidR="00DD576B" w:rsidRPr="0081443F">
        <w:t xml:space="preserve">Exposure </w:t>
      </w:r>
      <w:r>
        <w:t>L</w:t>
      </w:r>
      <w:r w:rsidRPr="0081443F">
        <w:t>imits</w:t>
      </w:r>
      <w:bookmarkEnd w:id="62"/>
    </w:p>
    <w:p w14:paraId="0C2C994F" w14:textId="107EFF95" w:rsidR="00DD576B" w:rsidRPr="00395442" w:rsidRDefault="00DD576B" w:rsidP="005802A2">
      <w:pPr>
        <w:overflowPunct w:val="0"/>
        <w:autoSpaceDE w:val="0"/>
        <w:autoSpaceDN w:val="0"/>
        <w:adjustRightInd w:val="0"/>
        <w:ind w:left="504" w:right="36"/>
        <w:jc w:val="left"/>
        <w:textAlignment w:val="baseline"/>
      </w:pPr>
      <w:r w:rsidRPr="00395442">
        <w:t xml:space="preserve">The values given below refer to </w:t>
      </w:r>
      <w:r w:rsidR="00DA1311" w:rsidRPr="00395442">
        <w:t>SMF</w:t>
      </w:r>
      <w:r w:rsidRPr="00395442">
        <w:t>s to which it is believed that nearly all workers may be repeatedly exposed without experiencing adverse health effects (20</w:t>
      </w:r>
      <w:r w:rsidR="00EA2E6A">
        <w:t>20</w:t>
      </w:r>
      <w:r w:rsidRPr="00395442">
        <w:t xml:space="preserve"> American Council of Governmental Industrial Hygienists Threshold Limit Value for </w:t>
      </w:r>
      <w:r w:rsidR="00DA1311" w:rsidRPr="00395442">
        <w:t>SMF</w:t>
      </w:r>
      <w:r w:rsidRPr="00395442">
        <w:t>s).</w:t>
      </w:r>
    </w:p>
    <w:p w14:paraId="62680A2F" w14:textId="77777777" w:rsidR="00F64ECA" w:rsidRPr="00395442" w:rsidRDefault="00F64ECA" w:rsidP="005802A2">
      <w:pPr>
        <w:rPr>
          <w:rFonts w:eastAsiaTheme="minorHAnsi"/>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4083"/>
        <w:gridCol w:w="1942"/>
      </w:tblGrid>
      <w:tr w:rsidR="00F34526" w:rsidRPr="00395442" w14:paraId="1D3C2912" w14:textId="77777777" w:rsidTr="005802A2">
        <w:trPr>
          <w:jc w:val="center"/>
        </w:trPr>
        <w:tc>
          <w:tcPr>
            <w:tcW w:w="4083" w:type="dxa"/>
            <w:shd w:val="clear" w:color="auto" w:fill="D9D9D9" w:themeFill="background1" w:themeFillShade="D9"/>
            <w:vAlign w:val="center"/>
          </w:tcPr>
          <w:p w14:paraId="711B0CE0" w14:textId="23D6A2D1" w:rsidR="00F34526" w:rsidRPr="005802A2" w:rsidRDefault="00F34526" w:rsidP="005802A2">
            <w:pPr>
              <w:spacing w:line="276" w:lineRule="auto"/>
              <w:jc w:val="center"/>
              <w:rPr>
                <w:rFonts w:eastAsiaTheme="minorHAnsi"/>
                <w:b/>
              </w:rPr>
            </w:pPr>
            <w:r w:rsidRPr="005802A2">
              <w:rPr>
                <w:rFonts w:eastAsiaTheme="minorHAnsi"/>
                <w:b/>
              </w:rPr>
              <w:t>Target area</w:t>
            </w:r>
          </w:p>
        </w:tc>
        <w:tc>
          <w:tcPr>
            <w:tcW w:w="1942" w:type="dxa"/>
            <w:shd w:val="clear" w:color="auto" w:fill="D9D9D9" w:themeFill="background1" w:themeFillShade="D9"/>
            <w:vAlign w:val="center"/>
          </w:tcPr>
          <w:p w14:paraId="35C9E3FD" w14:textId="77777777" w:rsidR="00F34526" w:rsidRPr="005802A2" w:rsidRDefault="00F34526">
            <w:pPr>
              <w:spacing w:line="276" w:lineRule="auto"/>
              <w:jc w:val="center"/>
              <w:rPr>
                <w:rFonts w:eastAsiaTheme="minorHAnsi"/>
                <w:b/>
              </w:rPr>
            </w:pPr>
            <w:r w:rsidRPr="005802A2">
              <w:rPr>
                <w:rFonts w:eastAsiaTheme="minorHAnsi"/>
                <w:b/>
              </w:rPr>
              <w:t>Ceiling</w:t>
            </w:r>
          </w:p>
        </w:tc>
      </w:tr>
      <w:tr w:rsidR="00F34526" w:rsidRPr="00395442" w14:paraId="5826717F" w14:textId="77777777" w:rsidTr="005802A2">
        <w:trPr>
          <w:jc w:val="center"/>
        </w:trPr>
        <w:tc>
          <w:tcPr>
            <w:tcW w:w="4083" w:type="dxa"/>
            <w:vAlign w:val="center"/>
          </w:tcPr>
          <w:p w14:paraId="280047F2" w14:textId="7F2A2835" w:rsidR="00F34526" w:rsidRPr="005802A2" w:rsidRDefault="00F34526" w:rsidP="00F34526">
            <w:pPr>
              <w:spacing w:line="276" w:lineRule="auto"/>
              <w:jc w:val="left"/>
              <w:rPr>
                <w:rFonts w:eastAsiaTheme="minorHAnsi"/>
              </w:rPr>
            </w:pPr>
            <w:r w:rsidRPr="005802A2">
              <w:rPr>
                <w:rFonts w:eastAsiaTheme="minorHAnsi"/>
              </w:rPr>
              <w:t>Whole body (general workplace)</w:t>
            </w:r>
          </w:p>
        </w:tc>
        <w:tc>
          <w:tcPr>
            <w:tcW w:w="1942" w:type="dxa"/>
            <w:vAlign w:val="center"/>
          </w:tcPr>
          <w:p w14:paraId="2DD4CF6E" w14:textId="77777777" w:rsidR="00F34526" w:rsidRPr="005802A2" w:rsidRDefault="00F34526" w:rsidP="00F34526">
            <w:pPr>
              <w:spacing w:line="276" w:lineRule="auto"/>
              <w:jc w:val="center"/>
              <w:rPr>
                <w:rFonts w:eastAsiaTheme="minorHAnsi"/>
              </w:rPr>
            </w:pPr>
            <w:r w:rsidRPr="005802A2">
              <w:rPr>
                <w:rFonts w:eastAsiaTheme="minorHAnsi"/>
              </w:rPr>
              <w:t>2 T / 20,000 G</w:t>
            </w:r>
          </w:p>
        </w:tc>
      </w:tr>
      <w:tr w:rsidR="00F34526" w:rsidRPr="00395442" w14:paraId="050FA08C" w14:textId="77777777" w:rsidTr="005802A2">
        <w:trPr>
          <w:jc w:val="center"/>
        </w:trPr>
        <w:tc>
          <w:tcPr>
            <w:tcW w:w="4083" w:type="dxa"/>
            <w:vAlign w:val="center"/>
          </w:tcPr>
          <w:p w14:paraId="55DCFA5D" w14:textId="5E96FE70" w:rsidR="00F34526" w:rsidRPr="005802A2" w:rsidRDefault="00F34526" w:rsidP="00F34526">
            <w:pPr>
              <w:spacing w:line="276" w:lineRule="auto"/>
              <w:jc w:val="left"/>
              <w:rPr>
                <w:rFonts w:eastAsiaTheme="minorHAnsi"/>
              </w:rPr>
            </w:pPr>
            <w:r w:rsidRPr="005802A2">
              <w:rPr>
                <w:rFonts w:eastAsiaTheme="minorHAnsi"/>
              </w:rPr>
              <w:t>Whole body (special worker training and controlled workplace environment)</w:t>
            </w:r>
          </w:p>
        </w:tc>
        <w:tc>
          <w:tcPr>
            <w:tcW w:w="1942" w:type="dxa"/>
            <w:vAlign w:val="center"/>
          </w:tcPr>
          <w:p w14:paraId="197DAAD6" w14:textId="77777777" w:rsidR="00F34526" w:rsidRPr="005802A2" w:rsidRDefault="00F34526" w:rsidP="00F34526">
            <w:pPr>
              <w:spacing w:line="276" w:lineRule="auto"/>
              <w:jc w:val="center"/>
              <w:rPr>
                <w:rFonts w:eastAsiaTheme="minorHAnsi"/>
              </w:rPr>
            </w:pPr>
            <w:r w:rsidRPr="005802A2">
              <w:rPr>
                <w:rFonts w:eastAsiaTheme="minorHAnsi"/>
              </w:rPr>
              <w:t>8 T / 80,000 G</w:t>
            </w:r>
          </w:p>
        </w:tc>
      </w:tr>
      <w:tr w:rsidR="00F34526" w:rsidRPr="00395442" w14:paraId="7F08843A" w14:textId="77777777" w:rsidTr="005802A2">
        <w:trPr>
          <w:jc w:val="center"/>
        </w:trPr>
        <w:tc>
          <w:tcPr>
            <w:tcW w:w="4083" w:type="dxa"/>
            <w:vAlign w:val="center"/>
          </w:tcPr>
          <w:p w14:paraId="438ED54E" w14:textId="1C322723" w:rsidR="00F34526" w:rsidRPr="005802A2" w:rsidRDefault="00F34526" w:rsidP="00F34526">
            <w:pPr>
              <w:spacing w:line="276" w:lineRule="auto"/>
              <w:jc w:val="left"/>
              <w:rPr>
                <w:rFonts w:eastAsiaTheme="minorHAnsi"/>
              </w:rPr>
            </w:pPr>
            <w:r w:rsidRPr="005802A2">
              <w:rPr>
                <w:rFonts w:eastAsiaTheme="minorHAnsi"/>
              </w:rPr>
              <w:t>Limbs</w:t>
            </w:r>
          </w:p>
        </w:tc>
        <w:tc>
          <w:tcPr>
            <w:tcW w:w="1942" w:type="dxa"/>
            <w:vAlign w:val="center"/>
          </w:tcPr>
          <w:p w14:paraId="5999DEE3" w14:textId="77777777" w:rsidR="00F34526" w:rsidRPr="005802A2" w:rsidRDefault="00F34526" w:rsidP="00F34526">
            <w:pPr>
              <w:spacing w:line="276" w:lineRule="auto"/>
              <w:jc w:val="center"/>
              <w:rPr>
                <w:rFonts w:eastAsiaTheme="minorHAnsi"/>
              </w:rPr>
            </w:pPr>
            <w:r w:rsidRPr="005802A2">
              <w:rPr>
                <w:rFonts w:eastAsiaTheme="minorHAnsi"/>
              </w:rPr>
              <w:t>20 T / 200,000 G</w:t>
            </w:r>
          </w:p>
        </w:tc>
      </w:tr>
      <w:tr w:rsidR="00F34526" w:rsidRPr="00395442" w14:paraId="29B550CB" w14:textId="77777777" w:rsidTr="005802A2">
        <w:trPr>
          <w:jc w:val="center"/>
        </w:trPr>
        <w:tc>
          <w:tcPr>
            <w:tcW w:w="4083" w:type="dxa"/>
            <w:vAlign w:val="center"/>
          </w:tcPr>
          <w:p w14:paraId="04C59624" w14:textId="61C42387" w:rsidR="00F34526" w:rsidRPr="005802A2" w:rsidRDefault="00F34526" w:rsidP="00F34526">
            <w:pPr>
              <w:spacing w:line="276" w:lineRule="auto"/>
              <w:jc w:val="left"/>
              <w:rPr>
                <w:rFonts w:eastAsiaTheme="minorHAnsi"/>
              </w:rPr>
            </w:pPr>
            <w:r w:rsidRPr="005802A2">
              <w:rPr>
                <w:rFonts w:eastAsiaTheme="minorHAnsi"/>
              </w:rPr>
              <w:t>Medical electronic device wearers</w:t>
            </w:r>
          </w:p>
        </w:tc>
        <w:tc>
          <w:tcPr>
            <w:tcW w:w="1942" w:type="dxa"/>
            <w:vAlign w:val="center"/>
          </w:tcPr>
          <w:p w14:paraId="2B1D9A4D" w14:textId="77777777" w:rsidR="00F34526" w:rsidRPr="005802A2" w:rsidRDefault="00F34526" w:rsidP="00F34526">
            <w:pPr>
              <w:spacing w:line="276" w:lineRule="auto"/>
              <w:jc w:val="center"/>
              <w:rPr>
                <w:rFonts w:eastAsiaTheme="minorHAnsi"/>
              </w:rPr>
            </w:pPr>
            <w:r w:rsidRPr="005802A2">
              <w:rPr>
                <w:rFonts w:eastAsiaTheme="minorHAnsi"/>
              </w:rPr>
              <w:t>0.5 mT / 5 G</w:t>
            </w:r>
          </w:p>
        </w:tc>
      </w:tr>
    </w:tbl>
    <w:p w14:paraId="512E2B1A" w14:textId="77777777" w:rsidR="00177FC3" w:rsidRPr="00395442" w:rsidRDefault="00177FC3" w:rsidP="00581724">
      <w:pPr>
        <w:ind w:left="360" w:right="36"/>
        <w:jc w:val="left"/>
        <w:rPr>
          <w:color w:val="000000"/>
        </w:rPr>
      </w:pPr>
    </w:p>
    <w:p w14:paraId="423C7076" w14:textId="08E8F652" w:rsidR="004F2A41" w:rsidRPr="005802A2" w:rsidRDefault="00581724" w:rsidP="005802A2">
      <w:pPr>
        <w:pStyle w:val="Heading2"/>
        <w:tabs>
          <w:tab w:val="clear" w:pos="774"/>
        </w:tabs>
        <w:ind w:left="720" w:hanging="450"/>
      </w:pPr>
      <w:bookmarkStart w:id="63" w:name="_Toc47430486"/>
      <w:r w:rsidRPr="005802A2">
        <w:t>Monitoring</w:t>
      </w:r>
      <w:bookmarkEnd w:id="63"/>
      <w:r w:rsidRPr="005802A2">
        <w:t xml:space="preserve"> </w:t>
      </w:r>
    </w:p>
    <w:p w14:paraId="3EA72D5D" w14:textId="2A7BE42D" w:rsidR="00581724" w:rsidRPr="00395442" w:rsidRDefault="00581724" w:rsidP="005802A2">
      <w:pPr>
        <w:pStyle w:val="ListParagraph"/>
        <w:spacing w:after="200" w:line="276" w:lineRule="auto"/>
        <w:ind w:left="540"/>
        <w:jc w:val="left"/>
        <w:rPr>
          <w:rFonts w:eastAsiaTheme="minorHAnsi"/>
        </w:rPr>
      </w:pPr>
      <w:r w:rsidRPr="00395442">
        <w:rPr>
          <w:rFonts w:eastAsiaTheme="minorHAnsi"/>
        </w:rPr>
        <w:t>Divisions/Sections</w:t>
      </w:r>
      <w:r w:rsidR="005B33A1">
        <w:rPr>
          <w:rFonts w:eastAsiaTheme="minorHAnsi"/>
        </w:rPr>
        <w:t>/Projects</w:t>
      </w:r>
      <w:r w:rsidRPr="00395442">
        <w:rPr>
          <w:rFonts w:eastAsiaTheme="minorHAnsi"/>
        </w:rPr>
        <w:t xml:space="preserve"> managing activities involving </w:t>
      </w:r>
      <w:r w:rsidR="00DA1311" w:rsidRPr="005802A2">
        <w:rPr>
          <w:rFonts w:eastAsiaTheme="minorHAnsi"/>
        </w:rPr>
        <w:t>SMF</w:t>
      </w:r>
      <w:r w:rsidRPr="00395442">
        <w:rPr>
          <w:rFonts w:eastAsiaTheme="minorHAnsi"/>
        </w:rPr>
        <w:t xml:space="preserve"> sources are responsible for arranging </w:t>
      </w:r>
      <w:r w:rsidR="00DD758E" w:rsidRPr="00395442">
        <w:rPr>
          <w:rFonts w:eastAsiaTheme="minorHAnsi"/>
        </w:rPr>
        <w:t>industrial h</w:t>
      </w:r>
      <w:r w:rsidRPr="00395442">
        <w:rPr>
          <w:rFonts w:eastAsiaTheme="minorHAnsi"/>
        </w:rPr>
        <w:t xml:space="preserve">ygiene monitoring whenever exposures are reasonably expected to meet or exceed limits.  If results do not exceed exposure limits, further monitoring is not required unless the activity is modified in a way that is expected to increase exposures.  </w:t>
      </w:r>
    </w:p>
    <w:p w14:paraId="1FCF132D" w14:textId="327F2849" w:rsidR="00581724" w:rsidRPr="005802A2" w:rsidRDefault="00DA1311" w:rsidP="005802A2">
      <w:pPr>
        <w:spacing w:after="200" w:line="276" w:lineRule="auto"/>
        <w:ind w:left="540"/>
        <w:contextualSpacing/>
        <w:jc w:val="left"/>
        <w:rPr>
          <w:rFonts w:eastAsiaTheme="minorHAnsi"/>
        </w:rPr>
      </w:pPr>
      <w:r w:rsidRPr="005802A2">
        <w:rPr>
          <w:rFonts w:eastAsiaTheme="minorHAnsi"/>
        </w:rPr>
        <w:lastRenderedPageBreak/>
        <w:t>SMF</w:t>
      </w:r>
      <w:r w:rsidR="00581724" w:rsidRPr="005802A2">
        <w:rPr>
          <w:rFonts w:eastAsiaTheme="minorHAnsi"/>
        </w:rPr>
        <w:t xml:space="preserve"> exposure limits were established assuming a homogeneous field.   For inhomogeneous fields, the magnetic flux density should be averaged over 100 </w:t>
      </w:r>
      <w:r w:rsidR="00740BBE" w:rsidRPr="005802A2">
        <w:rPr>
          <w:rFonts w:eastAsiaTheme="minorHAnsi"/>
        </w:rPr>
        <w:t xml:space="preserve">centimeter </w:t>
      </w:r>
      <w:r w:rsidR="0047029F" w:rsidRPr="005802A2">
        <w:rPr>
          <w:rFonts w:eastAsiaTheme="minorHAnsi"/>
        </w:rPr>
        <w:t xml:space="preserve">(cm) </w:t>
      </w:r>
      <w:r w:rsidR="00740BBE" w:rsidRPr="005802A2">
        <w:rPr>
          <w:rFonts w:eastAsiaTheme="minorHAnsi"/>
        </w:rPr>
        <w:t>squared</w:t>
      </w:r>
      <w:r w:rsidR="00581724" w:rsidRPr="005802A2">
        <w:rPr>
          <w:rFonts w:eastAsiaTheme="minorHAnsi"/>
        </w:rPr>
        <w:t>.   This approach should be especially useful when dealing with dimensionally small sources.</w:t>
      </w:r>
    </w:p>
    <w:p w14:paraId="238639A8" w14:textId="77777777" w:rsidR="00EF632F" w:rsidRPr="00395442" w:rsidRDefault="00EF632F" w:rsidP="00581724">
      <w:pPr>
        <w:ind w:left="360" w:right="36"/>
        <w:jc w:val="left"/>
        <w:rPr>
          <w:color w:val="000000"/>
        </w:rPr>
      </w:pPr>
    </w:p>
    <w:p w14:paraId="25615301" w14:textId="77777777" w:rsidR="004F2A41" w:rsidRPr="005802A2" w:rsidRDefault="00177FC3" w:rsidP="005802A2">
      <w:pPr>
        <w:pStyle w:val="Heading2"/>
        <w:tabs>
          <w:tab w:val="clear" w:pos="774"/>
        </w:tabs>
        <w:ind w:left="720" w:hanging="450"/>
      </w:pPr>
      <w:bookmarkStart w:id="64" w:name="_Toc47430487"/>
      <w:r w:rsidRPr="005802A2">
        <w:t>Posting</w:t>
      </w:r>
      <w:bookmarkEnd w:id="64"/>
    </w:p>
    <w:p w14:paraId="173AB930" w14:textId="463E9128" w:rsidR="00340CBC" w:rsidRDefault="00177FC3" w:rsidP="004F2A41">
      <w:pPr>
        <w:spacing w:after="200" w:line="276" w:lineRule="auto"/>
        <w:ind w:left="540"/>
        <w:jc w:val="left"/>
        <w:rPr>
          <w:rFonts w:eastAsiaTheme="minorHAnsi"/>
        </w:rPr>
      </w:pPr>
      <w:r w:rsidRPr="004F2A41">
        <w:rPr>
          <w:rFonts w:eastAsiaTheme="minorHAnsi"/>
        </w:rPr>
        <w:t xml:space="preserve">There are </w:t>
      </w:r>
      <w:r w:rsidR="00C4347B">
        <w:rPr>
          <w:rFonts w:eastAsiaTheme="minorHAnsi"/>
        </w:rPr>
        <w:t>three</w:t>
      </w:r>
      <w:r w:rsidRPr="004F2A41">
        <w:rPr>
          <w:rFonts w:eastAsiaTheme="minorHAnsi"/>
        </w:rPr>
        <w:t xml:space="preserve"> types of </w:t>
      </w:r>
      <w:r w:rsidR="00DA1311" w:rsidRPr="004F2A41">
        <w:rPr>
          <w:rFonts w:eastAsiaTheme="minorHAnsi"/>
        </w:rPr>
        <w:t>SMF</w:t>
      </w:r>
      <w:r w:rsidR="00340CBC">
        <w:rPr>
          <w:rFonts w:eastAsiaTheme="minorHAnsi"/>
        </w:rPr>
        <w:t xml:space="preserve"> s</w:t>
      </w:r>
      <w:r w:rsidR="00340CBC" w:rsidRPr="004F2A41">
        <w:rPr>
          <w:rFonts w:eastAsiaTheme="minorHAnsi"/>
        </w:rPr>
        <w:t>igns</w:t>
      </w:r>
      <w:r w:rsidRPr="004F2A41">
        <w:rPr>
          <w:rFonts w:eastAsiaTheme="minorHAnsi"/>
        </w:rPr>
        <w:t xml:space="preserve">: </w:t>
      </w:r>
    </w:p>
    <w:p w14:paraId="3EFEE09F" w14:textId="6CF7EC95" w:rsidR="00340CBC" w:rsidRDefault="00CB7023" w:rsidP="00340CBC">
      <w:pPr>
        <w:pStyle w:val="ListParagraph"/>
        <w:numPr>
          <w:ilvl w:val="0"/>
          <w:numId w:val="33"/>
        </w:numPr>
        <w:spacing w:after="200" w:line="276" w:lineRule="auto"/>
        <w:jc w:val="left"/>
        <w:rPr>
          <w:rFonts w:eastAsiaTheme="minorHAnsi"/>
        </w:rPr>
      </w:pPr>
      <w:r w:rsidRPr="00340CBC">
        <w:rPr>
          <w:rFonts w:eastAsiaTheme="minorHAnsi"/>
        </w:rPr>
        <w:t xml:space="preserve">MR Environment </w:t>
      </w:r>
      <w:r w:rsidR="00340CBC" w:rsidRPr="00340CBC">
        <w:rPr>
          <w:rFonts w:eastAsiaTheme="minorHAnsi"/>
        </w:rPr>
        <w:t>sign</w:t>
      </w:r>
      <w:r w:rsidRPr="00340CBC">
        <w:rPr>
          <w:rFonts w:eastAsiaTheme="minorHAnsi"/>
        </w:rPr>
        <w:t xml:space="preserve"> </w:t>
      </w:r>
      <w:r w:rsidR="00340CBC">
        <w:rPr>
          <w:rFonts w:eastAsiaTheme="minorHAnsi"/>
        </w:rPr>
        <w:t xml:space="preserve">designating the </w:t>
      </w:r>
      <w:r w:rsidR="00857DDC">
        <w:rPr>
          <w:rFonts w:eastAsiaTheme="minorHAnsi"/>
        </w:rPr>
        <w:t>5 G</w:t>
      </w:r>
      <w:r w:rsidR="00F527C6">
        <w:rPr>
          <w:rFonts w:eastAsiaTheme="minorHAnsi"/>
        </w:rPr>
        <w:t xml:space="preserve"> (0.5 mT)</w:t>
      </w:r>
      <w:r w:rsidR="00857DDC">
        <w:rPr>
          <w:rFonts w:eastAsiaTheme="minorHAnsi"/>
        </w:rPr>
        <w:t xml:space="preserve"> boundary for</w:t>
      </w:r>
      <w:r w:rsidRPr="00340CBC">
        <w:rPr>
          <w:rFonts w:eastAsiaTheme="minorHAnsi"/>
        </w:rPr>
        <w:t xml:space="preserve"> medical device wearers</w:t>
      </w:r>
      <w:r w:rsidR="00D420AE">
        <w:rPr>
          <w:rFonts w:eastAsiaTheme="minorHAnsi"/>
        </w:rPr>
        <w:t>:</w:t>
      </w:r>
    </w:p>
    <w:p w14:paraId="3A4CBCF4" w14:textId="4BD6C13D" w:rsidR="00D420AE" w:rsidRDefault="00D420AE" w:rsidP="00C83D88">
      <w:pPr>
        <w:pStyle w:val="ListParagraph"/>
        <w:numPr>
          <w:ilvl w:val="1"/>
          <w:numId w:val="33"/>
        </w:numPr>
        <w:spacing w:after="200" w:line="276" w:lineRule="auto"/>
        <w:jc w:val="left"/>
        <w:rPr>
          <w:rFonts w:eastAsiaTheme="minorHAnsi"/>
        </w:rPr>
      </w:pPr>
      <w:r>
        <w:rPr>
          <w:rFonts w:eastAsiaTheme="minorHAnsi"/>
        </w:rPr>
        <w:t>DANGER: MAGNETIC FIELD HAZARD</w:t>
      </w:r>
      <w:r w:rsidR="00801C30">
        <w:rPr>
          <w:rFonts w:eastAsiaTheme="minorHAnsi"/>
        </w:rPr>
        <w:t>:</w:t>
      </w:r>
      <w:r>
        <w:rPr>
          <w:rFonts w:eastAsiaTheme="minorHAnsi"/>
        </w:rPr>
        <w:t xml:space="preserve"> No Persons with cardiac pacemakers or electronic medical devices</w:t>
      </w:r>
    </w:p>
    <w:p w14:paraId="30AD0247" w14:textId="25D237DB" w:rsidR="00D420AE" w:rsidRDefault="00D420AE" w:rsidP="00340CBC">
      <w:pPr>
        <w:pStyle w:val="ListParagraph"/>
        <w:numPr>
          <w:ilvl w:val="0"/>
          <w:numId w:val="33"/>
        </w:numPr>
        <w:spacing w:after="200" w:line="276" w:lineRule="auto"/>
        <w:jc w:val="left"/>
        <w:rPr>
          <w:rFonts w:eastAsiaTheme="minorHAnsi"/>
        </w:rPr>
      </w:pPr>
      <w:r>
        <w:t>MR Projectile Boundary: Low</w:t>
      </w:r>
      <w:r>
        <w:rPr>
          <w:rFonts w:eastAsiaTheme="minorHAnsi"/>
        </w:rPr>
        <w:t xml:space="preserve"> sign designating the 30-300 G (3-30 mT) boundary for </w:t>
      </w:r>
      <w:r w:rsidR="00EC7F90">
        <w:rPr>
          <w:rFonts w:eastAsiaTheme="minorHAnsi"/>
        </w:rPr>
        <w:t xml:space="preserve">ferrous </w:t>
      </w:r>
      <w:r>
        <w:rPr>
          <w:rFonts w:eastAsiaTheme="minorHAnsi"/>
        </w:rPr>
        <w:t>object consideration</w:t>
      </w:r>
    </w:p>
    <w:p w14:paraId="5A69AD27" w14:textId="0CB58B47" w:rsidR="00340CBC" w:rsidRDefault="00C4347B" w:rsidP="00C83D88">
      <w:pPr>
        <w:pStyle w:val="ListParagraph"/>
        <w:numPr>
          <w:ilvl w:val="1"/>
          <w:numId w:val="33"/>
        </w:numPr>
        <w:spacing w:after="200" w:line="276" w:lineRule="auto"/>
        <w:jc w:val="left"/>
        <w:rPr>
          <w:rFonts w:eastAsiaTheme="minorHAnsi"/>
        </w:rPr>
      </w:pPr>
      <w:r>
        <w:rPr>
          <w:rFonts w:eastAsiaTheme="minorHAnsi"/>
        </w:rPr>
        <w:t xml:space="preserve">CAUTION: </w:t>
      </w:r>
      <w:r w:rsidR="00801C30">
        <w:rPr>
          <w:rFonts w:eastAsiaTheme="minorHAnsi"/>
        </w:rPr>
        <w:t>MAGNETIC FIELD HAZARD</w:t>
      </w:r>
      <w:r w:rsidR="00D420AE">
        <w:rPr>
          <w:rFonts w:eastAsiaTheme="minorHAnsi"/>
        </w:rPr>
        <w:t xml:space="preserve">: 30-300 G (3-30 mT), Loose </w:t>
      </w:r>
      <w:r w:rsidR="00EC7F90">
        <w:rPr>
          <w:rFonts w:eastAsiaTheme="minorHAnsi"/>
        </w:rPr>
        <w:t xml:space="preserve">ferrous </w:t>
      </w:r>
      <w:r w:rsidR="00D420AE">
        <w:rPr>
          <w:rFonts w:eastAsiaTheme="minorHAnsi"/>
        </w:rPr>
        <w:t>objects may become projectiles</w:t>
      </w:r>
    </w:p>
    <w:p w14:paraId="70191028" w14:textId="2BACD78B" w:rsidR="00801C30" w:rsidRDefault="00D420AE" w:rsidP="00801C30">
      <w:pPr>
        <w:pStyle w:val="ListParagraph"/>
        <w:numPr>
          <w:ilvl w:val="0"/>
          <w:numId w:val="33"/>
        </w:numPr>
        <w:spacing w:after="200" w:line="276" w:lineRule="auto"/>
        <w:jc w:val="left"/>
        <w:rPr>
          <w:rFonts w:eastAsiaTheme="minorHAnsi"/>
        </w:rPr>
      </w:pPr>
      <w:r>
        <w:t>MR Projectile Boundary: High</w:t>
      </w:r>
      <w:r>
        <w:rPr>
          <w:rFonts w:eastAsiaTheme="minorHAnsi"/>
        </w:rPr>
        <w:t xml:space="preserve"> sign designating the 300 G (30 mT) </w:t>
      </w:r>
      <w:r w:rsidR="00801C30">
        <w:rPr>
          <w:rFonts w:eastAsiaTheme="minorHAnsi"/>
        </w:rPr>
        <w:t xml:space="preserve">or greater </w:t>
      </w:r>
      <w:r>
        <w:rPr>
          <w:rFonts w:eastAsiaTheme="minorHAnsi"/>
        </w:rPr>
        <w:t xml:space="preserve">boundary for </w:t>
      </w:r>
      <w:r w:rsidR="00EC7F90">
        <w:rPr>
          <w:rFonts w:eastAsiaTheme="minorHAnsi"/>
        </w:rPr>
        <w:t xml:space="preserve">ferrous </w:t>
      </w:r>
      <w:r>
        <w:rPr>
          <w:rFonts w:eastAsiaTheme="minorHAnsi"/>
        </w:rPr>
        <w:t>object consideration</w:t>
      </w:r>
    </w:p>
    <w:p w14:paraId="484F0D9E" w14:textId="34168E9E" w:rsidR="00C4347B" w:rsidRPr="00801C30" w:rsidRDefault="00C4347B" w:rsidP="00C83D88">
      <w:pPr>
        <w:pStyle w:val="ListParagraph"/>
        <w:numPr>
          <w:ilvl w:val="1"/>
          <w:numId w:val="33"/>
        </w:numPr>
        <w:spacing w:after="200" w:line="276" w:lineRule="auto"/>
        <w:jc w:val="left"/>
        <w:rPr>
          <w:rFonts w:eastAsiaTheme="minorHAnsi"/>
        </w:rPr>
      </w:pPr>
      <w:r w:rsidRPr="00801C30">
        <w:rPr>
          <w:rFonts w:eastAsiaTheme="minorHAnsi"/>
        </w:rPr>
        <w:t xml:space="preserve">DANGER: </w:t>
      </w:r>
      <w:r w:rsidR="00801C30" w:rsidRPr="00801C30">
        <w:rPr>
          <w:rFonts w:eastAsiaTheme="minorHAnsi"/>
        </w:rPr>
        <w:t>HIGH MAGNETIC FIELD HAZARD</w:t>
      </w:r>
      <w:r w:rsidRPr="00801C30">
        <w:rPr>
          <w:rFonts w:eastAsiaTheme="minorHAnsi"/>
        </w:rPr>
        <w:t xml:space="preserve">: No ferrous materials when magnet </w:t>
      </w:r>
      <w:r w:rsidR="00801C30">
        <w:rPr>
          <w:rFonts w:eastAsiaTheme="minorHAnsi"/>
        </w:rPr>
        <w:t xml:space="preserve">is </w:t>
      </w:r>
      <w:r w:rsidRPr="00801C30">
        <w:rPr>
          <w:rFonts w:eastAsiaTheme="minorHAnsi"/>
        </w:rPr>
        <w:t xml:space="preserve">energized </w:t>
      </w:r>
    </w:p>
    <w:p w14:paraId="49B9B9CA" w14:textId="008CE7EB" w:rsidR="00506830" w:rsidRPr="00340CBC" w:rsidRDefault="00177FC3" w:rsidP="005802A2">
      <w:pPr>
        <w:spacing w:after="200" w:line="276" w:lineRule="auto"/>
        <w:ind w:left="540"/>
        <w:jc w:val="left"/>
        <w:rPr>
          <w:rFonts w:eastAsiaTheme="minorHAnsi"/>
        </w:rPr>
      </w:pPr>
      <w:r w:rsidRPr="00340CBC">
        <w:rPr>
          <w:rFonts w:eastAsiaTheme="minorHAnsi"/>
        </w:rPr>
        <w:t xml:space="preserve">Appropriate signs should be posted in a way that best serves to warn potentially exposed personnel.  </w:t>
      </w:r>
      <w:r w:rsidR="00F252B1" w:rsidRPr="00340CBC">
        <w:rPr>
          <w:rFonts w:eastAsiaTheme="minorHAnsi"/>
        </w:rPr>
        <w:t xml:space="preserve">The layout and wording may be customized as best suits the nature of the SMF source(s) and potentially exposed individuals.  </w:t>
      </w:r>
      <w:r w:rsidRPr="00340CBC">
        <w:rPr>
          <w:rFonts w:eastAsiaTheme="minorHAnsi"/>
        </w:rPr>
        <w:t>Suggested sign layouts are shown below.</w:t>
      </w:r>
    </w:p>
    <w:p w14:paraId="56FF9C6A" w14:textId="63B633A3" w:rsidR="00506830" w:rsidRPr="005802A2" w:rsidRDefault="00CB259E" w:rsidP="00594C00">
      <w:pPr>
        <w:jc w:val="left"/>
        <w:rPr>
          <w:rFonts w:eastAsiaTheme="minorHAnsi"/>
        </w:rPr>
        <w:sectPr w:rsidR="00506830" w:rsidRPr="005802A2" w:rsidSect="004A6AF7">
          <w:footerReference w:type="default" r:id="rId10"/>
          <w:type w:val="continuous"/>
          <w:pgSz w:w="12240" w:h="15840" w:code="1"/>
          <w:pgMar w:top="720" w:right="1080" w:bottom="720" w:left="1440" w:header="720" w:footer="389" w:gutter="0"/>
          <w:pgNumType w:start="0"/>
          <w:cols w:space="720"/>
          <w:docGrid w:linePitch="360"/>
        </w:sectPr>
      </w:pPr>
      <w:r>
        <w:rPr>
          <w:rFonts w:eastAsiaTheme="minorHAnsi"/>
        </w:rPr>
        <w:br w:type="page"/>
      </w:r>
    </w:p>
    <w:p w14:paraId="7D3A1483" w14:textId="4A4D998B" w:rsidR="00A40EAF" w:rsidRPr="00395442" w:rsidRDefault="00CB7023">
      <w:pPr>
        <w:spacing w:after="200" w:line="276" w:lineRule="auto"/>
        <w:jc w:val="left"/>
        <w:rPr>
          <w:rFonts w:eastAsiaTheme="minorHAnsi"/>
        </w:rPr>
      </w:pPr>
      <w:r>
        <w:rPr>
          <w:rFonts w:eastAsiaTheme="minorHAnsi"/>
        </w:rPr>
        <w:lastRenderedPageBreak/>
        <w:t xml:space="preserve">Current </w:t>
      </w:r>
      <w:r w:rsidR="00857DDC">
        <w:rPr>
          <w:rFonts w:eastAsiaTheme="minorHAnsi"/>
        </w:rPr>
        <w:t>5</w:t>
      </w:r>
      <w:r w:rsidR="00A40EAF" w:rsidRPr="00395442">
        <w:rPr>
          <w:rFonts w:eastAsiaTheme="minorHAnsi"/>
        </w:rPr>
        <w:t xml:space="preserve"> G</w:t>
      </w:r>
      <w:r w:rsidR="000B3092">
        <w:rPr>
          <w:rFonts w:eastAsiaTheme="minorHAnsi"/>
        </w:rPr>
        <w:t xml:space="preserve"> (0.05 mT)</w:t>
      </w:r>
      <w:r w:rsidR="00A40EAF" w:rsidRPr="00395442">
        <w:rPr>
          <w:rFonts w:eastAsiaTheme="minorHAnsi"/>
        </w:rPr>
        <w:t xml:space="preserve"> Danger Sign:</w:t>
      </w:r>
    </w:p>
    <w:p w14:paraId="6A495D23" w14:textId="21E17F9E" w:rsidR="00940EA8" w:rsidRPr="005802A2" w:rsidRDefault="00A40EAF" w:rsidP="00506830">
      <w:pPr>
        <w:spacing w:after="200" w:line="276" w:lineRule="auto"/>
        <w:jc w:val="center"/>
        <w:rPr>
          <w:rFonts w:eastAsiaTheme="minorHAnsi"/>
        </w:rPr>
      </w:pPr>
      <w:r w:rsidRPr="005802A2">
        <w:rPr>
          <w:rFonts w:eastAsiaTheme="minorHAnsi"/>
          <w:noProof/>
        </w:rPr>
        <w:drawing>
          <wp:inline distT="0" distB="0" distL="0" distR="0" wp14:anchorId="6E915BC0" wp14:editId="0CBA70DC">
            <wp:extent cx="2695575" cy="18885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888565"/>
                    </a:xfrm>
                    <a:prstGeom prst="rect">
                      <a:avLst/>
                    </a:prstGeom>
                    <a:noFill/>
                    <a:ln>
                      <a:noFill/>
                    </a:ln>
                  </pic:spPr>
                </pic:pic>
              </a:graphicData>
            </a:graphic>
          </wp:inline>
        </w:drawing>
      </w:r>
    </w:p>
    <w:p w14:paraId="62E9A78A" w14:textId="4122FAA3" w:rsidR="00506830" w:rsidRDefault="00A932F2" w:rsidP="00A932F2">
      <w:pPr>
        <w:spacing w:after="200" w:line="276" w:lineRule="auto"/>
        <w:jc w:val="left"/>
      </w:pPr>
      <w:r>
        <w:t>MR Projectile Boundary: Low Caution Sign</w:t>
      </w:r>
      <w:r w:rsidR="00EB0F87">
        <w:t xml:space="preserve"> (2020)</w:t>
      </w:r>
      <w:r>
        <w:t>:</w:t>
      </w:r>
    </w:p>
    <w:p w14:paraId="514F8C6B" w14:textId="73CAC1B4" w:rsidR="002D7A92" w:rsidRPr="005802A2" w:rsidRDefault="00A932F2" w:rsidP="00C83D88">
      <w:pPr>
        <w:spacing w:after="200" w:line="276" w:lineRule="auto"/>
        <w:ind w:left="-90"/>
        <w:jc w:val="left"/>
        <w:rPr>
          <w:rFonts w:eastAsiaTheme="minorHAnsi"/>
        </w:rPr>
      </w:pPr>
      <w:r>
        <w:rPr>
          <w:noProof/>
        </w:rPr>
        <w:drawing>
          <wp:inline distT="0" distB="0" distL="0" distR="0" wp14:anchorId="255B4F19" wp14:editId="6FD5546F">
            <wp:extent cx="2781300" cy="2002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2314" cy="2017666"/>
                    </a:xfrm>
                    <a:prstGeom prst="rect">
                      <a:avLst/>
                    </a:prstGeom>
                    <a:noFill/>
                    <a:ln>
                      <a:noFill/>
                    </a:ln>
                  </pic:spPr>
                </pic:pic>
              </a:graphicData>
            </a:graphic>
          </wp:inline>
        </w:drawing>
      </w:r>
    </w:p>
    <w:p w14:paraId="23737143" w14:textId="0302F52D" w:rsidR="002D7A92" w:rsidRDefault="002D7A92" w:rsidP="005802A2">
      <w:pPr>
        <w:spacing w:after="200" w:line="276" w:lineRule="auto"/>
        <w:ind w:left="-90"/>
        <w:jc w:val="center"/>
        <w:rPr>
          <w:rFonts w:eastAsiaTheme="minorHAnsi"/>
        </w:rPr>
      </w:pPr>
    </w:p>
    <w:p w14:paraId="23846D81" w14:textId="2A69C383" w:rsidR="0077410E" w:rsidRDefault="0077410E" w:rsidP="005802A2">
      <w:pPr>
        <w:spacing w:after="200" w:line="276" w:lineRule="auto"/>
        <w:ind w:left="-90"/>
        <w:jc w:val="center"/>
        <w:rPr>
          <w:rFonts w:eastAsiaTheme="minorHAnsi"/>
        </w:rPr>
      </w:pPr>
    </w:p>
    <w:p w14:paraId="367E344F" w14:textId="22A98BA0" w:rsidR="0077410E" w:rsidRDefault="0077410E" w:rsidP="005802A2">
      <w:pPr>
        <w:spacing w:after="200" w:line="276" w:lineRule="auto"/>
        <w:ind w:left="-90"/>
        <w:jc w:val="center"/>
        <w:rPr>
          <w:rFonts w:eastAsiaTheme="minorHAnsi"/>
        </w:rPr>
      </w:pPr>
    </w:p>
    <w:p w14:paraId="5D5E3331" w14:textId="01DED63E" w:rsidR="0077410E" w:rsidRDefault="0077410E" w:rsidP="005802A2">
      <w:pPr>
        <w:spacing w:after="200" w:line="276" w:lineRule="auto"/>
        <w:ind w:left="-90"/>
        <w:jc w:val="center"/>
        <w:rPr>
          <w:rFonts w:eastAsiaTheme="minorHAnsi"/>
        </w:rPr>
      </w:pPr>
    </w:p>
    <w:p w14:paraId="5CCDAA2A" w14:textId="5905FC74" w:rsidR="0077410E" w:rsidRDefault="0077410E" w:rsidP="005802A2">
      <w:pPr>
        <w:spacing w:after="200" w:line="276" w:lineRule="auto"/>
        <w:ind w:left="-90"/>
        <w:jc w:val="center"/>
        <w:rPr>
          <w:rFonts w:eastAsiaTheme="minorHAnsi"/>
        </w:rPr>
      </w:pPr>
    </w:p>
    <w:p w14:paraId="55B2CDE6" w14:textId="4791CFA3" w:rsidR="0077410E" w:rsidRDefault="0077410E" w:rsidP="005802A2">
      <w:pPr>
        <w:spacing w:after="200" w:line="276" w:lineRule="auto"/>
        <w:ind w:left="-90"/>
        <w:jc w:val="center"/>
        <w:rPr>
          <w:rFonts w:eastAsiaTheme="minorHAnsi"/>
        </w:rPr>
      </w:pPr>
    </w:p>
    <w:p w14:paraId="3FD78D50" w14:textId="77777777" w:rsidR="0077410E" w:rsidRPr="00395442" w:rsidRDefault="0077410E" w:rsidP="005802A2">
      <w:pPr>
        <w:spacing w:after="200" w:line="276" w:lineRule="auto"/>
        <w:ind w:left="-90"/>
        <w:jc w:val="center"/>
        <w:rPr>
          <w:rFonts w:eastAsiaTheme="minorHAnsi"/>
        </w:rPr>
      </w:pPr>
    </w:p>
    <w:p w14:paraId="3A39AAC3" w14:textId="77777777" w:rsidR="002D7A92" w:rsidRDefault="002D7A92" w:rsidP="005802A2">
      <w:pPr>
        <w:spacing w:after="200" w:line="276" w:lineRule="auto"/>
        <w:ind w:left="-90"/>
        <w:jc w:val="left"/>
        <w:rPr>
          <w:rFonts w:eastAsiaTheme="minorHAnsi"/>
        </w:rPr>
      </w:pPr>
    </w:p>
    <w:p w14:paraId="620B594C" w14:textId="03A18047" w:rsidR="008251A2" w:rsidRPr="00395442" w:rsidRDefault="00EB0F87" w:rsidP="005802A2">
      <w:pPr>
        <w:spacing w:after="200" w:line="276" w:lineRule="auto"/>
        <w:ind w:left="-90"/>
        <w:jc w:val="left"/>
        <w:rPr>
          <w:rFonts w:eastAsiaTheme="minorHAnsi"/>
        </w:rPr>
      </w:pPr>
      <w:r>
        <w:rPr>
          <w:rFonts w:eastAsiaTheme="minorHAnsi"/>
        </w:rPr>
        <w:t>5</w:t>
      </w:r>
      <w:r w:rsidRPr="00395442">
        <w:rPr>
          <w:rFonts w:eastAsiaTheme="minorHAnsi"/>
        </w:rPr>
        <w:t xml:space="preserve"> </w:t>
      </w:r>
      <w:r w:rsidR="008251A2" w:rsidRPr="00395442">
        <w:rPr>
          <w:rFonts w:eastAsiaTheme="minorHAnsi"/>
        </w:rPr>
        <w:t>G</w:t>
      </w:r>
      <w:r w:rsidR="000B3092">
        <w:rPr>
          <w:rFonts w:eastAsiaTheme="minorHAnsi"/>
        </w:rPr>
        <w:t xml:space="preserve"> (0.05 mT)</w:t>
      </w:r>
      <w:r w:rsidR="008251A2" w:rsidRPr="00395442">
        <w:rPr>
          <w:rFonts w:eastAsiaTheme="minorHAnsi"/>
        </w:rPr>
        <w:t xml:space="preserve"> Danger Sign through 2018:</w:t>
      </w:r>
    </w:p>
    <w:p w14:paraId="3C598461" w14:textId="2068C186" w:rsidR="00177FC3" w:rsidRPr="00395442" w:rsidRDefault="00177FC3" w:rsidP="005802A2">
      <w:pPr>
        <w:ind w:left="-90" w:right="36" w:hanging="360"/>
        <w:jc w:val="center"/>
        <w:rPr>
          <w:color w:val="000000"/>
        </w:rPr>
      </w:pPr>
      <w:r w:rsidRPr="005802A2">
        <w:rPr>
          <w:noProof/>
        </w:rPr>
        <w:drawing>
          <wp:inline distT="0" distB="0" distL="0" distR="0" wp14:anchorId="335FF0DC" wp14:editId="37438784">
            <wp:extent cx="2977466" cy="10149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77466" cy="1014984"/>
                    </a:xfrm>
                    <a:prstGeom prst="rect">
                      <a:avLst/>
                    </a:prstGeom>
                    <a:noFill/>
                    <a:ln w="9525">
                      <a:noFill/>
                      <a:miter lim="800000"/>
                      <a:headEnd/>
                      <a:tailEnd/>
                    </a:ln>
                  </pic:spPr>
                </pic:pic>
              </a:graphicData>
            </a:graphic>
          </wp:inline>
        </w:drawing>
      </w:r>
    </w:p>
    <w:p w14:paraId="0A8C1E99" w14:textId="65C2DF0F" w:rsidR="008251A2" w:rsidRPr="00395442" w:rsidRDefault="008251A2" w:rsidP="005802A2">
      <w:pPr>
        <w:spacing w:after="200" w:line="276" w:lineRule="auto"/>
        <w:ind w:left="-90"/>
        <w:jc w:val="left"/>
        <w:rPr>
          <w:rFonts w:eastAsiaTheme="minorHAnsi"/>
        </w:rPr>
      </w:pPr>
      <w:r w:rsidRPr="00395442">
        <w:rPr>
          <w:rFonts w:eastAsiaTheme="minorHAnsi"/>
        </w:rPr>
        <w:t xml:space="preserve">Ferromagnetic Items Danger Sign through </w:t>
      </w:r>
      <w:r w:rsidR="002D7A92" w:rsidRPr="00395442">
        <w:rPr>
          <w:rFonts w:eastAsiaTheme="minorHAnsi"/>
        </w:rPr>
        <w:t>20</w:t>
      </w:r>
      <w:r w:rsidR="002D7A92">
        <w:rPr>
          <w:rFonts w:eastAsiaTheme="minorHAnsi"/>
        </w:rPr>
        <w:t>20</w:t>
      </w:r>
      <w:r w:rsidRPr="00395442">
        <w:rPr>
          <w:rFonts w:eastAsiaTheme="minorHAnsi"/>
        </w:rPr>
        <w:t>:</w:t>
      </w:r>
    </w:p>
    <w:p w14:paraId="0215903E" w14:textId="2AA64A77" w:rsidR="00177FC3" w:rsidRPr="00395442" w:rsidRDefault="00177FC3" w:rsidP="005802A2">
      <w:pPr>
        <w:ind w:left="-90" w:right="36" w:hanging="360"/>
        <w:jc w:val="center"/>
        <w:rPr>
          <w:color w:val="000000"/>
        </w:rPr>
      </w:pPr>
      <w:r w:rsidRPr="005802A2">
        <w:rPr>
          <w:noProof/>
        </w:rPr>
        <w:drawing>
          <wp:inline distT="0" distB="0" distL="0" distR="0" wp14:anchorId="3B754A0D" wp14:editId="45B08F62">
            <wp:extent cx="2964889" cy="101069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966729" cy="1011323"/>
                    </a:xfrm>
                    <a:prstGeom prst="rect">
                      <a:avLst/>
                    </a:prstGeom>
                    <a:noFill/>
                    <a:ln w="9525">
                      <a:noFill/>
                      <a:miter lim="800000"/>
                      <a:headEnd/>
                      <a:tailEnd/>
                    </a:ln>
                  </pic:spPr>
                </pic:pic>
              </a:graphicData>
            </a:graphic>
          </wp:inline>
        </w:drawing>
      </w:r>
    </w:p>
    <w:p w14:paraId="084A52E6" w14:textId="3F7CC911" w:rsidR="00A10CC0" w:rsidRPr="00395442" w:rsidRDefault="00A10CC0">
      <w:pPr>
        <w:ind w:right="36"/>
        <w:rPr>
          <w:color w:val="000000"/>
        </w:rPr>
      </w:pPr>
    </w:p>
    <w:p w14:paraId="1D8D3F07" w14:textId="25106176" w:rsidR="002D7A92" w:rsidRDefault="002D7A92" w:rsidP="002D7A92">
      <w:pPr>
        <w:spacing w:after="200" w:line="276" w:lineRule="auto"/>
        <w:jc w:val="left"/>
      </w:pPr>
      <w:r>
        <w:t>MR Projectile Boundary: High Danger Sign</w:t>
      </w:r>
      <w:r w:rsidR="00EB0F87">
        <w:t xml:space="preserve"> (2020)</w:t>
      </w:r>
      <w:r>
        <w:t>:</w:t>
      </w:r>
    </w:p>
    <w:p w14:paraId="2888927E" w14:textId="15333506" w:rsidR="002D7A92" w:rsidRDefault="002D7A92" w:rsidP="002D7A92">
      <w:pPr>
        <w:spacing w:after="200" w:line="276" w:lineRule="auto"/>
        <w:jc w:val="left"/>
      </w:pPr>
      <w:r>
        <w:rPr>
          <w:noProof/>
        </w:rPr>
        <w:drawing>
          <wp:inline distT="0" distB="0" distL="0" distR="0" wp14:anchorId="4DB1F6AC" wp14:editId="40CA518F">
            <wp:extent cx="2739528" cy="19907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0270" cy="2005798"/>
                    </a:xfrm>
                    <a:prstGeom prst="rect">
                      <a:avLst/>
                    </a:prstGeom>
                    <a:noFill/>
                    <a:ln>
                      <a:noFill/>
                    </a:ln>
                  </pic:spPr>
                </pic:pic>
              </a:graphicData>
            </a:graphic>
          </wp:inline>
        </w:drawing>
      </w:r>
    </w:p>
    <w:p w14:paraId="591246FE" w14:textId="6F807252" w:rsidR="00726FD2" w:rsidRDefault="00726FD2" w:rsidP="00C83D88">
      <w:pPr>
        <w:spacing w:after="200" w:line="276" w:lineRule="auto"/>
        <w:jc w:val="left"/>
        <w:rPr>
          <w:rFonts w:eastAsiaTheme="minorHAnsi"/>
        </w:rPr>
        <w:sectPr w:rsidR="00726FD2" w:rsidSect="00C83D88">
          <w:footerReference w:type="default" r:id="rId16"/>
          <w:type w:val="continuous"/>
          <w:pgSz w:w="12240" w:h="15840" w:code="1"/>
          <w:pgMar w:top="720" w:right="1080" w:bottom="720" w:left="1440" w:header="720" w:footer="389" w:gutter="0"/>
          <w:cols w:num="2" w:space="720"/>
          <w:docGrid w:linePitch="360"/>
        </w:sectPr>
      </w:pPr>
    </w:p>
    <w:p w14:paraId="2EACE195" w14:textId="5465BF67" w:rsidR="004F2A41" w:rsidRPr="005802A2" w:rsidRDefault="00177FC3" w:rsidP="005802A2">
      <w:pPr>
        <w:pStyle w:val="Heading2"/>
        <w:tabs>
          <w:tab w:val="clear" w:pos="774"/>
        </w:tabs>
        <w:ind w:left="720" w:hanging="450"/>
      </w:pPr>
      <w:bookmarkStart w:id="65" w:name="_Toc34643430"/>
      <w:bookmarkStart w:id="66" w:name="_Toc34651305"/>
      <w:bookmarkStart w:id="67" w:name="_Toc38982713"/>
      <w:bookmarkStart w:id="68" w:name="_Toc39063516"/>
      <w:bookmarkStart w:id="69" w:name="_Toc39065188"/>
      <w:bookmarkStart w:id="70" w:name="_Toc39067208"/>
      <w:bookmarkStart w:id="71" w:name="_Toc40359451"/>
      <w:bookmarkStart w:id="72" w:name="_Hlk43453403"/>
      <w:bookmarkStart w:id="73" w:name="_Toc47430488"/>
      <w:bookmarkEnd w:id="65"/>
      <w:bookmarkEnd w:id="66"/>
      <w:bookmarkEnd w:id="67"/>
      <w:bookmarkEnd w:id="68"/>
      <w:bookmarkEnd w:id="69"/>
      <w:bookmarkEnd w:id="70"/>
      <w:bookmarkEnd w:id="71"/>
      <w:r w:rsidRPr="005802A2">
        <w:lastRenderedPageBreak/>
        <w:t xml:space="preserve">Medical </w:t>
      </w:r>
      <w:r w:rsidR="004F2A41">
        <w:t>S</w:t>
      </w:r>
      <w:r w:rsidRPr="005802A2">
        <w:t>urveillance</w:t>
      </w:r>
      <w:bookmarkEnd w:id="73"/>
      <w:r w:rsidRPr="005802A2">
        <w:t xml:space="preserve"> </w:t>
      </w:r>
    </w:p>
    <w:p w14:paraId="1CE189A5" w14:textId="43E1C231" w:rsidR="00177FC3" w:rsidRPr="004F2A41" w:rsidRDefault="00177FC3" w:rsidP="005802A2">
      <w:pPr>
        <w:spacing w:after="200" w:line="276" w:lineRule="auto"/>
        <w:ind w:left="540"/>
        <w:jc w:val="left"/>
        <w:rPr>
          <w:rFonts w:eastAsiaTheme="minorHAnsi"/>
        </w:rPr>
      </w:pPr>
      <w:r w:rsidRPr="004F2A41">
        <w:rPr>
          <w:rFonts w:eastAsiaTheme="minorHAnsi"/>
        </w:rPr>
        <w:t xml:space="preserve">Potential exposures to high magnetic fields should be identified </w:t>
      </w:r>
      <w:r w:rsidR="00FB5B78">
        <w:rPr>
          <w:rFonts w:eastAsiaTheme="minorHAnsi"/>
        </w:rPr>
        <w:t xml:space="preserve">for personnel </w:t>
      </w:r>
      <w:r w:rsidRPr="004F2A41">
        <w:rPr>
          <w:rFonts w:eastAsiaTheme="minorHAnsi"/>
        </w:rPr>
        <w:t>by supervisors</w:t>
      </w:r>
      <w:r w:rsidR="00FB5B78">
        <w:rPr>
          <w:rFonts w:eastAsiaTheme="minorHAnsi"/>
        </w:rPr>
        <w:t xml:space="preserve"> or points of contact</w:t>
      </w:r>
      <w:r w:rsidRPr="004F2A41">
        <w:rPr>
          <w:rFonts w:eastAsiaTheme="minorHAnsi"/>
        </w:rPr>
        <w:t xml:space="preserve"> via </w:t>
      </w:r>
      <w:r w:rsidR="00FB5B78">
        <w:rPr>
          <w:rFonts w:eastAsiaTheme="minorHAnsi"/>
        </w:rPr>
        <w:t>the</w:t>
      </w:r>
      <w:r w:rsidR="00EC7F90" w:rsidRPr="004F2A41">
        <w:rPr>
          <w:rFonts w:eastAsiaTheme="minorHAnsi"/>
        </w:rPr>
        <w:t xml:space="preserve"> </w:t>
      </w:r>
      <w:r w:rsidRPr="004F2A41">
        <w:rPr>
          <w:rFonts w:eastAsiaTheme="minorHAnsi"/>
        </w:rPr>
        <w:t xml:space="preserve">Work Activities Analysis Form (WAAF - </w:t>
      </w:r>
      <w:hyperlink r:id="rId17" w:history="1">
        <w:r w:rsidR="004F2A41" w:rsidRPr="005802A2">
          <w:rPr>
            <w:rStyle w:val="Hyperlink"/>
            <w:rFonts w:eastAsiaTheme="minorHAnsi"/>
          </w:rPr>
          <w:t>http://www-esh.fnal.gov/pls/default/WAAF.html</w:t>
        </w:r>
      </w:hyperlink>
      <w:r w:rsidRPr="004F2A41">
        <w:rPr>
          <w:rFonts w:eastAsiaTheme="minorHAnsi"/>
        </w:rPr>
        <w:t xml:space="preserve">).  </w:t>
      </w:r>
    </w:p>
    <w:p w14:paraId="6C5681F4" w14:textId="26734D4E" w:rsidR="00177FC3" w:rsidRPr="005802A2" w:rsidRDefault="00177FC3" w:rsidP="005802A2">
      <w:pPr>
        <w:spacing w:after="200" w:line="276" w:lineRule="auto"/>
        <w:ind w:left="540"/>
        <w:contextualSpacing/>
        <w:jc w:val="left"/>
        <w:rPr>
          <w:rFonts w:eastAsiaTheme="minorHAnsi"/>
        </w:rPr>
      </w:pPr>
      <w:r w:rsidRPr="005802A2">
        <w:rPr>
          <w:rFonts w:eastAsiaTheme="minorHAnsi"/>
        </w:rPr>
        <w:t xml:space="preserve">Persons with metallic implants (excluding dental fillings), metallic prosthesis, metallic fragments (especially in eyes), medical electronic devices, or active sickle cell anemia should be prohibited from the </w:t>
      </w:r>
      <w:r w:rsidR="00C4347B">
        <w:rPr>
          <w:rFonts w:eastAsiaTheme="minorHAnsi"/>
        </w:rPr>
        <w:t>MR Environment</w:t>
      </w:r>
      <w:r w:rsidR="00C4347B" w:rsidRPr="005802A2">
        <w:rPr>
          <w:rFonts w:eastAsiaTheme="minorHAnsi"/>
        </w:rPr>
        <w:t xml:space="preserve"> </w:t>
      </w:r>
      <w:r w:rsidRPr="005802A2">
        <w:rPr>
          <w:rFonts w:eastAsiaTheme="minorHAnsi"/>
        </w:rPr>
        <w:t xml:space="preserve">unless permitted by the </w:t>
      </w:r>
      <w:r w:rsidR="00CC6204">
        <w:rPr>
          <w:rFonts w:eastAsiaTheme="minorHAnsi"/>
        </w:rPr>
        <w:t xml:space="preserve">Fermilab </w:t>
      </w:r>
      <w:r w:rsidRPr="005802A2">
        <w:rPr>
          <w:rFonts w:eastAsiaTheme="minorHAnsi"/>
        </w:rPr>
        <w:t>Occupational Medic</w:t>
      </w:r>
      <w:r w:rsidR="00CC6204">
        <w:rPr>
          <w:rFonts w:eastAsiaTheme="minorHAnsi"/>
        </w:rPr>
        <w:t>al Office</w:t>
      </w:r>
      <w:r w:rsidRPr="005802A2">
        <w:rPr>
          <w:rFonts w:eastAsiaTheme="minorHAnsi"/>
        </w:rPr>
        <w:t>.</w:t>
      </w:r>
    </w:p>
    <w:p w14:paraId="4DC467B3" w14:textId="77777777" w:rsidR="00177FC3" w:rsidRPr="005802A2" w:rsidRDefault="00177FC3" w:rsidP="005802A2">
      <w:pPr>
        <w:spacing w:after="200" w:line="276" w:lineRule="auto"/>
        <w:ind w:left="540"/>
        <w:contextualSpacing/>
        <w:jc w:val="left"/>
        <w:rPr>
          <w:rFonts w:eastAsiaTheme="minorHAnsi"/>
        </w:rPr>
      </w:pPr>
    </w:p>
    <w:p w14:paraId="5ECE01D7" w14:textId="5E6CC2E2" w:rsidR="00832736" w:rsidRPr="005802A2" w:rsidRDefault="00177FC3" w:rsidP="005802A2">
      <w:pPr>
        <w:spacing w:after="200" w:line="276" w:lineRule="auto"/>
        <w:ind w:left="540"/>
        <w:contextualSpacing/>
        <w:jc w:val="left"/>
        <w:rPr>
          <w:rFonts w:eastAsiaTheme="minorHAnsi"/>
        </w:rPr>
      </w:pPr>
      <w:r w:rsidRPr="005802A2">
        <w:rPr>
          <w:rFonts w:eastAsiaTheme="minorHAnsi"/>
        </w:rPr>
        <w:t>Medical electronic devices include cardiac pacemakers, cardiac defibrillators, hormone infusion pumps (e.g., for insulin), neuromuscular stimulation devices (e.g., for the sphincter muscle of the bladder), and electronically operated prosthetic devices (e.g., for the limbs and inner ear).</w:t>
      </w:r>
    </w:p>
    <w:bookmarkEnd w:id="72"/>
    <w:p w14:paraId="4E056014" w14:textId="77777777" w:rsidR="00BC4763" w:rsidRPr="00395442" w:rsidRDefault="00BC4763" w:rsidP="005802A2">
      <w:pPr>
        <w:spacing w:after="200" w:line="276" w:lineRule="auto"/>
        <w:ind w:left="720"/>
        <w:contextualSpacing/>
        <w:jc w:val="left"/>
        <w:rPr>
          <w:color w:val="000000"/>
        </w:rPr>
      </w:pPr>
    </w:p>
    <w:p w14:paraId="3F43B762" w14:textId="69D66E3B" w:rsidR="00BC4763" w:rsidRPr="00395442" w:rsidRDefault="00BC4763" w:rsidP="00702476">
      <w:pPr>
        <w:pStyle w:val="Heading1"/>
        <w:tabs>
          <w:tab w:val="left" w:pos="0"/>
        </w:tabs>
        <w:ind w:hanging="360"/>
      </w:pPr>
      <w:r w:rsidRPr="00395442">
        <w:t xml:space="preserve">    </w:t>
      </w:r>
      <w:bookmarkStart w:id="74" w:name="_Toc47430489"/>
      <w:r w:rsidRPr="00395442">
        <w:t>REFERENCES</w:t>
      </w:r>
      <w:bookmarkEnd w:id="74"/>
    </w:p>
    <w:p w14:paraId="26356A11" w14:textId="77777777" w:rsidR="00BC4763" w:rsidRPr="00395442" w:rsidRDefault="00BC4763" w:rsidP="001A737D">
      <w:pPr>
        <w:ind w:left="720" w:right="36"/>
      </w:pPr>
    </w:p>
    <w:p w14:paraId="575BBFD1" w14:textId="77777777" w:rsidR="003D39BB" w:rsidRDefault="00F5266A" w:rsidP="003D39BB">
      <w:pPr>
        <w:pStyle w:val="Bibliography"/>
        <w:rPr>
          <w:noProof/>
        </w:rPr>
      </w:pPr>
      <w:r>
        <w:rPr>
          <w:rFonts w:eastAsiaTheme="minorHAnsi"/>
        </w:rPr>
        <w:fldChar w:fldCharType="begin"/>
      </w:r>
      <w:r>
        <w:rPr>
          <w:rFonts w:eastAsiaTheme="minorHAnsi"/>
        </w:rPr>
        <w:instrText xml:space="preserve"> BIBLIOGRAPHY  \l 1033 </w:instrText>
      </w:r>
      <w:r>
        <w:rPr>
          <w:rFonts w:eastAsiaTheme="minorHAnsi"/>
        </w:rPr>
        <w:fldChar w:fldCharType="separate"/>
      </w:r>
      <w:r w:rsidR="003D39BB">
        <w:rPr>
          <w:noProof/>
        </w:rPr>
        <w:t xml:space="preserve">1. </w:t>
      </w:r>
      <w:r w:rsidR="003D39BB">
        <w:rPr>
          <w:b/>
          <w:bCs/>
          <w:noProof/>
        </w:rPr>
        <w:t>ACGIH.</w:t>
      </w:r>
      <w:r w:rsidR="003D39BB">
        <w:rPr>
          <w:noProof/>
        </w:rPr>
        <w:t xml:space="preserve"> Static Magnetic Fields: TLV(R) Physical Agents 7th Edition Documentation. [Online] ACGIH. https://www.acgih.org/forms/store/ProductFormPublic/static-magnetic-fields-tlv-r-physical-agents-7th-edition-documentation.</w:t>
      </w:r>
    </w:p>
    <w:p w14:paraId="75DAA7F0" w14:textId="77777777" w:rsidR="003D39BB" w:rsidRDefault="003D39BB" w:rsidP="003D39BB">
      <w:pPr>
        <w:pStyle w:val="Bibliography"/>
        <w:rPr>
          <w:noProof/>
        </w:rPr>
      </w:pPr>
      <w:r>
        <w:rPr>
          <w:noProof/>
        </w:rPr>
        <w:t xml:space="preserve">2. </w:t>
      </w:r>
      <w:r>
        <w:rPr>
          <w:b/>
          <w:bCs/>
          <w:noProof/>
        </w:rPr>
        <w:t>INTERNATIONAL COMMISSION ON NON‐IONIZING RADIATION PROTECTION.</w:t>
      </w:r>
      <w:r>
        <w:rPr>
          <w:noProof/>
        </w:rPr>
        <w:t xml:space="preserve"> </w:t>
      </w:r>
      <w:r>
        <w:rPr>
          <w:i/>
          <w:iCs/>
          <w:noProof/>
        </w:rPr>
        <w:t xml:space="preserve">ICNIRP GUIDELINES ON LIMITS OF EXPOSURE TO STATIC MAGNETIC FIELDS. </w:t>
      </w:r>
      <w:r>
        <w:rPr>
          <w:noProof/>
        </w:rPr>
        <w:t>Oberschleissheim : ICNIRP, 2009. HEALTH PHYSICS 96(4):504‐514; 2009.</w:t>
      </w:r>
    </w:p>
    <w:p w14:paraId="60699B6B" w14:textId="77777777" w:rsidR="003D39BB" w:rsidRDefault="003D39BB" w:rsidP="003D39BB">
      <w:pPr>
        <w:pStyle w:val="Bibliography"/>
        <w:rPr>
          <w:noProof/>
        </w:rPr>
      </w:pPr>
      <w:r>
        <w:rPr>
          <w:noProof/>
        </w:rPr>
        <w:t xml:space="preserve">3. </w:t>
      </w:r>
      <w:r>
        <w:rPr>
          <w:i/>
          <w:iCs/>
          <w:noProof/>
        </w:rPr>
        <w:t xml:space="preserve">Experimental evaluation of ballistic hazards in imaging diagnostic center. </w:t>
      </w:r>
      <w:r>
        <w:rPr>
          <w:b/>
          <w:bCs/>
          <w:noProof/>
        </w:rPr>
        <w:t>Karpowicz, Jolanta and Gryz, Krzysztof.</w:t>
      </w:r>
      <w:r>
        <w:rPr>
          <w:noProof/>
        </w:rPr>
        <w:t xml:space="preserve"> 31–37, Warsaw : Laboratory of Electromagnetic Hazards, Central Institute for Labour Protection – National Research Institute, 2013, Vol. 78(2).</w:t>
      </w:r>
    </w:p>
    <w:p w14:paraId="4E7C542D" w14:textId="77777777" w:rsidR="003D39BB" w:rsidRDefault="003D39BB" w:rsidP="003D39BB">
      <w:pPr>
        <w:pStyle w:val="Bibliography"/>
        <w:rPr>
          <w:noProof/>
        </w:rPr>
      </w:pPr>
      <w:r>
        <w:rPr>
          <w:noProof/>
        </w:rPr>
        <w:t xml:space="preserve">4. </w:t>
      </w:r>
      <w:r>
        <w:rPr>
          <w:b/>
          <w:bCs/>
          <w:noProof/>
        </w:rPr>
        <w:t>The Society and College of Radiographers.</w:t>
      </w:r>
      <w:r>
        <w:rPr>
          <w:noProof/>
        </w:rPr>
        <w:t xml:space="preserve"> Static magnetic field. </w:t>
      </w:r>
      <w:r>
        <w:rPr>
          <w:i/>
          <w:iCs/>
          <w:noProof/>
        </w:rPr>
        <w:t xml:space="preserve">THE SOCIETY OF RADIOGRAPHERS. </w:t>
      </w:r>
      <w:r>
        <w:rPr>
          <w:noProof/>
        </w:rPr>
        <w:t>[Online] 2020. [Cited: June 01, 2020.] https://www.sor.org/learning/document-library/safety-magnetic-resonance-imaging/5-static-magnetic-field.</w:t>
      </w:r>
    </w:p>
    <w:p w14:paraId="12B6294D" w14:textId="77777777" w:rsidR="003D39BB" w:rsidRDefault="003D39BB" w:rsidP="003D39BB">
      <w:pPr>
        <w:pStyle w:val="Bibliography"/>
        <w:rPr>
          <w:noProof/>
        </w:rPr>
      </w:pPr>
      <w:r>
        <w:rPr>
          <w:noProof/>
        </w:rPr>
        <w:t xml:space="preserve">5. </w:t>
      </w:r>
      <w:r>
        <w:rPr>
          <w:b/>
          <w:bCs/>
          <w:noProof/>
        </w:rPr>
        <w:t>Miller, T and Kenny, J.</w:t>
      </w:r>
      <w:r>
        <w:rPr>
          <w:noProof/>
        </w:rPr>
        <w:t xml:space="preserve"> ESH DocDB Document 5714-v1 Historical Technical Appendix to FESHM 4270. </w:t>
      </w:r>
      <w:r>
        <w:rPr>
          <w:i/>
          <w:iCs/>
          <w:noProof/>
        </w:rPr>
        <w:t xml:space="preserve">ES&amp;H DOCUMENT DATABASE. </w:t>
      </w:r>
      <w:r>
        <w:rPr>
          <w:noProof/>
        </w:rPr>
        <w:t>[Online] https://esh-docdb.fnal.gov/cgi-bin/sso/ShowDocument?docid=5714.</w:t>
      </w:r>
    </w:p>
    <w:p w14:paraId="5DA8CCB8" w14:textId="6AD0B3F3" w:rsidR="001A74A8" w:rsidRPr="00395442" w:rsidRDefault="00F5266A" w:rsidP="00B06EDD">
      <w:pPr>
        <w:ind w:right="36"/>
      </w:pPr>
      <w:r>
        <w:rPr>
          <w:rFonts w:eastAsiaTheme="minorHAnsi"/>
        </w:rPr>
        <w:fldChar w:fldCharType="end"/>
      </w:r>
    </w:p>
    <w:sectPr w:rsidR="001A74A8" w:rsidRPr="00395442" w:rsidSect="000C3B0C">
      <w:footerReference w:type="default" r:id="rId1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B88BE" w14:textId="77777777" w:rsidR="00AC12D5" w:rsidRDefault="00AC12D5" w:rsidP="00CB66DF">
      <w:r>
        <w:separator/>
      </w:r>
    </w:p>
  </w:endnote>
  <w:endnote w:type="continuationSeparator" w:id="0">
    <w:p w14:paraId="573BBF0E" w14:textId="77777777" w:rsidR="00AC12D5" w:rsidRDefault="00AC12D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F385" w14:textId="1E36B22C" w:rsidR="007760F5" w:rsidRDefault="007760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4270-</w:t>
    </w:r>
    <w:r w:rsidRPr="004A6AF7">
      <w:rPr>
        <w:rFonts w:ascii="Palatino" w:hAnsi="Palatino"/>
        <w:sz w:val="18"/>
      </w:rPr>
      <w:fldChar w:fldCharType="begin"/>
    </w:r>
    <w:r w:rsidRPr="004A6AF7">
      <w:rPr>
        <w:rFonts w:ascii="Palatino" w:hAnsi="Palatino"/>
        <w:sz w:val="18"/>
      </w:rPr>
      <w:instrText xml:space="preserve"> PAGE   \* MERGEFORMAT </w:instrText>
    </w:r>
    <w:r w:rsidRPr="004A6AF7">
      <w:rPr>
        <w:rFonts w:ascii="Palatino" w:hAnsi="Palatino"/>
        <w:sz w:val="18"/>
      </w:rPr>
      <w:fldChar w:fldCharType="separate"/>
    </w:r>
    <w:r w:rsidRPr="004A6AF7">
      <w:rPr>
        <w:rFonts w:ascii="Palatino" w:hAnsi="Palatino"/>
        <w:noProof/>
        <w:sz w:val="18"/>
      </w:rPr>
      <w:t>1</w:t>
    </w:r>
    <w:r w:rsidRPr="004A6AF7">
      <w:rPr>
        <w:rFonts w:ascii="Palatino" w:hAnsi="Palatino"/>
        <w:noProof/>
        <w:sz w:val="18"/>
      </w:rPr>
      <w:fldChar w:fldCharType="end"/>
    </w:r>
  </w:p>
  <w:p w14:paraId="450D4508" w14:textId="4B59A368" w:rsidR="007760F5" w:rsidRDefault="007760F5"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 xml:space="preserve">Rev. </w:t>
    </w:r>
    <w:r w:rsidR="00B30E5B">
      <w:rPr>
        <w:sz w:val="18"/>
        <w:szCs w:val="18"/>
      </w:rPr>
      <w:t>7</w:t>
    </w:r>
    <w:r>
      <w:rPr>
        <w:sz w:val="18"/>
        <w:szCs w:val="18"/>
      </w:rPr>
      <w:t>/20</w:t>
    </w:r>
    <w:r w:rsidR="0077410E">
      <w:rPr>
        <w:sz w:val="18"/>
        <w:szCs w:val="18"/>
      </w:rPr>
      <w:t>20</w:t>
    </w:r>
    <w:r w:rsidRPr="00A71082">
      <w:rPr>
        <w:rFonts w:ascii="Palatino" w:hAnsi="Palatino"/>
        <w:sz w:val="18"/>
        <w:szCs w:val="18"/>
      </w:rPr>
      <w:t xml:space="preserve"> </w:t>
    </w:r>
    <w:r w:rsidRPr="00E131D2">
      <w:rPr>
        <w:rFonts w:ascii="Palatino" w:hAnsi="Palatino"/>
      </w:rPr>
      <w:t xml:space="preserve">    </w:t>
    </w:r>
  </w:p>
  <w:p w14:paraId="291E1D4C" w14:textId="77777777" w:rsidR="007760F5" w:rsidRDefault="007760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356BAD7" w14:textId="77777777" w:rsidR="007760F5" w:rsidRPr="00B072B8" w:rsidRDefault="007760F5"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EC10" w14:textId="335DFE01" w:rsidR="007760F5" w:rsidRDefault="007760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4270-</w:t>
    </w:r>
    <w:r w:rsidRPr="004A6AF7">
      <w:rPr>
        <w:rFonts w:ascii="Palatino" w:hAnsi="Palatino"/>
        <w:sz w:val="18"/>
      </w:rPr>
      <w:fldChar w:fldCharType="begin"/>
    </w:r>
    <w:r w:rsidRPr="004A6AF7">
      <w:rPr>
        <w:rFonts w:ascii="Palatino" w:hAnsi="Palatino"/>
        <w:sz w:val="18"/>
      </w:rPr>
      <w:instrText xml:space="preserve"> PAGE   \* MERGEFORMAT </w:instrText>
    </w:r>
    <w:r w:rsidRPr="004A6AF7">
      <w:rPr>
        <w:rFonts w:ascii="Palatino" w:hAnsi="Palatino"/>
        <w:sz w:val="18"/>
      </w:rPr>
      <w:fldChar w:fldCharType="separate"/>
    </w:r>
    <w:r w:rsidRPr="004A6AF7">
      <w:rPr>
        <w:rFonts w:ascii="Palatino" w:hAnsi="Palatino"/>
        <w:noProof/>
        <w:sz w:val="18"/>
      </w:rPr>
      <w:t>1</w:t>
    </w:r>
    <w:r w:rsidRPr="004A6AF7">
      <w:rPr>
        <w:rFonts w:ascii="Palatino" w:hAnsi="Palatino"/>
        <w:noProof/>
        <w:sz w:val="18"/>
      </w:rPr>
      <w:fldChar w:fldCharType="end"/>
    </w:r>
  </w:p>
  <w:p w14:paraId="5CD9EFF6" w14:textId="58AD9C25" w:rsidR="007760F5" w:rsidRDefault="007760F5"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 xml:space="preserve">Rev. </w:t>
    </w:r>
    <w:r w:rsidR="0077410E">
      <w:rPr>
        <w:sz w:val="18"/>
        <w:szCs w:val="18"/>
      </w:rPr>
      <w:t>6</w:t>
    </w:r>
    <w:r>
      <w:rPr>
        <w:sz w:val="18"/>
        <w:szCs w:val="18"/>
      </w:rPr>
      <w:t>/2020</w:t>
    </w:r>
    <w:r w:rsidRPr="00A71082">
      <w:rPr>
        <w:rFonts w:ascii="Palatino" w:hAnsi="Palatino"/>
        <w:sz w:val="18"/>
        <w:szCs w:val="18"/>
      </w:rPr>
      <w:t xml:space="preserve"> </w:t>
    </w:r>
    <w:r w:rsidRPr="00E131D2">
      <w:rPr>
        <w:rFonts w:ascii="Palatino" w:hAnsi="Palatino"/>
      </w:rPr>
      <w:t xml:space="preserve">    </w:t>
    </w:r>
  </w:p>
  <w:p w14:paraId="2FD79B84" w14:textId="77777777" w:rsidR="007760F5" w:rsidRDefault="007760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D75E70C" w14:textId="77777777" w:rsidR="007760F5" w:rsidRDefault="007760F5"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F2DBE3B" w14:textId="77777777" w:rsidR="007760F5" w:rsidRPr="00DB5D5A" w:rsidRDefault="007760F5" w:rsidP="00E00D72">
    <w:pPr>
      <w:pStyle w:val="Header"/>
      <w:rPr>
        <w:rStyle w:val="PageNumber"/>
        <w:i/>
        <w:sz w:val="20"/>
        <w:szCs w:val="20"/>
        <w:lang w:val="es-ES_tradnl"/>
      </w:rPr>
    </w:pPr>
    <w:r w:rsidRPr="00DB5D5A">
      <w:rPr>
        <w:rStyle w:val="PageNumber"/>
        <w:i/>
        <w:sz w:val="20"/>
        <w:szCs w:val="20"/>
        <w:lang w:val="es-SV"/>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12D8" w14:textId="37E632CC" w:rsidR="007760F5" w:rsidRDefault="007760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4270-</w:t>
    </w:r>
    <w:r w:rsidRPr="00FC2ABA">
      <w:rPr>
        <w:rFonts w:ascii="Palatino" w:hAnsi="Palatino"/>
        <w:sz w:val="18"/>
      </w:rPr>
      <w:fldChar w:fldCharType="begin"/>
    </w:r>
    <w:r w:rsidRPr="00FC2ABA">
      <w:rPr>
        <w:rFonts w:ascii="Palatino" w:hAnsi="Palatino"/>
        <w:sz w:val="18"/>
      </w:rPr>
      <w:instrText xml:space="preserve"> PAGE   \* MERGEFORMAT </w:instrText>
    </w:r>
    <w:r w:rsidRPr="00FC2ABA">
      <w:rPr>
        <w:rFonts w:ascii="Palatino" w:hAnsi="Palatino"/>
        <w:sz w:val="18"/>
      </w:rPr>
      <w:fldChar w:fldCharType="separate"/>
    </w:r>
    <w:r w:rsidRPr="00FC2ABA">
      <w:rPr>
        <w:rFonts w:ascii="Palatino" w:hAnsi="Palatino"/>
        <w:noProof/>
        <w:sz w:val="18"/>
      </w:rPr>
      <w:t>1</w:t>
    </w:r>
    <w:r w:rsidRPr="00FC2ABA">
      <w:rPr>
        <w:rFonts w:ascii="Palatino" w:hAnsi="Palatino"/>
        <w:noProof/>
        <w:sz w:val="18"/>
      </w:rPr>
      <w:fldChar w:fldCharType="end"/>
    </w:r>
  </w:p>
  <w:p w14:paraId="4C2BE66C" w14:textId="2C8B7129" w:rsidR="007760F5" w:rsidRDefault="007760F5"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6/2020</w:t>
    </w:r>
    <w:r w:rsidRPr="00A71082">
      <w:rPr>
        <w:rFonts w:ascii="Palatino" w:hAnsi="Palatino"/>
        <w:sz w:val="18"/>
        <w:szCs w:val="18"/>
      </w:rPr>
      <w:t xml:space="preserve"> </w:t>
    </w:r>
    <w:r w:rsidRPr="00E131D2">
      <w:rPr>
        <w:rFonts w:ascii="Palatino" w:hAnsi="Palatino"/>
      </w:rPr>
      <w:t xml:space="preserve">    </w:t>
    </w:r>
  </w:p>
  <w:p w14:paraId="4B33A409" w14:textId="77777777" w:rsidR="007760F5" w:rsidRDefault="007760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728CF34" w14:textId="77777777" w:rsidR="007760F5" w:rsidRDefault="007760F5"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3A1C0E1" w14:textId="77777777" w:rsidR="007760F5" w:rsidRPr="00DB5D5A" w:rsidRDefault="007760F5" w:rsidP="00E00D72">
    <w:pPr>
      <w:pStyle w:val="Header"/>
      <w:rPr>
        <w:rStyle w:val="PageNumber"/>
        <w:i/>
        <w:sz w:val="20"/>
        <w:szCs w:val="20"/>
        <w:lang w:val="es-ES_tradnl"/>
      </w:rPr>
    </w:pPr>
    <w:r w:rsidRPr="00DB5D5A">
      <w:rPr>
        <w:rStyle w:val="PageNumber"/>
        <w:i/>
        <w:sz w:val="20"/>
        <w:szCs w:val="20"/>
        <w:lang w:val="es-SV"/>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31A2" w14:textId="7558A694" w:rsidR="007760F5" w:rsidRDefault="007760F5"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4270-</w:t>
    </w:r>
    <w:r w:rsidRPr="004A6AF7">
      <w:rPr>
        <w:rFonts w:ascii="Palatino" w:hAnsi="Palatino"/>
        <w:sz w:val="18"/>
      </w:rPr>
      <w:fldChar w:fldCharType="begin"/>
    </w:r>
    <w:r w:rsidRPr="004A6AF7">
      <w:rPr>
        <w:rFonts w:ascii="Palatino" w:hAnsi="Palatino"/>
        <w:sz w:val="18"/>
      </w:rPr>
      <w:instrText xml:space="preserve"> PAGE   \* MERGEFORMAT </w:instrText>
    </w:r>
    <w:r w:rsidRPr="004A6AF7">
      <w:rPr>
        <w:rFonts w:ascii="Palatino" w:hAnsi="Palatino"/>
        <w:sz w:val="18"/>
      </w:rPr>
      <w:fldChar w:fldCharType="separate"/>
    </w:r>
    <w:r w:rsidRPr="004A6AF7">
      <w:rPr>
        <w:rFonts w:ascii="Palatino" w:hAnsi="Palatino"/>
        <w:noProof/>
        <w:sz w:val="18"/>
      </w:rPr>
      <w:t>1</w:t>
    </w:r>
    <w:r w:rsidRPr="004A6AF7">
      <w:rPr>
        <w:rFonts w:ascii="Palatino" w:hAnsi="Palatino"/>
        <w:noProof/>
        <w:sz w:val="18"/>
      </w:rPr>
      <w:fldChar w:fldCharType="end"/>
    </w:r>
  </w:p>
  <w:p w14:paraId="689FF03C" w14:textId="2690ADB9" w:rsidR="007760F5" w:rsidRPr="005802A2" w:rsidRDefault="007760F5" w:rsidP="00B072B8">
    <w:pPr>
      <w:pStyle w:val="Footer"/>
      <w:pBdr>
        <w:top w:val="single" w:sz="6" w:space="0" w:color="auto"/>
      </w:pBdr>
      <w:rPr>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Rev. 6/2020</w:t>
    </w:r>
    <w:r w:rsidRPr="00A71082">
      <w:rPr>
        <w:rFonts w:ascii="Palatino" w:hAnsi="Palatino"/>
        <w:sz w:val="18"/>
        <w:szCs w:val="18"/>
      </w:rPr>
      <w:t xml:space="preserve"> </w:t>
    </w:r>
    <w:r w:rsidRPr="00E131D2">
      <w:rPr>
        <w:rFonts w:ascii="Palatino" w:hAnsi="Palatino"/>
      </w:rPr>
      <w:t xml:space="preserve">    </w:t>
    </w:r>
  </w:p>
  <w:p w14:paraId="5AD02C93" w14:textId="77777777" w:rsidR="007760F5" w:rsidRDefault="007760F5"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F4AEA20" w14:textId="77777777" w:rsidR="007760F5" w:rsidRDefault="007760F5"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804CEF3" w14:textId="77777777" w:rsidR="007760F5" w:rsidRPr="00DB5D5A" w:rsidRDefault="007760F5"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54C4" w14:textId="77777777" w:rsidR="00AC12D5" w:rsidRDefault="00AC12D5" w:rsidP="00CB66DF">
      <w:r>
        <w:separator/>
      </w:r>
    </w:p>
  </w:footnote>
  <w:footnote w:type="continuationSeparator" w:id="0">
    <w:p w14:paraId="2671059A" w14:textId="77777777" w:rsidR="00AC12D5" w:rsidRDefault="00AC12D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7"/>
      <w:gridCol w:w="2739"/>
    </w:tblGrid>
    <w:tr w:rsidR="007760F5" w:rsidRPr="00423E3B" w14:paraId="7A143BCD" w14:textId="77777777" w:rsidTr="00F64ECA">
      <w:trPr>
        <w:trHeight w:val="611"/>
      </w:trPr>
      <w:tc>
        <w:tcPr>
          <w:tcW w:w="2676" w:type="dxa"/>
        </w:tcPr>
        <w:p w14:paraId="765151E6" w14:textId="77777777" w:rsidR="007760F5" w:rsidRDefault="007760F5" w:rsidP="00F64ECA">
          <w:r w:rsidRPr="00684839">
            <w:rPr>
              <w:noProof/>
            </w:rPr>
            <w:drawing>
              <wp:anchor distT="0" distB="0" distL="114300" distR="114300" simplePos="0" relativeHeight="251663360" behindDoc="0" locked="0" layoutInCell="1" allowOverlap="0" wp14:anchorId="7547293F" wp14:editId="460646CE">
                <wp:simplePos x="0" y="0"/>
                <wp:positionH relativeFrom="page">
                  <wp:posOffset>45720</wp:posOffset>
                </wp:positionH>
                <wp:positionV relativeFrom="page">
                  <wp:posOffset>161290</wp:posOffset>
                </wp:positionV>
                <wp:extent cx="1552575" cy="276225"/>
                <wp:effectExtent l="0" t="0" r="9525" b="9525"/>
                <wp:wrapTopAndBottom/>
                <wp:docPr id="12" name="Picture 1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28BFD27A" w14:textId="77777777" w:rsidR="007760F5" w:rsidRDefault="007760F5" w:rsidP="00F64ECA">
          <w:pPr>
            <w:jc w:val="center"/>
          </w:pPr>
          <w:r>
            <w:t>ES&amp;H Manual</w:t>
          </w:r>
        </w:p>
      </w:tc>
      <w:tc>
        <w:tcPr>
          <w:tcW w:w="2741" w:type="dxa"/>
          <w:vAlign w:val="center"/>
        </w:tcPr>
        <w:p w14:paraId="61FA57C7" w14:textId="64C4E6AF" w:rsidR="007760F5" w:rsidRPr="00423E3B" w:rsidRDefault="007760F5" w:rsidP="00F64ECA">
          <w:pPr>
            <w:jc w:val="center"/>
          </w:pPr>
          <w:r>
            <w:t>FESHM 4270</w:t>
          </w:r>
        </w:p>
        <w:p w14:paraId="5C0655BE" w14:textId="76A2C8E9" w:rsidR="007760F5" w:rsidRPr="00423E3B" w:rsidRDefault="007760F5" w:rsidP="00C94138">
          <w:pPr>
            <w:jc w:val="center"/>
          </w:pPr>
          <w:r>
            <w:t>Ju</w:t>
          </w:r>
          <w:r w:rsidR="00B30E5B">
            <w:t>ly</w:t>
          </w:r>
          <w:r>
            <w:t xml:space="preserve"> 2020</w:t>
          </w:r>
        </w:p>
      </w:tc>
    </w:tr>
  </w:tbl>
  <w:p w14:paraId="425995A7" w14:textId="77777777" w:rsidR="007760F5" w:rsidRDefault="007760F5"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B6BF4"/>
    <w:multiLevelType w:val="hybridMultilevel"/>
    <w:tmpl w:val="5C7A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803497"/>
    <w:multiLevelType w:val="hybridMultilevel"/>
    <w:tmpl w:val="64F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3453"/>
    <w:multiLevelType w:val="hybridMultilevel"/>
    <w:tmpl w:val="1F80E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013CF0"/>
    <w:multiLevelType w:val="multilevel"/>
    <w:tmpl w:val="99782C5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FE0D45"/>
    <w:multiLevelType w:val="hybridMultilevel"/>
    <w:tmpl w:val="84E2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F489F"/>
    <w:multiLevelType w:val="hybridMultilevel"/>
    <w:tmpl w:val="7BC49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9256C"/>
    <w:multiLevelType w:val="hybridMultilevel"/>
    <w:tmpl w:val="76984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F14D7"/>
    <w:multiLevelType w:val="hybridMultilevel"/>
    <w:tmpl w:val="8232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74143"/>
    <w:multiLevelType w:val="hybridMultilevel"/>
    <w:tmpl w:val="E154E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54A7B"/>
    <w:multiLevelType w:val="hybridMultilevel"/>
    <w:tmpl w:val="399A4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E6062"/>
    <w:multiLevelType w:val="hybridMultilevel"/>
    <w:tmpl w:val="9EFA67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6012D9"/>
    <w:multiLevelType w:val="multilevel"/>
    <w:tmpl w:val="F28EE15C"/>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774"/>
        </w:tabs>
        <w:ind w:left="77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64D40AA"/>
    <w:multiLevelType w:val="hybridMultilevel"/>
    <w:tmpl w:val="E9FE726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489E0DFA"/>
    <w:multiLevelType w:val="hybridMultilevel"/>
    <w:tmpl w:val="B882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3A639F"/>
    <w:multiLevelType w:val="hybridMultilevel"/>
    <w:tmpl w:val="2A3CA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5DF1"/>
    <w:multiLevelType w:val="hybridMultilevel"/>
    <w:tmpl w:val="8162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34483"/>
    <w:multiLevelType w:val="hybridMultilevel"/>
    <w:tmpl w:val="0BA63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F052D"/>
    <w:multiLevelType w:val="hybridMultilevel"/>
    <w:tmpl w:val="9212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72ED5"/>
    <w:multiLevelType w:val="hybridMultilevel"/>
    <w:tmpl w:val="CD66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6" w15:restartNumberingAfterBreak="0">
    <w:nsid w:val="6AF759EF"/>
    <w:multiLevelType w:val="hybridMultilevel"/>
    <w:tmpl w:val="F0FE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F7A62"/>
    <w:multiLevelType w:val="hybridMultilevel"/>
    <w:tmpl w:val="14381244"/>
    <w:lvl w:ilvl="0" w:tplc="0409000F">
      <w:start w:val="1"/>
      <w:numFmt w:val="decimal"/>
      <w:lvlText w:val="%1."/>
      <w:lvlJc w:val="left"/>
      <w:pPr>
        <w:ind w:left="1260" w:hanging="360"/>
      </w:p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E452B34"/>
    <w:multiLevelType w:val="hybridMultilevel"/>
    <w:tmpl w:val="683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739BA"/>
    <w:multiLevelType w:val="hybridMultilevel"/>
    <w:tmpl w:val="AC9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574D7"/>
    <w:multiLevelType w:val="hybridMultilevel"/>
    <w:tmpl w:val="74460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6"/>
  </w:num>
  <w:num w:numId="3">
    <w:abstractNumId w:val="15"/>
  </w:num>
  <w:num w:numId="4">
    <w:abstractNumId w:val="3"/>
  </w:num>
  <w:num w:numId="5">
    <w:abstractNumId w:val="19"/>
  </w:num>
  <w:num w:numId="6">
    <w:abstractNumId w:val="1"/>
  </w:num>
  <w:num w:numId="7">
    <w:abstractNumId w:val="0"/>
  </w:num>
  <w:num w:numId="8">
    <w:abstractNumId w:val="11"/>
  </w:num>
  <w:num w:numId="9">
    <w:abstractNumId w:val="2"/>
  </w:num>
  <w:num w:numId="10">
    <w:abstractNumId w:val="6"/>
  </w:num>
  <w:num w:numId="11">
    <w:abstractNumId w:val="14"/>
  </w:num>
  <w:num w:numId="12">
    <w:abstractNumId w:val="22"/>
  </w:num>
  <w:num w:numId="13">
    <w:abstractNumId w:val="14"/>
  </w:num>
  <w:num w:numId="14">
    <w:abstractNumId w:val="14"/>
  </w:num>
  <w:num w:numId="15">
    <w:abstractNumId w:val="14"/>
  </w:num>
  <w:num w:numId="16">
    <w:abstractNumId w:val="14"/>
  </w:num>
  <w:num w:numId="17">
    <w:abstractNumId w:val="17"/>
  </w:num>
  <w:num w:numId="18">
    <w:abstractNumId w:val="9"/>
  </w:num>
  <w:num w:numId="19">
    <w:abstractNumId w:val="10"/>
  </w:num>
  <w:num w:numId="20">
    <w:abstractNumId w:val="28"/>
  </w:num>
  <w:num w:numId="21">
    <w:abstractNumId w:val="5"/>
  </w:num>
  <w:num w:numId="22">
    <w:abstractNumId w:val="13"/>
  </w:num>
  <w:num w:numId="23">
    <w:abstractNumId w:val="12"/>
  </w:num>
  <w:num w:numId="24">
    <w:abstractNumId w:val="21"/>
  </w:num>
  <w:num w:numId="25">
    <w:abstractNumId w:val="26"/>
  </w:num>
  <w:num w:numId="26">
    <w:abstractNumId w:val="29"/>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27"/>
  </w:num>
  <w:num w:numId="34">
    <w:abstractNumId w:val="23"/>
  </w:num>
  <w:num w:numId="35">
    <w:abstractNumId w:val="7"/>
  </w:num>
  <w:num w:numId="36">
    <w:abstractNumId w:val="18"/>
  </w:num>
  <w:num w:numId="37">
    <w:abstractNumId w:val="24"/>
  </w:num>
  <w:num w:numId="38">
    <w:abstractNumId w:val="8"/>
  </w:num>
  <w:num w:numId="39">
    <w:abstractNumId w:val="20"/>
  </w:num>
  <w:num w:numId="40">
    <w:abstractNumId w:val="14"/>
  </w:num>
  <w:num w:numId="41">
    <w:abstractNumId w:val="14"/>
  </w:num>
  <w:num w:numId="42">
    <w:abstractNumId w:val="14"/>
  </w:num>
  <w:num w:numId="43">
    <w:abstractNumId w:val="30"/>
  </w:num>
  <w:num w:numId="44">
    <w:abstractNumId w:val="4"/>
  </w:num>
  <w:num w:numId="4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6273"/>
    <w:rsid w:val="0000707A"/>
    <w:rsid w:val="0000745E"/>
    <w:rsid w:val="000116E7"/>
    <w:rsid w:val="00011BF7"/>
    <w:rsid w:val="000151E7"/>
    <w:rsid w:val="0001715A"/>
    <w:rsid w:val="00021BF3"/>
    <w:rsid w:val="00023346"/>
    <w:rsid w:val="000238E1"/>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5A14"/>
    <w:rsid w:val="0004683B"/>
    <w:rsid w:val="00047208"/>
    <w:rsid w:val="000503E9"/>
    <w:rsid w:val="00051148"/>
    <w:rsid w:val="000544A6"/>
    <w:rsid w:val="00056963"/>
    <w:rsid w:val="00056DB6"/>
    <w:rsid w:val="000578BB"/>
    <w:rsid w:val="00057D4A"/>
    <w:rsid w:val="00060903"/>
    <w:rsid w:val="00061473"/>
    <w:rsid w:val="000629F3"/>
    <w:rsid w:val="00063F1F"/>
    <w:rsid w:val="00065AC6"/>
    <w:rsid w:val="00071B76"/>
    <w:rsid w:val="00071D86"/>
    <w:rsid w:val="00074000"/>
    <w:rsid w:val="000753FB"/>
    <w:rsid w:val="00077A12"/>
    <w:rsid w:val="00077CC7"/>
    <w:rsid w:val="0008004A"/>
    <w:rsid w:val="0008360F"/>
    <w:rsid w:val="000843FD"/>
    <w:rsid w:val="00084E8E"/>
    <w:rsid w:val="00087098"/>
    <w:rsid w:val="00087349"/>
    <w:rsid w:val="00087650"/>
    <w:rsid w:val="000903AC"/>
    <w:rsid w:val="0009048F"/>
    <w:rsid w:val="00091A64"/>
    <w:rsid w:val="00092162"/>
    <w:rsid w:val="00092598"/>
    <w:rsid w:val="00093E42"/>
    <w:rsid w:val="0009599A"/>
    <w:rsid w:val="00095A16"/>
    <w:rsid w:val="00096281"/>
    <w:rsid w:val="000967BA"/>
    <w:rsid w:val="0009703B"/>
    <w:rsid w:val="000A3E0D"/>
    <w:rsid w:val="000A425D"/>
    <w:rsid w:val="000A5E66"/>
    <w:rsid w:val="000B0E2E"/>
    <w:rsid w:val="000B1B47"/>
    <w:rsid w:val="000B2647"/>
    <w:rsid w:val="000B3092"/>
    <w:rsid w:val="000B6364"/>
    <w:rsid w:val="000B6567"/>
    <w:rsid w:val="000B6B6E"/>
    <w:rsid w:val="000C0F6D"/>
    <w:rsid w:val="000C3B0C"/>
    <w:rsid w:val="000C4A3F"/>
    <w:rsid w:val="000C4FB0"/>
    <w:rsid w:val="000C5636"/>
    <w:rsid w:val="000C6331"/>
    <w:rsid w:val="000C71AD"/>
    <w:rsid w:val="000C7994"/>
    <w:rsid w:val="000D046F"/>
    <w:rsid w:val="000D19A3"/>
    <w:rsid w:val="000D30D7"/>
    <w:rsid w:val="000D39EA"/>
    <w:rsid w:val="000D4910"/>
    <w:rsid w:val="000D7FF2"/>
    <w:rsid w:val="000E2AF0"/>
    <w:rsid w:val="000F0F63"/>
    <w:rsid w:val="000F44E9"/>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39B2"/>
    <w:rsid w:val="00124813"/>
    <w:rsid w:val="00130521"/>
    <w:rsid w:val="00131A6B"/>
    <w:rsid w:val="00131F48"/>
    <w:rsid w:val="0013480F"/>
    <w:rsid w:val="00134F2E"/>
    <w:rsid w:val="001358C6"/>
    <w:rsid w:val="00135D98"/>
    <w:rsid w:val="00136E2D"/>
    <w:rsid w:val="001377F4"/>
    <w:rsid w:val="001413CF"/>
    <w:rsid w:val="00141A7B"/>
    <w:rsid w:val="00141E0D"/>
    <w:rsid w:val="00142414"/>
    <w:rsid w:val="00142C80"/>
    <w:rsid w:val="0014359A"/>
    <w:rsid w:val="001435A9"/>
    <w:rsid w:val="0014589B"/>
    <w:rsid w:val="001460E1"/>
    <w:rsid w:val="00147228"/>
    <w:rsid w:val="00153337"/>
    <w:rsid w:val="001545C6"/>
    <w:rsid w:val="001553D8"/>
    <w:rsid w:val="00155AFD"/>
    <w:rsid w:val="00156784"/>
    <w:rsid w:val="001602AD"/>
    <w:rsid w:val="001614CB"/>
    <w:rsid w:val="001638A8"/>
    <w:rsid w:val="001671F2"/>
    <w:rsid w:val="001675C4"/>
    <w:rsid w:val="00167EFC"/>
    <w:rsid w:val="00170851"/>
    <w:rsid w:val="001727E1"/>
    <w:rsid w:val="00173293"/>
    <w:rsid w:val="00175BCA"/>
    <w:rsid w:val="00177097"/>
    <w:rsid w:val="001776A4"/>
    <w:rsid w:val="00177CD0"/>
    <w:rsid w:val="00177FC3"/>
    <w:rsid w:val="00180D9E"/>
    <w:rsid w:val="00181736"/>
    <w:rsid w:val="00181C2B"/>
    <w:rsid w:val="00182587"/>
    <w:rsid w:val="0018265C"/>
    <w:rsid w:val="00187BA6"/>
    <w:rsid w:val="00187F2A"/>
    <w:rsid w:val="0019249C"/>
    <w:rsid w:val="00192D5D"/>
    <w:rsid w:val="00194594"/>
    <w:rsid w:val="001951AE"/>
    <w:rsid w:val="00195AF3"/>
    <w:rsid w:val="00196B80"/>
    <w:rsid w:val="00196CE0"/>
    <w:rsid w:val="001A2707"/>
    <w:rsid w:val="001A2CF3"/>
    <w:rsid w:val="001A2D45"/>
    <w:rsid w:val="001A3403"/>
    <w:rsid w:val="001A5396"/>
    <w:rsid w:val="001A737D"/>
    <w:rsid w:val="001A74A8"/>
    <w:rsid w:val="001B33CF"/>
    <w:rsid w:val="001B5668"/>
    <w:rsid w:val="001B623B"/>
    <w:rsid w:val="001B6A20"/>
    <w:rsid w:val="001C167C"/>
    <w:rsid w:val="001D4317"/>
    <w:rsid w:val="001D435E"/>
    <w:rsid w:val="001D6345"/>
    <w:rsid w:val="001D7801"/>
    <w:rsid w:val="001E20EF"/>
    <w:rsid w:val="001E3FC1"/>
    <w:rsid w:val="001E4839"/>
    <w:rsid w:val="001E4A8A"/>
    <w:rsid w:val="001E7609"/>
    <w:rsid w:val="001F0772"/>
    <w:rsid w:val="001F1994"/>
    <w:rsid w:val="001F1FA5"/>
    <w:rsid w:val="001F36C2"/>
    <w:rsid w:val="001F38CB"/>
    <w:rsid w:val="001F3CEC"/>
    <w:rsid w:val="001F6324"/>
    <w:rsid w:val="001F6F81"/>
    <w:rsid w:val="002024AE"/>
    <w:rsid w:val="002028EB"/>
    <w:rsid w:val="00203E01"/>
    <w:rsid w:val="00205349"/>
    <w:rsid w:val="002058CF"/>
    <w:rsid w:val="002070AE"/>
    <w:rsid w:val="002078BB"/>
    <w:rsid w:val="00207EAC"/>
    <w:rsid w:val="0021040F"/>
    <w:rsid w:val="00210CB6"/>
    <w:rsid w:val="002149DE"/>
    <w:rsid w:val="0022039C"/>
    <w:rsid w:val="00221181"/>
    <w:rsid w:val="00224423"/>
    <w:rsid w:val="00227D7D"/>
    <w:rsid w:val="00230C9C"/>
    <w:rsid w:val="00231245"/>
    <w:rsid w:val="00237834"/>
    <w:rsid w:val="00240A0C"/>
    <w:rsid w:val="00240CC3"/>
    <w:rsid w:val="00241C70"/>
    <w:rsid w:val="002423A5"/>
    <w:rsid w:val="002441F5"/>
    <w:rsid w:val="0024447E"/>
    <w:rsid w:val="00244E31"/>
    <w:rsid w:val="002452C2"/>
    <w:rsid w:val="002537CB"/>
    <w:rsid w:val="002565E1"/>
    <w:rsid w:val="00256813"/>
    <w:rsid w:val="00257F0B"/>
    <w:rsid w:val="00263F3B"/>
    <w:rsid w:val="002657F5"/>
    <w:rsid w:val="00265ED9"/>
    <w:rsid w:val="002666E8"/>
    <w:rsid w:val="00266C7B"/>
    <w:rsid w:val="0026770D"/>
    <w:rsid w:val="00267A46"/>
    <w:rsid w:val="0027002A"/>
    <w:rsid w:val="002712BD"/>
    <w:rsid w:val="0027397C"/>
    <w:rsid w:val="0027613C"/>
    <w:rsid w:val="00276AB1"/>
    <w:rsid w:val="00276EA5"/>
    <w:rsid w:val="002817FC"/>
    <w:rsid w:val="00281E60"/>
    <w:rsid w:val="00283E19"/>
    <w:rsid w:val="002848C0"/>
    <w:rsid w:val="0028562B"/>
    <w:rsid w:val="00285A6D"/>
    <w:rsid w:val="00285CFC"/>
    <w:rsid w:val="002900AF"/>
    <w:rsid w:val="0029459A"/>
    <w:rsid w:val="00295187"/>
    <w:rsid w:val="00295D6F"/>
    <w:rsid w:val="0029668C"/>
    <w:rsid w:val="002A60CB"/>
    <w:rsid w:val="002A6EDC"/>
    <w:rsid w:val="002A71D3"/>
    <w:rsid w:val="002B0B0A"/>
    <w:rsid w:val="002B107E"/>
    <w:rsid w:val="002B2D45"/>
    <w:rsid w:val="002B4274"/>
    <w:rsid w:val="002B57C7"/>
    <w:rsid w:val="002B5B37"/>
    <w:rsid w:val="002C2CF5"/>
    <w:rsid w:val="002D175B"/>
    <w:rsid w:val="002D19E5"/>
    <w:rsid w:val="002D2174"/>
    <w:rsid w:val="002D2A16"/>
    <w:rsid w:val="002D57E8"/>
    <w:rsid w:val="002D59DB"/>
    <w:rsid w:val="002D7124"/>
    <w:rsid w:val="002D7A92"/>
    <w:rsid w:val="002E2986"/>
    <w:rsid w:val="002E3E18"/>
    <w:rsid w:val="002E47B2"/>
    <w:rsid w:val="002E5369"/>
    <w:rsid w:val="002E59FA"/>
    <w:rsid w:val="002E7240"/>
    <w:rsid w:val="002F0968"/>
    <w:rsid w:val="002F0C68"/>
    <w:rsid w:val="002F1773"/>
    <w:rsid w:val="002F2503"/>
    <w:rsid w:val="002F2AA2"/>
    <w:rsid w:val="002F42F8"/>
    <w:rsid w:val="002F56F7"/>
    <w:rsid w:val="002F6595"/>
    <w:rsid w:val="003048EB"/>
    <w:rsid w:val="003064C6"/>
    <w:rsid w:val="003108FF"/>
    <w:rsid w:val="003129BC"/>
    <w:rsid w:val="00320751"/>
    <w:rsid w:val="00320BE0"/>
    <w:rsid w:val="00321CC4"/>
    <w:rsid w:val="00322B76"/>
    <w:rsid w:val="00324707"/>
    <w:rsid w:val="00326C74"/>
    <w:rsid w:val="003314AE"/>
    <w:rsid w:val="00331B7E"/>
    <w:rsid w:val="00332CE2"/>
    <w:rsid w:val="00333547"/>
    <w:rsid w:val="0033452E"/>
    <w:rsid w:val="00334D1F"/>
    <w:rsid w:val="003359FE"/>
    <w:rsid w:val="00336470"/>
    <w:rsid w:val="003374DA"/>
    <w:rsid w:val="00337B75"/>
    <w:rsid w:val="00340CBC"/>
    <w:rsid w:val="003413F8"/>
    <w:rsid w:val="00341753"/>
    <w:rsid w:val="00342FDF"/>
    <w:rsid w:val="003436CD"/>
    <w:rsid w:val="003447F8"/>
    <w:rsid w:val="0034499D"/>
    <w:rsid w:val="003477BB"/>
    <w:rsid w:val="00352848"/>
    <w:rsid w:val="003559A3"/>
    <w:rsid w:val="00355F6A"/>
    <w:rsid w:val="00361AC4"/>
    <w:rsid w:val="0036344E"/>
    <w:rsid w:val="00365CB6"/>
    <w:rsid w:val="00366ED2"/>
    <w:rsid w:val="0036718E"/>
    <w:rsid w:val="0036763A"/>
    <w:rsid w:val="00370122"/>
    <w:rsid w:val="00371A11"/>
    <w:rsid w:val="003737DA"/>
    <w:rsid w:val="00373B2D"/>
    <w:rsid w:val="00375FF1"/>
    <w:rsid w:val="0038078C"/>
    <w:rsid w:val="00380ED8"/>
    <w:rsid w:val="00382E18"/>
    <w:rsid w:val="00384B57"/>
    <w:rsid w:val="00384EC7"/>
    <w:rsid w:val="00385246"/>
    <w:rsid w:val="00385787"/>
    <w:rsid w:val="003871C9"/>
    <w:rsid w:val="0039062C"/>
    <w:rsid w:val="00391326"/>
    <w:rsid w:val="003913FD"/>
    <w:rsid w:val="00394948"/>
    <w:rsid w:val="00394C03"/>
    <w:rsid w:val="00395442"/>
    <w:rsid w:val="003A0194"/>
    <w:rsid w:val="003A2C85"/>
    <w:rsid w:val="003A531C"/>
    <w:rsid w:val="003A5595"/>
    <w:rsid w:val="003A5AC0"/>
    <w:rsid w:val="003A7A38"/>
    <w:rsid w:val="003B04C6"/>
    <w:rsid w:val="003B0790"/>
    <w:rsid w:val="003B1C88"/>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39BB"/>
    <w:rsid w:val="003E0245"/>
    <w:rsid w:val="003E0FAA"/>
    <w:rsid w:val="003E10D6"/>
    <w:rsid w:val="003E1E6A"/>
    <w:rsid w:val="003E2680"/>
    <w:rsid w:val="003E2A77"/>
    <w:rsid w:val="003E2CCD"/>
    <w:rsid w:val="003E2DA5"/>
    <w:rsid w:val="003E5010"/>
    <w:rsid w:val="003E62C5"/>
    <w:rsid w:val="003F031D"/>
    <w:rsid w:val="003F09C1"/>
    <w:rsid w:val="003F2636"/>
    <w:rsid w:val="003F4F93"/>
    <w:rsid w:val="003F5679"/>
    <w:rsid w:val="003F71F9"/>
    <w:rsid w:val="003F760F"/>
    <w:rsid w:val="00401546"/>
    <w:rsid w:val="00402787"/>
    <w:rsid w:val="0040419E"/>
    <w:rsid w:val="00404230"/>
    <w:rsid w:val="004049E6"/>
    <w:rsid w:val="00406BE2"/>
    <w:rsid w:val="00406DB7"/>
    <w:rsid w:val="00407DDC"/>
    <w:rsid w:val="00411AB0"/>
    <w:rsid w:val="00412AEF"/>
    <w:rsid w:val="00413C09"/>
    <w:rsid w:val="00420422"/>
    <w:rsid w:val="00421C9B"/>
    <w:rsid w:val="00421E7E"/>
    <w:rsid w:val="004253EE"/>
    <w:rsid w:val="0042555C"/>
    <w:rsid w:val="0042586B"/>
    <w:rsid w:val="00430A76"/>
    <w:rsid w:val="00430F28"/>
    <w:rsid w:val="0043512A"/>
    <w:rsid w:val="00436D22"/>
    <w:rsid w:val="00437B3E"/>
    <w:rsid w:val="00443161"/>
    <w:rsid w:val="00443162"/>
    <w:rsid w:val="004509BD"/>
    <w:rsid w:val="00450E63"/>
    <w:rsid w:val="00451757"/>
    <w:rsid w:val="00451BA9"/>
    <w:rsid w:val="004534A4"/>
    <w:rsid w:val="00454ED4"/>
    <w:rsid w:val="00456364"/>
    <w:rsid w:val="00456B16"/>
    <w:rsid w:val="00457563"/>
    <w:rsid w:val="00460BB2"/>
    <w:rsid w:val="00463335"/>
    <w:rsid w:val="004653F6"/>
    <w:rsid w:val="0047029F"/>
    <w:rsid w:val="00471E8E"/>
    <w:rsid w:val="00471FD4"/>
    <w:rsid w:val="004721F8"/>
    <w:rsid w:val="004727C2"/>
    <w:rsid w:val="00476E8C"/>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00"/>
    <w:rsid w:val="004979D8"/>
    <w:rsid w:val="004A0EF2"/>
    <w:rsid w:val="004A31B8"/>
    <w:rsid w:val="004A3F92"/>
    <w:rsid w:val="004A6AF7"/>
    <w:rsid w:val="004A6C6B"/>
    <w:rsid w:val="004A6E56"/>
    <w:rsid w:val="004B077E"/>
    <w:rsid w:val="004B078A"/>
    <w:rsid w:val="004B1826"/>
    <w:rsid w:val="004B35AB"/>
    <w:rsid w:val="004B4172"/>
    <w:rsid w:val="004C1AB3"/>
    <w:rsid w:val="004C3431"/>
    <w:rsid w:val="004C3C32"/>
    <w:rsid w:val="004D0ADB"/>
    <w:rsid w:val="004E061F"/>
    <w:rsid w:val="004E0DEC"/>
    <w:rsid w:val="004E39E4"/>
    <w:rsid w:val="004E3FFF"/>
    <w:rsid w:val="004E4E33"/>
    <w:rsid w:val="004E561F"/>
    <w:rsid w:val="004E6099"/>
    <w:rsid w:val="004E767D"/>
    <w:rsid w:val="004F09B7"/>
    <w:rsid w:val="004F0A28"/>
    <w:rsid w:val="004F254C"/>
    <w:rsid w:val="004F26A5"/>
    <w:rsid w:val="004F2A41"/>
    <w:rsid w:val="004F4540"/>
    <w:rsid w:val="004F69E5"/>
    <w:rsid w:val="005006F2"/>
    <w:rsid w:val="00500D7F"/>
    <w:rsid w:val="0050301A"/>
    <w:rsid w:val="0050529C"/>
    <w:rsid w:val="00506830"/>
    <w:rsid w:val="00507CCC"/>
    <w:rsid w:val="00510511"/>
    <w:rsid w:val="00510D22"/>
    <w:rsid w:val="00514461"/>
    <w:rsid w:val="00520642"/>
    <w:rsid w:val="00521E58"/>
    <w:rsid w:val="00522F55"/>
    <w:rsid w:val="005248D9"/>
    <w:rsid w:val="005251FC"/>
    <w:rsid w:val="00525ABA"/>
    <w:rsid w:val="00531918"/>
    <w:rsid w:val="00533AE2"/>
    <w:rsid w:val="00535396"/>
    <w:rsid w:val="00535BA0"/>
    <w:rsid w:val="00537EF1"/>
    <w:rsid w:val="0054060D"/>
    <w:rsid w:val="00540A98"/>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2A2"/>
    <w:rsid w:val="00580564"/>
    <w:rsid w:val="00581724"/>
    <w:rsid w:val="0058188E"/>
    <w:rsid w:val="00581D19"/>
    <w:rsid w:val="0058507D"/>
    <w:rsid w:val="00587C3E"/>
    <w:rsid w:val="005907F2"/>
    <w:rsid w:val="00594388"/>
    <w:rsid w:val="00594C00"/>
    <w:rsid w:val="005955E8"/>
    <w:rsid w:val="00595CE5"/>
    <w:rsid w:val="0059727F"/>
    <w:rsid w:val="00597536"/>
    <w:rsid w:val="00597E1A"/>
    <w:rsid w:val="005A01EA"/>
    <w:rsid w:val="005A0424"/>
    <w:rsid w:val="005A28DE"/>
    <w:rsid w:val="005A345A"/>
    <w:rsid w:val="005A581D"/>
    <w:rsid w:val="005A5829"/>
    <w:rsid w:val="005A6337"/>
    <w:rsid w:val="005A64E9"/>
    <w:rsid w:val="005A78C3"/>
    <w:rsid w:val="005B2589"/>
    <w:rsid w:val="005B2D92"/>
    <w:rsid w:val="005B33A1"/>
    <w:rsid w:val="005B385A"/>
    <w:rsid w:val="005B44F1"/>
    <w:rsid w:val="005B6A71"/>
    <w:rsid w:val="005C1138"/>
    <w:rsid w:val="005C1721"/>
    <w:rsid w:val="005C17D3"/>
    <w:rsid w:val="005C3DE2"/>
    <w:rsid w:val="005C422D"/>
    <w:rsid w:val="005C68FC"/>
    <w:rsid w:val="005C7C39"/>
    <w:rsid w:val="005D2101"/>
    <w:rsid w:val="005D3690"/>
    <w:rsid w:val="005D3861"/>
    <w:rsid w:val="005D395D"/>
    <w:rsid w:val="005D3EA6"/>
    <w:rsid w:val="005D488C"/>
    <w:rsid w:val="005D4CF2"/>
    <w:rsid w:val="005D5059"/>
    <w:rsid w:val="005D5670"/>
    <w:rsid w:val="005D6697"/>
    <w:rsid w:val="005D7FB0"/>
    <w:rsid w:val="005E0DF4"/>
    <w:rsid w:val="005E17F9"/>
    <w:rsid w:val="005E2756"/>
    <w:rsid w:val="005E35C3"/>
    <w:rsid w:val="005E36E1"/>
    <w:rsid w:val="005E54C9"/>
    <w:rsid w:val="005E55D1"/>
    <w:rsid w:val="005E5C8F"/>
    <w:rsid w:val="005E6182"/>
    <w:rsid w:val="005E6896"/>
    <w:rsid w:val="005F0345"/>
    <w:rsid w:val="005F3DAF"/>
    <w:rsid w:val="005F421A"/>
    <w:rsid w:val="005F5BE9"/>
    <w:rsid w:val="00601305"/>
    <w:rsid w:val="006037A4"/>
    <w:rsid w:val="006078FB"/>
    <w:rsid w:val="00610220"/>
    <w:rsid w:val="006104CF"/>
    <w:rsid w:val="00612F85"/>
    <w:rsid w:val="006162B3"/>
    <w:rsid w:val="00616CEB"/>
    <w:rsid w:val="006171ED"/>
    <w:rsid w:val="00625114"/>
    <w:rsid w:val="0062521B"/>
    <w:rsid w:val="0062566D"/>
    <w:rsid w:val="00626A77"/>
    <w:rsid w:val="00627DBD"/>
    <w:rsid w:val="00631C53"/>
    <w:rsid w:val="00633F6B"/>
    <w:rsid w:val="00634122"/>
    <w:rsid w:val="006346A8"/>
    <w:rsid w:val="006354C3"/>
    <w:rsid w:val="00635911"/>
    <w:rsid w:val="00635BAF"/>
    <w:rsid w:val="00636B74"/>
    <w:rsid w:val="00636BFB"/>
    <w:rsid w:val="00640557"/>
    <w:rsid w:val="0064112C"/>
    <w:rsid w:val="006440A1"/>
    <w:rsid w:val="00644AD5"/>
    <w:rsid w:val="006461BB"/>
    <w:rsid w:val="00646948"/>
    <w:rsid w:val="00647011"/>
    <w:rsid w:val="006509B8"/>
    <w:rsid w:val="00653192"/>
    <w:rsid w:val="00653442"/>
    <w:rsid w:val="00654BE4"/>
    <w:rsid w:val="00656302"/>
    <w:rsid w:val="00657386"/>
    <w:rsid w:val="00660EE5"/>
    <w:rsid w:val="00661088"/>
    <w:rsid w:val="0066173C"/>
    <w:rsid w:val="00661C2A"/>
    <w:rsid w:val="00662A97"/>
    <w:rsid w:val="006630E0"/>
    <w:rsid w:val="00663E25"/>
    <w:rsid w:val="006643FE"/>
    <w:rsid w:val="00664E5B"/>
    <w:rsid w:val="006666C6"/>
    <w:rsid w:val="00666919"/>
    <w:rsid w:val="00672E7C"/>
    <w:rsid w:val="00675D60"/>
    <w:rsid w:val="00677CDB"/>
    <w:rsid w:val="0068114D"/>
    <w:rsid w:val="00687887"/>
    <w:rsid w:val="00692AB4"/>
    <w:rsid w:val="0069414A"/>
    <w:rsid w:val="0069483A"/>
    <w:rsid w:val="006A3884"/>
    <w:rsid w:val="006A4124"/>
    <w:rsid w:val="006A4814"/>
    <w:rsid w:val="006A6BE3"/>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089A"/>
    <w:rsid w:val="006E1CA8"/>
    <w:rsid w:val="006E6054"/>
    <w:rsid w:val="006E6B33"/>
    <w:rsid w:val="006E7BCE"/>
    <w:rsid w:val="006E7F4F"/>
    <w:rsid w:val="006F1673"/>
    <w:rsid w:val="006F3F57"/>
    <w:rsid w:val="006F7496"/>
    <w:rsid w:val="007005F2"/>
    <w:rsid w:val="00700ECB"/>
    <w:rsid w:val="007014A9"/>
    <w:rsid w:val="00702476"/>
    <w:rsid w:val="007109F4"/>
    <w:rsid w:val="007137AD"/>
    <w:rsid w:val="00713C77"/>
    <w:rsid w:val="0071504B"/>
    <w:rsid w:val="00716B09"/>
    <w:rsid w:val="00721E35"/>
    <w:rsid w:val="00722450"/>
    <w:rsid w:val="00722A85"/>
    <w:rsid w:val="007254D8"/>
    <w:rsid w:val="00725CAF"/>
    <w:rsid w:val="00726FD2"/>
    <w:rsid w:val="007271A3"/>
    <w:rsid w:val="00735190"/>
    <w:rsid w:val="00735B88"/>
    <w:rsid w:val="007379E1"/>
    <w:rsid w:val="00740BBE"/>
    <w:rsid w:val="00740DD3"/>
    <w:rsid w:val="00742C58"/>
    <w:rsid w:val="00743FAE"/>
    <w:rsid w:val="00746A06"/>
    <w:rsid w:val="00747685"/>
    <w:rsid w:val="00747CA7"/>
    <w:rsid w:val="007509AD"/>
    <w:rsid w:val="007517A1"/>
    <w:rsid w:val="00754D91"/>
    <w:rsid w:val="007637C5"/>
    <w:rsid w:val="00764DC9"/>
    <w:rsid w:val="00765DBA"/>
    <w:rsid w:val="00766E53"/>
    <w:rsid w:val="0077410E"/>
    <w:rsid w:val="00774629"/>
    <w:rsid w:val="007760F5"/>
    <w:rsid w:val="007774FE"/>
    <w:rsid w:val="00781342"/>
    <w:rsid w:val="0078282A"/>
    <w:rsid w:val="00782B7C"/>
    <w:rsid w:val="00782D24"/>
    <w:rsid w:val="007852F2"/>
    <w:rsid w:val="00785700"/>
    <w:rsid w:val="00790515"/>
    <w:rsid w:val="00790CBC"/>
    <w:rsid w:val="00790D13"/>
    <w:rsid w:val="00790EC3"/>
    <w:rsid w:val="00791740"/>
    <w:rsid w:val="0079178C"/>
    <w:rsid w:val="0079254B"/>
    <w:rsid w:val="007925C4"/>
    <w:rsid w:val="00792643"/>
    <w:rsid w:val="00794290"/>
    <w:rsid w:val="00794AED"/>
    <w:rsid w:val="00795C68"/>
    <w:rsid w:val="00797DD5"/>
    <w:rsid w:val="007A03C8"/>
    <w:rsid w:val="007A27F8"/>
    <w:rsid w:val="007A33A6"/>
    <w:rsid w:val="007A3952"/>
    <w:rsid w:val="007A6E0B"/>
    <w:rsid w:val="007A76C9"/>
    <w:rsid w:val="007A7C6F"/>
    <w:rsid w:val="007B01C7"/>
    <w:rsid w:val="007B105D"/>
    <w:rsid w:val="007B24E2"/>
    <w:rsid w:val="007B2A87"/>
    <w:rsid w:val="007B5C03"/>
    <w:rsid w:val="007C1078"/>
    <w:rsid w:val="007C1F6E"/>
    <w:rsid w:val="007C6A2B"/>
    <w:rsid w:val="007D5A75"/>
    <w:rsid w:val="007E0D20"/>
    <w:rsid w:val="007E1C72"/>
    <w:rsid w:val="007E260E"/>
    <w:rsid w:val="007E26F1"/>
    <w:rsid w:val="007E5BBC"/>
    <w:rsid w:val="007E6928"/>
    <w:rsid w:val="007E762A"/>
    <w:rsid w:val="007F17C4"/>
    <w:rsid w:val="007F4C3F"/>
    <w:rsid w:val="007F5BBF"/>
    <w:rsid w:val="007F64FA"/>
    <w:rsid w:val="007F6EF1"/>
    <w:rsid w:val="007F73BE"/>
    <w:rsid w:val="007F7B42"/>
    <w:rsid w:val="00801C30"/>
    <w:rsid w:val="00802343"/>
    <w:rsid w:val="00803189"/>
    <w:rsid w:val="00806FA9"/>
    <w:rsid w:val="00807A1D"/>
    <w:rsid w:val="00812852"/>
    <w:rsid w:val="00813D39"/>
    <w:rsid w:val="0081443F"/>
    <w:rsid w:val="0081475A"/>
    <w:rsid w:val="00815C67"/>
    <w:rsid w:val="008177C3"/>
    <w:rsid w:val="00821410"/>
    <w:rsid w:val="00821BF0"/>
    <w:rsid w:val="00824455"/>
    <w:rsid w:val="0082513A"/>
    <w:rsid w:val="008251A2"/>
    <w:rsid w:val="0082691A"/>
    <w:rsid w:val="00827867"/>
    <w:rsid w:val="00832736"/>
    <w:rsid w:val="00832CEC"/>
    <w:rsid w:val="0083350A"/>
    <w:rsid w:val="008349D8"/>
    <w:rsid w:val="008370AE"/>
    <w:rsid w:val="00841C86"/>
    <w:rsid w:val="00842D0B"/>
    <w:rsid w:val="008445CC"/>
    <w:rsid w:val="008447D6"/>
    <w:rsid w:val="008456C3"/>
    <w:rsid w:val="008462A2"/>
    <w:rsid w:val="008469D0"/>
    <w:rsid w:val="008509DB"/>
    <w:rsid w:val="00851803"/>
    <w:rsid w:val="00852E46"/>
    <w:rsid w:val="008532CC"/>
    <w:rsid w:val="008564AB"/>
    <w:rsid w:val="00856CDD"/>
    <w:rsid w:val="00857DDC"/>
    <w:rsid w:val="008620B7"/>
    <w:rsid w:val="00862B4F"/>
    <w:rsid w:val="008636A4"/>
    <w:rsid w:val="00863AA2"/>
    <w:rsid w:val="0086467F"/>
    <w:rsid w:val="008648A9"/>
    <w:rsid w:val="0086670D"/>
    <w:rsid w:val="00866DC4"/>
    <w:rsid w:val="008703C3"/>
    <w:rsid w:val="00871823"/>
    <w:rsid w:val="008728F9"/>
    <w:rsid w:val="008729A4"/>
    <w:rsid w:val="0087342B"/>
    <w:rsid w:val="00873FC9"/>
    <w:rsid w:val="008768A4"/>
    <w:rsid w:val="00881808"/>
    <w:rsid w:val="008844F1"/>
    <w:rsid w:val="00884552"/>
    <w:rsid w:val="008858C7"/>
    <w:rsid w:val="0088761D"/>
    <w:rsid w:val="00892A5D"/>
    <w:rsid w:val="00893ACF"/>
    <w:rsid w:val="008A2DD0"/>
    <w:rsid w:val="008A52FB"/>
    <w:rsid w:val="008A65E8"/>
    <w:rsid w:val="008A7D0C"/>
    <w:rsid w:val="008B13E7"/>
    <w:rsid w:val="008B1EDE"/>
    <w:rsid w:val="008B2331"/>
    <w:rsid w:val="008B4030"/>
    <w:rsid w:val="008B5A3F"/>
    <w:rsid w:val="008B5C45"/>
    <w:rsid w:val="008B6836"/>
    <w:rsid w:val="008C0B64"/>
    <w:rsid w:val="008C214E"/>
    <w:rsid w:val="008C2C8E"/>
    <w:rsid w:val="008C3D69"/>
    <w:rsid w:val="008C524B"/>
    <w:rsid w:val="008D020B"/>
    <w:rsid w:val="008D0878"/>
    <w:rsid w:val="008D0C60"/>
    <w:rsid w:val="008D0FF4"/>
    <w:rsid w:val="008D1AEA"/>
    <w:rsid w:val="008D2324"/>
    <w:rsid w:val="008D235F"/>
    <w:rsid w:val="008D28D7"/>
    <w:rsid w:val="008D3482"/>
    <w:rsid w:val="008D4663"/>
    <w:rsid w:val="008D5CFD"/>
    <w:rsid w:val="008E1302"/>
    <w:rsid w:val="008E1E86"/>
    <w:rsid w:val="008E3141"/>
    <w:rsid w:val="008E5FE5"/>
    <w:rsid w:val="008F0F78"/>
    <w:rsid w:val="008F1B14"/>
    <w:rsid w:val="008F1BF5"/>
    <w:rsid w:val="008F1CA1"/>
    <w:rsid w:val="008F70C0"/>
    <w:rsid w:val="009001C0"/>
    <w:rsid w:val="00901185"/>
    <w:rsid w:val="009019DC"/>
    <w:rsid w:val="00905E67"/>
    <w:rsid w:val="009062A9"/>
    <w:rsid w:val="00906E7C"/>
    <w:rsid w:val="00911216"/>
    <w:rsid w:val="00911424"/>
    <w:rsid w:val="00912006"/>
    <w:rsid w:val="009121E5"/>
    <w:rsid w:val="00912F61"/>
    <w:rsid w:val="00920AAC"/>
    <w:rsid w:val="0092515C"/>
    <w:rsid w:val="009272B7"/>
    <w:rsid w:val="00930E9D"/>
    <w:rsid w:val="00931484"/>
    <w:rsid w:val="00931BED"/>
    <w:rsid w:val="009349E5"/>
    <w:rsid w:val="00934F3B"/>
    <w:rsid w:val="00936BFE"/>
    <w:rsid w:val="00937076"/>
    <w:rsid w:val="0094044D"/>
    <w:rsid w:val="00940EA8"/>
    <w:rsid w:val="00941B62"/>
    <w:rsid w:val="00943CD3"/>
    <w:rsid w:val="00946287"/>
    <w:rsid w:val="009462A5"/>
    <w:rsid w:val="00947D93"/>
    <w:rsid w:val="009508B4"/>
    <w:rsid w:val="00952580"/>
    <w:rsid w:val="0095275E"/>
    <w:rsid w:val="009533AB"/>
    <w:rsid w:val="009571BC"/>
    <w:rsid w:val="0096026A"/>
    <w:rsid w:val="00962080"/>
    <w:rsid w:val="00963616"/>
    <w:rsid w:val="00965807"/>
    <w:rsid w:val="009667C3"/>
    <w:rsid w:val="009676A5"/>
    <w:rsid w:val="009702F3"/>
    <w:rsid w:val="009711EB"/>
    <w:rsid w:val="00974519"/>
    <w:rsid w:val="00975A9E"/>
    <w:rsid w:val="009803D2"/>
    <w:rsid w:val="00981885"/>
    <w:rsid w:val="00983586"/>
    <w:rsid w:val="009849EB"/>
    <w:rsid w:val="00985D47"/>
    <w:rsid w:val="00987C3D"/>
    <w:rsid w:val="009960EB"/>
    <w:rsid w:val="00996411"/>
    <w:rsid w:val="009A16C3"/>
    <w:rsid w:val="009A1798"/>
    <w:rsid w:val="009A19F9"/>
    <w:rsid w:val="009A2BC3"/>
    <w:rsid w:val="009A2DDA"/>
    <w:rsid w:val="009A50E6"/>
    <w:rsid w:val="009A533C"/>
    <w:rsid w:val="009A59F3"/>
    <w:rsid w:val="009A7DC7"/>
    <w:rsid w:val="009B2010"/>
    <w:rsid w:val="009B4A69"/>
    <w:rsid w:val="009B67B2"/>
    <w:rsid w:val="009B6E93"/>
    <w:rsid w:val="009C0657"/>
    <w:rsid w:val="009C1E06"/>
    <w:rsid w:val="009C28F9"/>
    <w:rsid w:val="009C3EF9"/>
    <w:rsid w:val="009D30B9"/>
    <w:rsid w:val="009D3C49"/>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0CC0"/>
    <w:rsid w:val="00A110F1"/>
    <w:rsid w:val="00A121DC"/>
    <w:rsid w:val="00A14FE3"/>
    <w:rsid w:val="00A17AD0"/>
    <w:rsid w:val="00A20EA2"/>
    <w:rsid w:val="00A216A7"/>
    <w:rsid w:val="00A22817"/>
    <w:rsid w:val="00A2408C"/>
    <w:rsid w:val="00A24907"/>
    <w:rsid w:val="00A26B92"/>
    <w:rsid w:val="00A27ED9"/>
    <w:rsid w:val="00A30D95"/>
    <w:rsid w:val="00A3104E"/>
    <w:rsid w:val="00A335B9"/>
    <w:rsid w:val="00A341B7"/>
    <w:rsid w:val="00A4075B"/>
    <w:rsid w:val="00A40EAF"/>
    <w:rsid w:val="00A428EF"/>
    <w:rsid w:val="00A4316F"/>
    <w:rsid w:val="00A4491A"/>
    <w:rsid w:val="00A4679F"/>
    <w:rsid w:val="00A50F2A"/>
    <w:rsid w:val="00A50F36"/>
    <w:rsid w:val="00A524DE"/>
    <w:rsid w:val="00A5262D"/>
    <w:rsid w:val="00A556E9"/>
    <w:rsid w:val="00A56003"/>
    <w:rsid w:val="00A619B5"/>
    <w:rsid w:val="00A641CB"/>
    <w:rsid w:val="00A70428"/>
    <w:rsid w:val="00A70984"/>
    <w:rsid w:val="00A71082"/>
    <w:rsid w:val="00A72509"/>
    <w:rsid w:val="00A77CCE"/>
    <w:rsid w:val="00A805B8"/>
    <w:rsid w:val="00A812CF"/>
    <w:rsid w:val="00A849F0"/>
    <w:rsid w:val="00A84E18"/>
    <w:rsid w:val="00A85501"/>
    <w:rsid w:val="00A85574"/>
    <w:rsid w:val="00A869F2"/>
    <w:rsid w:val="00A9001C"/>
    <w:rsid w:val="00A932F2"/>
    <w:rsid w:val="00A96FFC"/>
    <w:rsid w:val="00A9764F"/>
    <w:rsid w:val="00A9781C"/>
    <w:rsid w:val="00A97D31"/>
    <w:rsid w:val="00AA0050"/>
    <w:rsid w:val="00AA1DA7"/>
    <w:rsid w:val="00AA2923"/>
    <w:rsid w:val="00AA4991"/>
    <w:rsid w:val="00AA5E69"/>
    <w:rsid w:val="00AA7135"/>
    <w:rsid w:val="00AB18EE"/>
    <w:rsid w:val="00AB23E5"/>
    <w:rsid w:val="00AB2B8C"/>
    <w:rsid w:val="00AB4281"/>
    <w:rsid w:val="00AB44FB"/>
    <w:rsid w:val="00AB4D65"/>
    <w:rsid w:val="00AB59C5"/>
    <w:rsid w:val="00AB64E0"/>
    <w:rsid w:val="00AB6725"/>
    <w:rsid w:val="00AB71C1"/>
    <w:rsid w:val="00AC12D5"/>
    <w:rsid w:val="00AC187B"/>
    <w:rsid w:val="00AC2F55"/>
    <w:rsid w:val="00AC5501"/>
    <w:rsid w:val="00AD0240"/>
    <w:rsid w:val="00AD1225"/>
    <w:rsid w:val="00AD2534"/>
    <w:rsid w:val="00AD7159"/>
    <w:rsid w:val="00AD748A"/>
    <w:rsid w:val="00AE3874"/>
    <w:rsid w:val="00AE48D8"/>
    <w:rsid w:val="00AE6248"/>
    <w:rsid w:val="00AE7C8F"/>
    <w:rsid w:val="00AF0A15"/>
    <w:rsid w:val="00AF19D1"/>
    <w:rsid w:val="00AF1BC4"/>
    <w:rsid w:val="00AF206E"/>
    <w:rsid w:val="00AF2AF2"/>
    <w:rsid w:val="00AF43AB"/>
    <w:rsid w:val="00AF4907"/>
    <w:rsid w:val="00AF646F"/>
    <w:rsid w:val="00AF7012"/>
    <w:rsid w:val="00AF7EBB"/>
    <w:rsid w:val="00B00D10"/>
    <w:rsid w:val="00B01722"/>
    <w:rsid w:val="00B01830"/>
    <w:rsid w:val="00B01ECF"/>
    <w:rsid w:val="00B03A0F"/>
    <w:rsid w:val="00B05624"/>
    <w:rsid w:val="00B05E7F"/>
    <w:rsid w:val="00B061FD"/>
    <w:rsid w:val="00B06EDD"/>
    <w:rsid w:val="00B072B8"/>
    <w:rsid w:val="00B14B21"/>
    <w:rsid w:val="00B14F1F"/>
    <w:rsid w:val="00B17AC0"/>
    <w:rsid w:val="00B26D1E"/>
    <w:rsid w:val="00B30E5B"/>
    <w:rsid w:val="00B3222E"/>
    <w:rsid w:val="00B32ABB"/>
    <w:rsid w:val="00B32BDB"/>
    <w:rsid w:val="00B32E1C"/>
    <w:rsid w:val="00B40A00"/>
    <w:rsid w:val="00B422BE"/>
    <w:rsid w:val="00B43813"/>
    <w:rsid w:val="00B44E0F"/>
    <w:rsid w:val="00B44E2B"/>
    <w:rsid w:val="00B501B8"/>
    <w:rsid w:val="00B53CB2"/>
    <w:rsid w:val="00B53CE1"/>
    <w:rsid w:val="00B55D34"/>
    <w:rsid w:val="00B574D0"/>
    <w:rsid w:val="00B57588"/>
    <w:rsid w:val="00B618FA"/>
    <w:rsid w:val="00B61C02"/>
    <w:rsid w:val="00B641B2"/>
    <w:rsid w:val="00B71DB7"/>
    <w:rsid w:val="00B72DB2"/>
    <w:rsid w:val="00B74341"/>
    <w:rsid w:val="00B74D66"/>
    <w:rsid w:val="00B76427"/>
    <w:rsid w:val="00B778ED"/>
    <w:rsid w:val="00B80F62"/>
    <w:rsid w:val="00B81B00"/>
    <w:rsid w:val="00B84753"/>
    <w:rsid w:val="00B87084"/>
    <w:rsid w:val="00B90A24"/>
    <w:rsid w:val="00B92898"/>
    <w:rsid w:val="00B931D5"/>
    <w:rsid w:val="00B93B7E"/>
    <w:rsid w:val="00B94DC8"/>
    <w:rsid w:val="00B94F1D"/>
    <w:rsid w:val="00B94FBD"/>
    <w:rsid w:val="00B97AC7"/>
    <w:rsid w:val="00BA173E"/>
    <w:rsid w:val="00BA4B5A"/>
    <w:rsid w:val="00BA70C1"/>
    <w:rsid w:val="00BB4B88"/>
    <w:rsid w:val="00BB50D0"/>
    <w:rsid w:val="00BB6D37"/>
    <w:rsid w:val="00BC28A6"/>
    <w:rsid w:val="00BC3922"/>
    <w:rsid w:val="00BC3D90"/>
    <w:rsid w:val="00BC4763"/>
    <w:rsid w:val="00BD056C"/>
    <w:rsid w:val="00BD0818"/>
    <w:rsid w:val="00BD17E2"/>
    <w:rsid w:val="00BD19B8"/>
    <w:rsid w:val="00BD270B"/>
    <w:rsid w:val="00BD577E"/>
    <w:rsid w:val="00BD7098"/>
    <w:rsid w:val="00BE0B51"/>
    <w:rsid w:val="00BE0C08"/>
    <w:rsid w:val="00BE3B2E"/>
    <w:rsid w:val="00BE5D7A"/>
    <w:rsid w:val="00BE698E"/>
    <w:rsid w:val="00BF19A0"/>
    <w:rsid w:val="00BF3072"/>
    <w:rsid w:val="00BF4030"/>
    <w:rsid w:val="00BF41F5"/>
    <w:rsid w:val="00BF54F4"/>
    <w:rsid w:val="00C02A0B"/>
    <w:rsid w:val="00C02A84"/>
    <w:rsid w:val="00C02DBE"/>
    <w:rsid w:val="00C02EAF"/>
    <w:rsid w:val="00C02F0C"/>
    <w:rsid w:val="00C035A5"/>
    <w:rsid w:val="00C05982"/>
    <w:rsid w:val="00C13EEC"/>
    <w:rsid w:val="00C14707"/>
    <w:rsid w:val="00C148CE"/>
    <w:rsid w:val="00C16468"/>
    <w:rsid w:val="00C17904"/>
    <w:rsid w:val="00C21783"/>
    <w:rsid w:val="00C23BCB"/>
    <w:rsid w:val="00C23CE8"/>
    <w:rsid w:val="00C263FE"/>
    <w:rsid w:val="00C278EC"/>
    <w:rsid w:val="00C33CAA"/>
    <w:rsid w:val="00C342B4"/>
    <w:rsid w:val="00C34507"/>
    <w:rsid w:val="00C34C1B"/>
    <w:rsid w:val="00C362BD"/>
    <w:rsid w:val="00C36F9E"/>
    <w:rsid w:val="00C41ED4"/>
    <w:rsid w:val="00C42208"/>
    <w:rsid w:val="00C4347B"/>
    <w:rsid w:val="00C5272C"/>
    <w:rsid w:val="00C52B6D"/>
    <w:rsid w:val="00C52E94"/>
    <w:rsid w:val="00C54343"/>
    <w:rsid w:val="00C54A92"/>
    <w:rsid w:val="00C552C0"/>
    <w:rsid w:val="00C55913"/>
    <w:rsid w:val="00C55C5B"/>
    <w:rsid w:val="00C61063"/>
    <w:rsid w:val="00C6359A"/>
    <w:rsid w:val="00C649A0"/>
    <w:rsid w:val="00C66483"/>
    <w:rsid w:val="00C704B6"/>
    <w:rsid w:val="00C706A1"/>
    <w:rsid w:val="00C711C3"/>
    <w:rsid w:val="00C71B3D"/>
    <w:rsid w:val="00C73EA3"/>
    <w:rsid w:val="00C810D3"/>
    <w:rsid w:val="00C83D88"/>
    <w:rsid w:val="00C844C6"/>
    <w:rsid w:val="00C8490B"/>
    <w:rsid w:val="00C86573"/>
    <w:rsid w:val="00C90DDC"/>
    <w:rsid w:val="00C925E3"/>
    <w:rsid w:val="00C93B80"/>
    <w:rsid w:val="00C94138"/>
    <w:rsid w:val="00C96B5F"/>
    <w:rsid w:val="00C97E80"/>
    <w:rsid w:val="00CA2691"/>
    <w:rsid w:val="00CA546A"/>
    <w:rsid w:val="00CB259E"/>
    <w:rsid w:val="00CB28DE"/>
    <w:rsid w:val="00CB60BF"/>
    <w:rsid w:val="00CB66DF"/>
    <w:rsid w:val="00CB7023"/>
    <w:rsid w:val="00CB70E2"/>
    <w:rsid w:val="00CB7C7B"/>
    <w:rsid w:val="00CC03C2"/>
    <w:rsid w:val="00CC0494"/>
    <w:rsid w:val="00CC3A98"/>
    <w:rsid w:val="00CC5D2D"/>
    <w:rsid w:val="00CC5D76"/>
    <w:rsid w:val="00CC6204"/>
    <w:rsid w:val="00CC75C0"/>
    <w:rsid w:val="00CD1215"/>
    <w:rsid w:val="00CD16F8"/>
    <w:rsid w:val="00CD2690"/>
    <w:rsid w:val="00CD285B"/>
    <w:rsid w:val="00CD290B"/>
    <w:rsid w:val="00CD2CA7"/>
    <w:rsid w:val="00CD4C54"/>
    <w:rsid w:val="00CD644B"/>
    <w:rsid w:val="00CE082B"/>
    <w:rsid w:val="00CE2059"/>
    <w:rsid w:val="00CE5B8A"/>
    <w:rsid w:val="00CE662B"/>
    <w:rsid w:val="00CE7B12"/>
    <w:rsid w:val="00CF001F"/>
    <w:rsid w:val="00D01B68"/>
    <w:rsid w:val="00D01EFC"/>
    <w:rsid w:val="00D02C3C"/>
    <w:rsid w:val="00D035F9"/>
    <w:rsid w:val="00D03B9F"/>
    <w:rsid w:val="00D0747D"/>
    <w:rsid w:val="00D07C9B"/>
    <w:rsid w:val="00D115E0"/>
    <w:rsid w:val="00D116F4"/>
    <w:rsid w:val="00D134D5"/>
    <w:rsid w:val="00D170C7"/>
    <w:rsid w:val="00D1799A"/>
    <w:rsid w:val="00D203C9"/>
    <w:rsid w:val="00D20EED"/>
    <w:rsid w:val="00D2151F"/>
    <w:rsid w:val="00D22C74"/>
    <w:rsid w:val="00D238C7"/>
    <w:rsid w:val="00D24040"/>
    <w:rsid w:val="00D26582"/>
    <w:rsid w:val="00D26594"/>
    <w:rsid w:val="00D26645"/>
    <w:rsid w:val="00D26D9A"/>
    <w:rsid w:val="00D30623"/>
    <w:rsid w:val="00D3196D"/>
    <w:rsid w:val="00D319EB"/>
    <w:rsid w:val="00D3384C"/>
    <w:rsid w:val="00D35457"/>
    <w:rsid w:val="00D3609D"/>
    <w:rsid w:val="00D420AE"/>
    <w:rsid w:val="00D420EE"/>
    <w:rsid w:val="00D42337"/>
    <w:rsid w:val="00D425A7"/>
    <w:rsid w:val="00D42B95"/>
    <w:rsid w:val="00D435EC"/>
    <w:rsid w:val="00D43617"/>
    <w:rsid w:val="00D43D47"/>
    <w:rsid w:val="00D45211"/>
    <w:rsid w:val="00D5107F"/>
    <w:rsid w:val="00D519C3"/>
    <w:rsid w:val="00D51EEA"/>
    <w:rsid w:val="00D52AE5"/>
    <w:rsid w:val="00D551DD"/>
    <w:rsid w:val="00D55528"/>
    <w:rsid w:val="00D55F6E"/>
    <w:rsid w:val="00D56935"/>
    <w:rsid w:val="00D57A2C"/>
    <w:rsid w:val="00D60892"/>
    <w:rsid w:val="00D6371B"/>
    <w:rsid w:val="00D64B0D"/>
    <w:rsid w:val="00D65289"/>
    <w:rsid w:val="00D728E0"/>
    <w:rsid w:val="00D805D3"/>
    <w:rsid w:val="00D8063B"/>
    <w:rsid w:val="00D85385"/>
    <w:rsid w:val="00D86390"/>
    <w:rsid w:val="00D92045"/>
    <w:rsid w:val="00D92914"/>
    <w:rsid w:val="00D929BC"/>
    <w:rsid w:val="00D93737"/>
    <w:rsid w:val="00D9750D"/>
    <w:rsid w:val="00D9770E"/>
    <w:rsid w:val="00DA1311"/>
    <w:rsid w:val="00DA190F"/>
    <w:rsid w:val="00DA1C1E"/>
    <w:rsid w:val="00DA1CAE"/>
    <w:rsid w:val="00DA1E29"/>
    <w:rsid w:val="00DA2737"/>
    <w:rsid w:val="00DA580F"/>
    <w:rsid w:val="00DA592B"/>
    <w:rsid w:val="00DA5E98"/>
    <w:rsid w:val="00DA6860"/>
    <w:rsid w:val="00DA744C"/>
    <w:rsid w:val="00DB1241"/>
    <w:rsid w:val="00DB1F4E"/>
    <w:rsid w:val="00DB57A4"/>
    <w:rsid w:val="00DB5D5A"/>
    <w:rsid w:val="00DB627C"/>
    <w:rsid w:val="00DB63E7"/>
    <w:rsid w:val="00DB6B03"/>
    <w:rsid w:val="00DB71AC"/>
    <w:rsid w:val="00DB7754"/>
    <w:rsid w:val="00DC289E"/>
    <w:rsid w:val="00DC3A1B"/>
    <w:rsid w:val="00DC635A"/>
    <w:rsid w:val="00DD36A7"/>
    <w:rsid w:val="00DD576B"/>
    <w:rsid w:val="00DD5ECC"/>
    <w:rsid w:val="00DD6D2F"/>
    <w:rsid w:val="00DD71DC"/>
    <w:rsid w:val="00DD758E"/>
    <w:rsid w:val="00DE1494"/>
    <w:rsid w:val="00DE2BC0"/>
    <w:rsid w:val="00DE35C0"/>
    <w:rsid w:val="00DE409C"/>
    <w:rsid w:val="00DE4955"/>
    <w:rsid w:val="00DE5369"/>
    <w:rsid w:val="00DF1234"/>
    <w:rsid w:val="00DF33AB"/>
    <w:rsid w:val="00DF4E88"/>
    <w:rsid w:val="00DF66D9"/>
    <w:rsid w:val="00DF6F1D"/>
    <w:rsid w:val="00DF782C"/>
    <w:rsid w:val="00DF7E36"/>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18E8"/>
    <w:rsid w:val="00E34ECF"/>
    <w:rsid w:val="00E35D43"/>
    <w:rsid w:val="00E35D71"/>
    <w:rsid w:val="00E3630D"/>
    <w:rsid w:val="00E37540"/>
    <w:rsid w:val="00E441F3"/>
    <w:rsid w:val="00E46554"/>
    <w:rsid w:val="00E46C36"/>
    <w:rsid w:val="00E47427"/>
    <w:rsid w:val="00E47E94"/>
    <w:rsid w:val="00E54377"/>
    <w:rsid w:val="00E5651F"/>
    <w:rsid w:val="00E57C3E"/>
    <w:rsid w:val="00E61CE0"/>
    <w:rsid w:val="00E66004"/>
    <w:rsid w:val="00E668BC"/>
    <w:rsid w:val="00E7004C"/>
    <w:rsid w:val="00E70F81"/>
    <w:rsid w:val="00E720D5"/>
    <w:rsid w:val="00E72DD6"/>
    <w:rsid w:val="00E7401A"/>
    <w:rsid w:val="00E76015"/>
    <w:rsid w:val="00E76B87"/>
    <w:rsid w:val="00E7783D"/>
    <w:rsid w:val="00E814FF"/>
    <w:rsid w:val="00E86128"/>
    <w:rsid w:val="00E91BA9"/>
    <w:rsid w:val="00E94B34"/>
    <w:rsid w:val="00EA09FC"/>
    <w:rsid w:val="00EA186A"/>
    <w:rsid w:val="00EA2E6A"/>
    <w:rsid w:val="00EA6DEF"/>
    <w:rsid w:val="00EA7011"/>
    <w:rsid w:val="00EB0F87"/>
    <w:rsid w:val="00EB39F6"/>
    <w:rsid w:val="00EB3C8E"/>
    <w:rsid w:val="00EB4525"/>
    <w:rsid w:val="00EB6851"/>
    <w:rsid w:val="00EC23F0"/>
    <w:rsid w:val="00EC5CA2"/>
    <w:rsid w:val="00EC7F90"/>
    <w:rsid w:val="00ED07E3"/>
    <w:rsid w:val="00ED09A7"/>
    <w:rsid w:val="00ED1BA3"/>
    <w:rsid w:val="00EE103C"/>
    <w:rsid w:val="00EE1374"/>
    <w:rsid w:val="00EE1663"/>
    <w:rsid w:val="00EE1FAA"/>
    <w:rsid w:val="00EE2298"/>
    <w:rsid w:val="00EE28AC"/>
    <w:rsid w:val="00EE4743"/>
    <w:rsid w:val="00EE6681"/>
    <w:rsid w:val="00EF0818"/>
    <w:rsid w:val="00EF09A4"/>
    <w:rsid w:val="00EF24C9"/>
    <w:rsid w:val="00EF2898"/>
    <w:rsid w:val="00EF3270"/>
    <w:rsid w:val="00EF3D96"/>
    <w:rsid w:val="00EF5DF3"/>
    <w:rsid w:val="00EF632F"/>
    <w:rsid w:val="00F01357"/>
    <w:rsid w:val="00F03199"/>
    <w:rsid w:val="00F04891"/>
    <w:rsid w:val="00F06C2A"/>
    <w:rsid w:val="00F0718C"/>
    <w:rsid w:val="00F10948"/>
    <w:rsid w:val="00F12448"/>
    <w:rsid w:val="00F12EB7"/>
    <w:rsid w:val="00F14B58"/>
    <w:rsid w:val="00F15359"/>
    <w:rsid w:val="00F16D53"/>
    <w:rsid w:val="00F21C2E"/>
    <w:rsid w:val="00F21D42"/>
    <w:rsid w:val="00F242D4"/>
    <w:rsid w:val="00F24FF4"/>
    <w:rsid w:val="00F252B1"/>
    <w:rsid w:val="00F27FE5"/>
    <w:rsid w:val="00F30C86"/>
    <w:rsid w:val="00F329E0"/>
    <w:rsid w:val="00F34526"/>
    <w:rsid w:val="00F35848"/>
    <w:rsid w:val="00F35988"/>
    <w:rsid w:val="00F43368"/>
    <w:rsid w:val="00F43EC4"/>
    <w:rsid w:val="00F46058"/>
    <w:rsid w:val="00F46BB4"/>
    <w:rsid w:val="00F4760A"/>
    <w:rsid w:val="00F47943"/>
    <w:rsid w:val="00F51117"/>
    <w:rsid w:val="00F5266A"/>
    <w:rsid w:val="00F527C6"/>
    <w:rsid w:val="00F55F07"/>
    <w:rsid w:val="00F569F7"/>
    <w:rsid w:val="00F60496"/>
    <w:rsid w:val="00F604F7"/>
    <w:rsid w:val="00F619D6"/>
    <w:rsid w:val="00F622FC"/>
    <w:rsid w:val="00F64ECA"/>
    <w:rsid w:val="00F6531C"/>
    <w:rsid w:val="00F655E2"/>
    <w:rsid w:val="00F66BC7"/>
    <w:rsid w:val="00F674B6"/>
    <w:rsid w:val="00F7117D"/>
    <w:rsid w:val="00F723A7"/>
    <w:rsid w:val="00F736D1"/>
    <w:rsid w:val="00F73FE6"/>
    <w:rsid w:val="00F74D95"/>
    <w:rsid w:val="00F777A7"/>
    <w:rsid w:val="00F810A5"/>
    <w:rsid w:val="00F8284F"/>
    <w:rsid w:val="00F82A11"/>
    <w:rsid w:val="00F8337F"/>
    <w:rsid w:val="00F86384"/>
    <w:rsid w:val="00F96059"/>
    <w:rsid w:val="00F97800"/>
    <w:rsid w:val="00FA1EB1"/>
    <w:rsid w:val="00FA2CC9"/>
    <w:rsid w:val="00FA370A"/>
    <w:rsid w:val="00FB0ABC"/>
    <w:rsid w:val="00FB4FB5"/>
    <w:rsid w:val="00FB5B78"/>
    <w:rsid w:val="00FB6BF7"/>
    <w:rsid w:val="00FB725D"/>
    <w:rsid w:val="00FB7C0F"/>
    <w:rsid w:val="00FC2ABA"/>
    <w:rsid w:val="00FC3D27"/>
    <w:rsid w:val="00FC4AB0"/>
    <w:rsid w:val="00FC540F"/>
    <w:rsid w:val="00FC5736"/>
    <w:rsid w:val="00FC7A57"/>
    <w:rsid w:val="00FD2732"/>
    <w:rsid w:val="00FD2D88"/>
    <w:rsid w:val="00FD5BF2"/>
    <w:rsid w:val="00FD7CE0"/>
    <w:rsid w:val="00FD7F21"/>
    <w:rsid w:val="00FE1C3E"/>
    <w:rsid w:val="00FE3184"/>
    <w:rsid w:val="00FE5FAB"/>
    <w:rsid w:val="00FE65D4"/>
    <w:rsid w:val="00FE6869"/>
    <w:rsid w:val="00FE6F9D"/>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E74CA60"/>
  <w15:docId w15:val="{3313AB37-74FC-4006-99D2-675E89A4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11"/>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11"/>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11"/>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iPriority w:val="99"/>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6A4124"/>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uiPriority w:val="99"/>
    <w:rsid w:val="00EF632F"/>
    <w:rPr>
      <w:sz w:val="16"/>
      <w:szCs w:val="16"/>
    </w:rPr>
  </w:style>
  <w:style w:type="paragraph" w:styleId="CommentText">
    <w:name w:val="annotation text"/>
    <w:basedOn w:val="Normal"/>
    <w:link w:val="CommentTextChar"/>
    <w:rsid w:val="00EF632F"/>
    <w:pPr>
      <w:jc w:val="left"/>
    </w:pPr>
    <w:rPr>
      <w:rFonts w:ascii="New York" w:hAnsi="New York"/>
      <w:sz w:val="20"/>
      <w:szCs w:val="20"/>
    </w:rPr>
  </w:style>
  <w:style w:type="character" w:customStyle="1" w:styleId="CommentTextChar">
    <w:name w:val="Comment Text Char"/>
    <w:basedOn w:val="DefaultParagraphFont"/>
    <w:link w:val="CommentText"/>
    <w:rsid w:val="00EF632F"/>
    <w:rPr>
      <w:rFonts w:ascii="New York" w:hAnsi="New York"/>
    </w:rPr>
  </w:style>
  <w:style w:type="paragraph" w:styleId="BlockText">
    <w:name w:val="Block Text"/>
    <w:basedOn w:val="Normal"/>
    <w:uiPriority w:val="99"/>
    <w:unhideWhenUsed/>
    <w:rsid w:val="007F7B42"/>
    <w:pPr>
      <w:ind w:left="720" w:right="36"/>
    </w:pPr>
    <w:rPr>
      <w:color w:val="000000"/>
    </w:rPr>
  </w:style>
  <w:style w:type="paragraph" w:styleId="CommentSubject">
    <w:name w:val="annotation subject"/>
    <w:basedOn w:val="CommentText"/>
    <w:next w:val="CommentText"/>
    <w:link w:val="CommentSubjectChar"/>
    <w:uiPriority w:val="99"/>
    <w:semiHidden/>
    <w:unhideWhenUsed/>
    <w:rsid w:val="00C02F0C"/>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02F0C"/>
    <w:rPr>
      <w:rFonts w:ascii="New York" w:hAnsi="New York"/>
      <w:b/>
      <w:bCs/>
    </w:rPr>
  </w:style>
  <w:style w:type="character" w:styleId="LineNumber">
    <w:name w:val="line number"/>
    <w:basedOn w:val="DefaultParagraphFont"/>
    <w:uiPriority w:val="99"/>
    <w:semiHidden/>
    <w:unhideWhenUsed/>
    <w:rsid w:val="00D319EB"/>
  </w:style>
  <w:style w:type="character" w:customStyle="1" w:styleId="texhtml">
    <w:name w:val="texhtml"/>
    <w:basedOn w:val="DefaultParagraphFont"/>
    <w:rsid w:val="004727C2"/>
    <w:rPr>
      <w:rFonts w:ascii="Times New Roman" w:hAnsi="Times New Roman" w:cs="Times New Roman" w:hint="default"/>
      <w:sz w:val="28"/>
      <w:szCs w:val="28"/>
    </w:rPr>
  </w:style>
  <w:style w:type="paragraph" w:styleId="Revision">
    <w:name w:val="Revision"/>
    <w:hidden/>
    <w:uiPriority w:val="99"/>
    <w:semiHidden/>
    <w:rsid w:val="00790D13"/>
    <w:rPr>
      <w:sz w:val="24"/>
      <w:szCs w:val="24"/>
    </w:rPr>
  </w:style>
  <w:style w:type="character" w:styleId="UnresolvedMention">
    <w:name w:val="Unresolved Mention"/>
    <w:basedOn w:val="DefaultParagraphFont"/>
    <w:uiPriority w:val="99"/>
    <w:semiHidden/>
    <w:unhideWhenUsed/>
    <w:rsid w:val="004F2A41"/>
    <w:rPr>
      <w:color w:val="605E5C"/>
      <w:shd w:val="clear" w:color="auto" w:fill="E1DFDD"/>
    </w:rPr>
  </w:style>
  <w:style w:type="paragraph" w:styleId="Bibliography">
    <w:name w:val="Bibliography"/>
    <w:basedOn w:val="Normal"/>
    <w:next w:val="Normal"/>
    <w:uiPriority w:val="37"/>
    <w:unhideWhenUsed/>
    <w:rsid w:val="00F5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4327073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685450824">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00754030">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4377768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sh.fnal.gov/pls/default/WAAF.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ACG</b:Tag>
    <b:SourceType>InternetSite</b:SourceType>
    <b:Guid>{81422972-C76C-42C6-BDC9-D7468EC83DB8}</b:Guid>
    <b:Title>Static Magnetic Fields: TLV(R) Physical Agents 7th Edition Documentation</b:Title>
    <b:City>Cincinnati</b:City>
    <b:ProductionCompany>ACGIH</b:ProductionCompany>
    <b:Medium>Electronic</b:Medium>
    <b:Author>
      <b:Author>
        <b:Corporate>ACGIH</b:Corporate>
      </b:Author>
    </b:Author>
    <b:URL>https://www.acgih.org/forms/store/ProductFormPublic/static-magnetic-fields-tlv-r-physical-agents-7th-edition-documentation</b:URL>
    <b:RefOrder>1</b:RefOrder>
  </b:Source>
  <b:Source>
    <b:Tag>INT09</b:Tag>
    <b:SourceType>Report</b:SourceType>
    <b:Guid>{E26EBBA2-10F1-4AFF-A0AD-430BB74204E4}</b:Guid>
    <b:Title>ICNIRP GUIDELINES ON LIMITS OF EXPOSURE TO STATIC MAGNETIC FIELDS</b:Title>
    <b:Year>2009</b:Year>
    <b:URL>http://www.icnirp.org/cms/upload/publications/ICNIRPstatgdl.pdf</b:URL>
    <b:StandardNumber>HEALTH PHYSICS 96(4):504‐514; 2009</b:StandardNumber>
    <b:Publisher>ICNIRP</b:Publisher>
    <b:City>Oberschleissheim</b:City>
    <b:Author>
      <b:Author>
        <b:Corporate>INTERNATIONAL COMMISSION ON NON‐IONIZING RADIATION PROTECTION</b:Corporate>
      </b:Author>
    </b:Author>
    <b:RefOrder>2</b:RefOrder>
  </b:Source>
  <b:Source>
    <b:Tag>Kar13</b:Tag>
    <b:SourceType>JournalArticle</b:SourceType>
    <b:Guid>{6A74157C-2531-431D-9A12-75BE2E5C8CB1}</b:Guid>
    <b:Title>Experimental evaluation of ballistic hazards in imaging diagnostic center</b:Title>
    <b:Year>2013</b:Year>
    <b:Publisher>Laboratory of Electromagnetic Hazards, Central Institute for Labour Protection – National Research Institute</b:Publisher>
    <b:City>Warsaw</b:City>
    <b:Volume>78(2)</b:Volume>
    <b:Issue>31–37</b:Issue>
    <b:Author>
      <b:Author>
        <b:NameList>
          <b:Person>
            <b:Last>Karpowicz</b:Last>
            <b:First>Jolanta</b:First>
          </b:Person>
          <b:Person>
            <b:Last>Gryz</b:Last>
            <b:First>Krzysztof</b:First>
          </b:Person>
        </b:NameList>
      </b:Author>
    </b:Author>
    <b:URL>https://www.ncbi.nlm.nih.gov/pmc/articles/PMC3693834/</b:URL>
    <b:RefOrder>3</b:RefOrder>
  </b:Source>
  <b:Source>
    <b:Tag>The20</b:Tag>
    <b:SourceType>InternetSite</b:SourceType>
    <b:Guid>{ABD1559E-9BDE-49B8-98F8-3FAEA90AA621}</b:Guid>
    <b:Title>Static magnetic field</b:Title>
    <b:Year>2020</b:Year>
    <b:Author>
      <b:Author>
        <b:Corporate>The Society and College of Radiographers</b:Corporate>
      </b:Author>
    </b:Author>
    <b:InternetSiteTitle>THE SOCIETY OF RADIOGRAPHERS</b:InternetSiteTitle>
    <b:YearAccessed>2020</b:YearAccessed>
    <b:MonthAccessed>June</b:MonthAccessed>
    <b:DayAccessed>01</b:DayAccessed>
    <b:URL>https://www.sor.org/learning/document-library/safety-magnetic-resonance-imaging/5-static-magnetic-field</b:URL>
    <b:RefOrder>4</b:RefOrder>
  </b:Source>
  <b:Source>
    <b:Tag>Mil</b:Tag>
    <b:SourceType>DocumentFromInternetSite</b:SourceType>
    <b:Guid>{E360D84A-05E3-45E3-A180-9A8BECA39AD5}</b:Guid>
    <b:Title>ESH DocDB Document 5714-v1 Historical Technical Appendix to FESHM 4270</b:Title>
    <b:InternetSiteTitle>ES&amp;H DOCUMENT DATABASE</b:InternetSiteTitle>
    <b:URL>https://esh-docdb.fnal.gov/cgi-bin/sso/ShowDocument?docid=5714</b:URL>
    <b:Author>
      <b:Author>
        <b:NameList>
          <b:Person>
            <b:Last>Miller</b:Last>
            <b:First>T</b:First>
          </b:Person>
          <b:Person>
            <b:Last>Kenny</b:Last>
            <b:First>J</b:First>
          </b:Person>
        </b:NameList>
      </b:Author>
    </b:Author>
    <b:RefOrder>5</b:RefOrder>
  </b:Source>
</b:Sources>
</file>

<file path=customXml/itemProps1.xml><?xml version="1.0" encoding="utf-8"?>
<ds:datastoreItem xmlns:ds="http://schemas.openxmlformats.org/officeDocument/2006/customXml" ds:itemID="{8164851C-B654-49A5-B688-4212637E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FESHM 1050</vt:lpstr>
    </vt:vector>
  </TitlesOfParts>
  <Company>Jefferson Science Associates, LLC</Company>
  <LinksUpToDate>false</LinksUpToDate>
  <CharactersWithSpaces>17288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1050</dc:title>
  <dc:subject>ES&amp;H Manual Procedures</dc:subject>
  <dc:creator>Martha Michels</dc:creator>
  <cp:lastModifiedBy>Kristy Gibson</cp:lastModifiedBy>
  <cp:revision>4</cp:revision>
  <cp:lastPrinted>2020-08-04T15:48:00Z</cp:lastPrinted>
  <dcterms:created xsi:type="dcterms:W3CDTF">2020-08-04T15:48:00Z</dcterms:created>
  <dcterms:modified xsi:type="dcterms:W3CDTF">2020-08-04T16:06:00Z</dcterms:modified>
</cp:coreProperties>
</file>