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4B6C" w14:textId="77777777" w:rsidR="00142C80" w:rsidRDefault="00142C80" w:rsidP="00142C80">
      <w:pPr>
        <w:jc w:val="center"/>
        <w:rPr>
          <w:b/>
          <w:sz w:val="28"/>
          <w:szCs w:val="28"/>
        </w:rPr>
      </w:pPr>
    </w:p>
    <w:p w14:paraId="2D2B4B6D" w14:textId="35A9D069" w:rsidR="00AB4D65" w:rsidRPr="00AB4D65" w:rsidRDefault="004F254C" w:rsidP="00AB4D65">
      <w:pPr>
        <w:ind w:right="36"/>
        <w:jc w:val="center"/>
        <w:rPr>
          <w:color w:val="000000"/>
          <w:sz w:val="36"/>
          <w:szCs w:val="36"/>
        </w:rPr>
      </w:pPr>
      <w:r w:rsidRPr="00AB4D65">
        <w:rPr>
          <w:color w:val="000000"/>
          <w:sz w:val="36"/>
          <w:szCs w:val="36"/>
        </w:rPr>
        <w:t xml:space="preserve">FESHM </w:t>
      </w:r>
      <w:r w:rsidR="004B7756">
        <w:rPr>
          <w:color w:val="000000"/>
          <w:sz w:val="36"/>
          <w:szCs w:val="36"/>
        </w:rPr>
        <w:t>4160</w:t>
      </w:r>
      <w:r w:rsidRPr="00AB4D65">
        <w:rPr>
          <w:color w:val="000000"/>
          <w:sz w:val="36"/>
          <w:szCs w:val="36"/>
        </w:rPr>
        <w:t xml:space="preserve">: </w:t>
      </w:r>
      <w:r w:rsidR="004B7756">
        <w:rPr>
          <w:color w:val="000000"/>
          <w:sz w:val="36"/>
          <w:szCs w:val="36"/>
        </w:rPr>
        <w:t>EMERGENCY EYEWASH AND SHOWER STATIONS</w:t>
      </w:r>
    </w:p>
    <w:p w14:paraId="2D2B4B6E" w14:textId="77777777" w:rsidR="00142C80" w:rsidRPr="004F254C" w:rsidRDefault="00142C80" w:rsidP="00F62721"/>
    <w:p w14:paraId="2D2B4B71" w14:textId="77777777" w:rsidR="00142C80" w:rsidRDefault="00142C80" w:rsidP="00142C80">
      <w:pPr>
        <w:jc w:val="center"/>
        <w:rPr>
          <w:b/>
          <w:sz w:val="28"/>
          <w:szCs w:val="28"/>
        </w:rPr>
      </w:pPr>
    </w:p>
    <w:p w14:paraId="2D2B4B72" w14:textId="77777777" w:rsidR="00DB5D5A" w:rsidRPr="008B60C4" w:rsidRDefault="00743FAE" w:rsidP="00DB5D5A">
      <w:pPr>
        <w:ind w:right="-140"/>
        <w:jc w:val="center"/>
        <w:rPr>
          <w:b/>
          <w:color w:val="000000"/>
        </w:rPr>
      </w:pPr>
      <w:r>
        <w:rPr>
          <w:b/>
          <w:color w:val="000000"/>
        </w:rPr>
        <w:t>Revision History</w:t>
      </w:r>
    </w:p>
    <w:p w14:paraId="2D2B4B73"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2D2B4B77" w14:textId="77777777" w:rsidTr="00880F07">
        <w:tc>
          <w:tcPr>
            <w:tcW w:w="2088" w:type="dxa"/>
          </w:tcPr>
          <w:p w14:paraId="2D2B4B74" w14:textId="77777777" w:rsidR="00743FAE" w:rsidRPr="00D115E0" w:rsidRDefault="00743FAE" w:rsidP="001D0B27">
            <w:pPr>
              <w:tabs>
                <w:tab w:val="left" w:pos="720"/>
              </w:tabs>
              <w:jc w:val="center"/>
              <w:rPr>
                <w:b/>
              </w:rPr>
            </w:pPr>
            <w:r w:rsidRPr="00D115E0">
              <w:rPr>
                <w:b/>
              </w:rPr>
              <w:t>Author</w:t>
            </w:r>
          </w:p>
        </w:tc>
        <w:tc>
          <w:tcPr>
            <w:tcW w:w="4500" w:type="dxa"/>
          </w:tcPr>
          <w:p w14:paraId="2D2B4B75" w14:textId="77777777" w:rsidR="00743FAE" w:rsidRPr="00D115E0" w:rsidRDefault="00743FAE" w:rsidP="001D0B27">
            <w:pPr>
              <w:tabs>
                <w:tab w:val="left" w:pos="720"/>
              </w:tabs>
              <w:jc w:val="center"/>
              <w:rPr>
                <w:b/>
              </w:rPr>
            </w:pPr>
            <w:r w:rsidRPr="00D115E0">
              <w:rPr>
                <w:b/>
              </w:rPr>
              <w:t>Description of Change</w:t>
            </w:r>
          </w:p>
        </w:tc>
        <w:tc>
          <w:tcPr>
            <w:tcW w:w="2700" w:type="dxa"/>
          </w:tcPr>
          <w:p w14:paraId="2D2B4B76" w14:textId="77777777" w:rsidR="00743FAE" w:rsidRPr="00D115E0" w:rsidRDefault="00743FAE" w:rsidP="00880F07">
            <w:pPr>
              <w:tabs>
                <w:tab w:val="left" w:pos="720"/>
              </w:tabs>
              <w:jc w:val="center"/>
              <w:rPr>
                <w:b/>
              </w:rPr>
            </w:pPr>
            <w:r w:rsidRPr="00D115E0">
              <w:rPr>
                <w:b/>
              </w:rPr>
              <w:t>Revision Date</w:t>
            </w:r>
          </w:p>
        </w:tc>
      </w:tr>
      <w:tr w:rsidR="00880F07" w:rsidRPr="00E331D3" w14:paraId="2D2B4B7C" w14:textId="77777777" w:rsidTr="00880F07">
        <w:tc>
          <w:tcPr>
            <w:tcW w:w="2088" w:type="dxa"/>
          </w:tcPr>
          <w:p w14:paraId="2D2B4B78" w14:textId="5F919C9D" w:rsidR="00880F07" w:rsidRDefault="004B7756" w:rsidP="00D115E0">
            <w:pPr>
              <w:tabs>
                <w:tab w:val="left" w:pos="720"/>
              </w:tabs>
              <w:jc w:val="left"/>
              <w:rPr>
                <w:szCs w:val="22"/>
              </w:rPr>
            </w:pPr>
            <w:r>
              <w:rPr>
                <w:szCs w:val="22"/>
              </w:rPr>
              <w:t>Steven Carlson</w:t>
            </w:r>
          </w:p>
        </w:tc>
        <w:tc>
          <w:tcPr>
            <w:tcW w:w="4500" w:type="dxa"/>
            <w:vAlign w:val="bottom"/>
          </w:tcPr>
          <w:p w14:paraId="58D37821" w14:textId="77777777" w:rsidR="00E07ACB" w:rsidRDefault="004B7756" w:rsidP="00DA0660">
            <w:pPr>
              <w:pStyle w:val="ListParagraph"/>
              <w:numPr>
                <w:ilvl w:val="0"/>
                <w:numId w:val="31"/>
              </w:numPr>
              <w:ind w:left="481"/>
              <w:jc w:val="left"/>
              <w:rPr>
                <w:szCs w:val="22"/>
              </w:rPr>
            </w:pPr>
            <w:r w:rsidRPr="0074461A">
              <w:rPr>
                <w:szCs w:val="22"/>
              </w:rPr>
              <w:t>Revised</w:t>
            </w:r>
            <w:r w:rsidR="00427FCA" w:rsidRPr="0074461A">
              <w:rPr>
                <w:szCs w:val="22"/>
              </w:rPr>
              <w:t xml:space="preserve"> </w:t>
            </w:r>
            <w:r w:rsidRPr="0074461A">
              <w:rPr>
                <w:szCs w:val="22"/>
              </w:rPr>
              <w:t xml:space="preserve">definitions, </w:t>
            </w:r>
            <w:r w:rsidR="00427FCA" w:rsidRPr="0074461A">
              <w:rPr>
                <w:szCs w:val="22"/>
              </w:rPr>
              <w:t xml:space="preserve">procedure </w:t>
            </w:r>
            <w:r w:rsidRPr="0074461A">
              <w:rPr>
                <w:szCs w:val="22"/>
              </w:rPr>
              <w:t>requirements,</w:t>
            </w:r>
            <w:r w:rsidR="00427FCA" w:rsidRPr="0074461A">
              <w:rPr>
                <w:szCs w:val="22"/>
              </w:rPr>
              <w:t xml:space="preserve"> references, and technical appendices</w:t>
            </w:r>
            <w:r w:rsidRPr="0074461A">
              <w:rPr>
                <w:szCs w:val="22"/>
              </w:rPr>
              <w:t>.</w:t>
            </w:r>
          </w:p>
          <w:p w14:paraId="3A7A0EBD" w14:textId="437E2162" w:rsidR="0074461A" w:rsidRPr="0074461A" w:rsidRDefault="00427FCA" w:rsidP="00DA0660">
            <w:pPr>
              <w:pStyle w:val="ListParagraph"/>
              <w:numPr>
                <w:ilvl w:val="0"/>
                <w:numId w:val="31"/>
              </w:numPr>
              <w:ind w:left="481"/>
              <w:jc w:val="left"/>
              <w:rPr>
                <w:szCs w:val="22"/>
              </w:rPr>
            </w:pPr>
            <w:r w:rsidRPr="0074461A">
              <w:rPr>
                <w:szCs w:val="22"/>
              </w:rPr>
              <w:t>Added supplemental equipment limitations and Appendices to sustain performance.</w:t>
            </w:r>
          </w:p>
          <w:p w14:paraId="2D2B4B7A" w14:textId="0F09EBB1" w:rsidR="00880F07" w:rsidRPr="0074461A" w:rsidRDefault="00427FCA" w:rsidP="00DA0660">
            <w:pPr>
              <w:pStyle w:val="ListParagraph"/>
              <w:numPr>
                <w:ilvl w:val="0"/>
                <w:numId w:val="31"/>
              </w:numPr>
              <w:ind w:left="481"/>
              <w:jc w:val="left"/>
              <w:rPr>
                <w:szCs w:val="22"/>
              </w:rPr>
            </w:pPr>
            <w:r w:rsidRPr="0074461A">
              <w:rPr>
                <w:szCs w:val="22"/>
              </w:rPr>
              <w:t>Removed the requirement to display vendor-purchased tag</w:t>
            </w:r>
            <w:r w:rsidR="00851902" w:rsidRPr="0074461A">
              <w:rPr>
                <w:szCs w:val="22"/>
              </w:rPr>
              <w:t>s and replaced it with a requirement to display</w:t>
            </w:r>
            <w:r w:rsidR="00201EC0" w:rsidRPr="0074461A">
              <w:rPr>
                <w:szCs w:val="22"/>
              </w:rPr>
              <w:t xml:space="preserve"> in-house</w:t>
            </w:r>
            <w:r w:rsidR="00851902" w:rsidRPr="0074461A">
              <w:rPr>
                <w:szCs w:val="22"/>
              </w:rPr>
              <w:t xml:space="preserve"> verifications</w:t>
            </w:r>
            <w:r w:rsidR="00201EC0" w:rsidRPr="0074461A">
              <w:rPr>
                <w:szCs w:val="22"/>
              </w:rPr>
              <w:t xml:space="preserve"> </w:t>
            </w:r>
            <w:r w:rsidR="00851902" w:rsidRPr="0074461A">
              <w:rPr>
                <w:szCs w:val="22"/>
              </w:rPr>
              <w:t>presented in this chapter</w:t>
            </w:r>
            <w:r w:rsidR="00201EC0" w:rsidRPr="0074461A">
              <w:rPr>
                <w:szCs w:val="22"/>
              </w:rPr>
              <w:t>’s appendices</w:t>
            </w:r>
            <w:r w:rsidR="00851902" w:rsidRPr="0074461A">
              <w:rPr>
                <w:szCs w:val="22"/>
              </w:rPr>
              <w:t>.</w:t>
            </w:r>
          </w:p>
        </w:tc>
        <w:tc>
          <w:tcPr>
            <w:tcW w:w="2700" w:type="dxa"/>
          </w:tcPr>
          <w:p w14:paraId="2D2B4B7B" w14:textId="17FB8CAD" w:rsidR="00880F07" w:rsidRDefault="00E438D5" w:rsidP="00880F07">
            <w:pPr>
              <w:tabs>
                <w:tab w:val="left" w:pos="720"/>
              </w:tabs>
              <w:jc w:val="left"/>
              <w:rPr>
                <w:szCs w:val="22"/>
              </w:rPr>
            </w:pPr>
            <w:r>
              <w:rPr>
                <w:szCs w:val="22"/>
              </w:rPr>
              <w:t xml:space="preserve">April </w:t>
            </w:r>
            <w:r w:rsidR="004B7756">
              <w:rPr>
                <w:szCs w:val="22"/>
              </w:rPr>
              <w:t>202</w:t>
            </w:r>
            <w:r w:rsidR="00591A10">
              <w:rPr>
                <w:szCs w:val="22"/>
              </w:rPr>
              <w:t>2</w:t>
            </w:r>
          </w:p>
        </w:tc>
      </w:tr>
      <w:tr w:rsidR="00743FAE" w:rsidRPr="00E331D3" w14:paraId="2D2B4B80" w14:textId="77777777" w:rsidTr="00880F07">
        <w:tc>
          <w:tcPr>
            <w:tcW w:w="2088" w:type="dxa"/>
          </w:tcPr>
          <w:p w14:paraId="2D2B4B7D" w14:textId="2DA77B08" w:rsidR="00743FAE" w:rsidRPr="00E331D3" w:rsidRDefault="004B7756" w:rsidP="00D115E0">
            <w:pPr>
              <w:tabs>
                <w:tab w:val="left" w:pos="720"/>
              </w:tabs>
              <w:jc w:val="left"/>
            </w:pPr>
            <w:r>
              <w:t>Richard Rebstock</w:t>
            </w:r>
          </w:p>
        </w:tc>
        <w:tc>
          <w:tcPr>
            <w:tcW w:w="4500" w:type="dxa"/>
            <w:vAlign w:val="bottom"/>
          </w:tcPr>
          <w:p w14:paraId="5B37B98F" w14:textId="5A429570" w:rsidR="00743FAE" w:rsidRDefault="004B7756" w:rsidP="00DA0660">
            <w:pPr>
              <w:pStyle w:val="ListParagraph"/>
              <w:numPr>
                <w:ilvl w:val="0"/>
                <w:numId w:val="32"/>
              </w:numPr>
              <w:ind w:left="481"/>
              <w:jc w:val="left"/>
            </w:pPr>
            <w:r>
              <w:t>Replaced “Tepid” with moderately warm; lukewarm with moderately warm; lukewarm between 60-100 degrees F.</w:t>
            </w:r>
          </w:p>
          <w:p w14:paraId="2D2B4B7E" w14:textId="2FF739EC" w:rsidR="004B7756" w:rsidRPr="00E331D3" w:rsidRDefault="004B7756" w:rsidP="00DA0660">
            <w:pPr>
              <w:pStyle w:val="ListParagraph"/>
              <w:numPr>
                <w:ilvl w:val="0"/>
                <w:numId w:val="32"/>
              </w:numPr>
              <w:ind w:left="481"/>
              <w:jc w:val="left"/>
            </w:pPr>
            <w:r>
              <w:t>Replaced Division/Section/Center with Division/Section</w:t>
            </w:r>
          </w:p>
        </w:tc>
        <w:tc>
          <w:tcPr>
            <w:tcW w:w="2700" w:type="dxa"/>
          </w:tcPr>
          <w:p w14:paraId="2D2B4B7F" w14:textId="32EED380" w:rsidR="00743FAE" w:rsidRPr="00E331D3" w:rsidRDefault="004B7756" w:rsidP="00880F07">
            <w:pPr>
              <w:tabs>
                <w:tab w:val="left" w:pos="720"/>
              </w:tabs>
              <w:jc w:val="left"/>
            </w:pPr>
            <w:r>
              <w:t>January 2017</w:t>
            </w:r>
          </w:p>
        </w:tc>
      </w:tr>
    </w:tbl>
    <w:p w14:paraId="2D2B4B8B" w14:textId="77777777" w:rsidR="008648A9" w:rsidRDefault="008648A9" w:rsidP="008648A9">
      <w:pPr>
        <w:jc w:val="left"/>
        <w:rPr>
          <w:b/>
          <w:sz w:val="28"/>
          <w:szCs w:val="28"/>
        </w:rPr>
        <w:sectPr w:rsidR="008648A9" w:rsidSect="000D5746">
          <w:headerReference w:type="default" r:id="rId8"/>
          <w:footerReference w:type="default" r:id="rId9"/>
          <w:pgSz w:w="12240" w:h="15840" w:code="1"/>
          <w:pgMar w:top="720" w:right="1080" w:bottom="720" w:left="1440" w:header="720" w:footer="389" w:gutter="0"/>
          <w:cols w:space="720"/>
          <w:docGrid w:linePitch="360"/>
        </w:sectPr>
      </w:pPr>
    </w:p>
    <w:p w14:paraId="2D2B4B8C" w14:textId="77777777" w:rsidR="00A96FFC" w:rsidRPr="001A2CF3" w:rsidRDefault="00A96FFC" w:rsidP="001A2CF3">
      <w:pPr>
        <w:jc w:val="center"/>
        <w:rPr>
          <w:b/>
          <w:sz w:val="28"/>
          <w:szCs w:val="28"/>
        </w:rPr>
      </w:pPr>
      <w:r w:rsidRPr="001A2CF3">
        <w:rPr>
          <w:b/>
          <w:sz w:val="28"/>
          <w:szCs w:val="28"/>
        </w:rPr>
        <w:lastRenderedPageBreak/>
        <w:t>TABLE OF CONTENTS</w:t>
      </w:r>
    </w:p>
    <w:p w14:paraId="2D2B4B8D" w14:textId="77777777" w:rsidR="00A96FFC" w:rsidRDefault="00A96FFC">
      <w:pPr>
        <w:rPr>
          <w:bCs/>
        </w:rPr>
      </w:pPr>
    </w:p>
    <w:p w14:paraId="5DDF97DA" w14:textId="42071E88" w:rsidR="00F62721"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02126553" w:history="1">
        <w:r w:rsidR="00F62721" w:rsidRPr="00062C09">
          <w:rPr>
            <w:rStyle w:val="Hyperlink"/>
            <w:rFonts w:ascii="Times New Roman Bold" w:hAnsi="Times New Roman Bold"/>
            <w:noProof/>
          </w:rPr>
          <w:t>1.0</w:t>
        </w:r>
        <w:r w:rsidR="00F62721">
          <w:rPr>
            <w:rFonts w:asciiTheme="minorHAnsi" w:eastAsiaTheme="minorEastAsia" w:hAnsiTheme="minorHAnsi" w:cstheme="minorBidi"/>
            <w:noProof/>
            <w:sz w:val="22"/>
            <w:szCs w:val="22"/>
          </w:rPr>
          <w:tab/>
        </w:r>
        <w:r w:rsidR="00F62721" w:rsidRPr="00062C09">
          <w:rPr>
            <w:rStyle w:val="Hyperlink"/>
            <w:noProof/>
          </w:rPr>
          <w:t>INTRODUCTION AND SCOPE</w:t>
        </w:r>
        <w:r w:rsidR="00F62721">
          <w:rPr>
            <w:noProof/>
            <w:webHidden/>
          </w:rPr>
          <w:tab/>
        </w:r>
        <w:r w:rsidR="00F62721">
          <w:rPr>
            <w:noProof/>
            <w:webHidden/>
          </w:rPr>
          <w:fldChar w:fldCharType="begin"/>
        </w:r>
        <w:r w:rsidR="00F62721">
          <w:rPr>
            <w:noProof/>
            <w:webHidden/>
          </w:rPr>
          <w:instrText xml:space="preserve"> PAGEREF _Toc102126553 \h </w:instrText>
        </w:r>
        <w:r w:rsidR="00F62721">
          <w:rPr>
            <w:noProof/>
            <w:webHidden/>
          </w:rPr>
        </w:r>
        <w:r w:rsidR="00F62721">
          <w:rPr>
            <w:noProof/>
            <w:webHidden/>
          </w:rPr>
          <w:fldChar w:fldCharType="separate"/>
        </w:r>
        <w:r w:rsidR="00F62721">
          <w:rPr>
            <w:noProof/>
            <w:webHidden/>
          </w:rPr>
          <w:t>3</w:t>
        </w:r>
        <w:r w:rsidR="00F62721">
          <w:rPr>
            <w:noProof/>
            <w:webHidden/>
          </w:rPr>
          <w:fldChar w:fldCharType="end"/>
        </w:r>
      </w:hyperlink>
    </w:p>
    <w:p w14:paraId="65D162E1" w14:textId="01B0AFB8" w:rsidR="00F62721" w:rsidRDefault="00F62721">
      <w:pPr>
        <w:pStyle w:val="TOC1"/>
        <w:rPr>
          <w:rFonts w:asciiTheme="minorHAnsi" w:eastAsiaTheme="minorEastAsia" w:hAnsiTheme="minorHAnsi" w:cstheme="minorBidi"/>
          <w:noProof/>
          <w:sz w:val="22"/>
          <w:szCs w:val="22"/>
        </w:rPr>
      </w:pPr>
      <w:hyperlink w:anchor="_Toc102126554" w:history="1">
        <w:r w:rsidRPr="00062C09">
          <w:rPr>
            <w:rStyle w:val="Hyperlink"/>
            <w:rFonts w:ascii="Times New Roman Bold" w:hAnsi="Times New Roman Bold"/>
            <w:noProof/>
          </w:rPr>
          <w:t>2.0</w:t>
        </w:r>
        <w:r>
          <w:rPr>
            <w:rFonts w:asciiTheme="minorHAnsi" w:eastAsiaTheme="minorEastAsia" w:hAnsiTheme="minorHAnsi" w:cstheme="minorBidi"/>
            <w:noProof/>
            <w:sz w:val="22"/>
            <w:szCs w:val="22"/>
          </w:rPr>
          <w:tab/>
        </w:r>
        <w:r w:rsidRPr="00062C09">
          <w:rPr>
            <w:rStyle w:val="Hyperlink"/>
            <w:noProof/>
          </w:rPr>
          <w:t>DEFINITIONS</w:t>
        </w:r>
        <w:r>
          <w:rPr>
            <w:noProof/>
            <w:webHidden/>
          </w:rPr>
          <w:tab/>
        </w:r>
        <w:r>
          <w:rPr>
            <w:noProof/>
            <w:webHidden/>
          </w:rPr>
          <w:fldChar w:fldCharType="begin"/>
        </w:r>
        <w:r>
          <w:rPr>
            <w:noProof/>
            <w:webHidden/>
          </w:rPr>
          <w:instrText xml:space="preserve"> PAGEREF _Toc102126554 \h </w:instrText>
        </w:r>
        <w:r>
          <w:rPr>
            <w:noProof/>
            <w:webHidden/>
          </w:rPr>
        </w:r>
        <w:r>
          <w:rPr>
            <w:noProof/>
            <w:webHidden/>
          </w:rPr>
          <w:fldChar w:fldCharType="separate"/>
        </w:r>
        <w:r>
          <w:rPr>
            <w:noProof/>
            <w:webHidden/>
          </w:rPr>
          <w:t>3</w:t>
        </w:r>
        <w:r>
          <w:rPr>
            <w:noProof/>
            <w:webHidden/>
          </w:rPr>
          <w:fldChar w:fldCharType="end"/>
        </w:r>
      </w:hyperlink>
    </w:p>
    <w:p w14:paraId="2CCB4607" w14:textId="7899F616" w:rsidR="00F62721" w:rsidRDefault="00F62721">
      <w:pPr>
        <w:pStyle w:val="TOC1"/>
        <w:rPr>
          <w:rFonts w:asciiTheme="minorHAnsi" w:eastAsiaTheme="minorEastAsia" w:hAnsiTheme="minorHAnsi" w:cstheme="minorBidi"/>
          <w:noProof/>
          <w:sz w:val="22"/>
          <w:szCs w:val="22"/>
        </w:rPr>
      </w:pPr>
      <w:hyperlink w:anchor="_Toc102126555" w:history="1">
        <w:r w:rsidRPr="00062C09">
          <w:rPr>
            <w:rStyle w:val="Hyperlink"/>
            <w:rFonts w:ascii="Times New Roman Bold" w:hAnsi="Times New Roman Bold"/>
            <w:noProof/>
          </w:rPr>
          <w:t>3.0</w:t>
        </w:r>
        <w:r>
          <w:rPr>
            <w:rFonts w:asciiTheme="minorHAnsi" w:eastAsiaTheme="minorEastAsia" w:hAnsiTheme="minorHAnsi" w:cstheme="minorBidi"/>
            <w:noProof/>
            <w:sz w:val="22"/>
            <w:szCs w:val="22"/>
          </w:rPr>
          <w:tab/>
        </w:r>
        <w:r w:rsidRPr="00062C09">
          <w:rPr>
            <w:rStyle w:val="Hyperlink"/>
            <w:noProof/>
          </w:rPr>
          <w:t>RESPONSIBILITIES</w:t>
        </w:r>
        <w:r>
          <w:rPr>
            <w:noProof/>
            <w:webHidden/>
          </w:rPr>
          <w:tab/>
        </w:r>
        <w:r>
          <w:rPr>
            <w:noProof/>
            <w:webHidden/>
          </w:rPr>
          <w:fldChar w:fldCharType="begin"/>
        </w:r>
        <w:r>
          <w:rPr>
            <w:noProof/>
            <w:webHidden/>
          </w:rPr>
          <w:instrText xml:space="preserve"> PAGEREF _Toc102126555 \h </w:instrText>
        </w:r>
        <w:r>
          <w:rPr>
            <w:noProof/>
            <w:webHidden/>
          </w:rPr>
        </w:r>
        <w:r>
          <w:rPr>
            <w:noProof/>
            <w:webHidden/>
          </w:rPr>
          <w:fldChar w:fldCharType="separate"/>
        </w:r>
        <w:r>
          <w:rPr>
            <w:noProof/>
            <w:webHidden/>
          </w:rPr>
          <w:t>4</w:t>
        </w:r>
        <w:r>
          <w:rPr>
            <w:noProof/>
            <w:webHidden/>
          </w:rPr>
          <w:fldChar w:fldCharType="end"/>
        </w:r>
      </w:hyperlink>
    </w:p>
    <w:p w14:paraId="0D4A50CA" w14:textId="4EC4A88E" w:rsidR="00F62721" w:rsidRDefault="00F62721">
      <w:pPr>
        <w:pStyle w:val="TOC2"/>
        <w:rPr>
          <w:rFonts w:asciiTheme="minorHAnsi" w:eastAsiaTheme="minorEastAsia" w:hAnsiTheme="minorHAnsi" w:cstheme="minorBidi"/>
          <w:noProof/>
          <w:sz w:val="22"/>
          <w:szCs w:val="22"/>
        </w:rPr>
      </w:pPr>
      <w:hyperlink w:anchor="_Toc102126556" w:history="1">
        <w:r w:rsidRPr="00062C09">
          <w:rPr>
            <w:rStyle w:val="Hyperlink"/>
            <w:rFonts w:ascii="Times New Roman Bold" w:hAnsi="Times New Roman Bold"/>
            <w:noProof/>
          </w:rPr>
          <w:t>3.1</w:t>
        </w:r>
        <w:r>
          <w:rPr>
            <w:rFonts w:asciiTheme="minorHAnsi" w:eastAsiaTheme="minorEastAsia" w:hAnsiTheme="minorHAnsi" w:cstheme="minorBidi"/>
            <w:noProof/>
            <w:sz w:val="22"/>
            <w:szCs w:val="22"/>
          </w:rPr>
          <w:tab/>
        </w:r>
        <w:r w:rsidRPr="00062C09">
          <w:rPr>
            <w:rStyle w:val="Hyperlink"/>
            <w:noProof/>
          </w:rPr>
          <w:t>Environmental Safety and Health (ES&amp;H) Section</w:t>
        </w:r>
        <w:r>
          <w:rPr>
            <w:noProof/>
            <w:webHidden/>
          </w:rPr>
          <w:tab/>
        </w:r>
        <w:r>
          <w:rPr>
            <w:noProof/>
            <w:webHidden/>
          </w:rPr>
          <w:fldChar w:fldCharType="begin"/>
        </w:r>
        <w:r>
          <w:rPr>
            <w:noProof/>
            <w:webHidden/>
          </w:rPr>
          <w:instrText xml:space="preserve"> PAGEREF _Toc102126556 \h </w:instrText>
        </w:r>
        <w:r>
          <w:rPr>
            <w:noProof/>
            <w:webHidden/>
          </w:rPr>
        </w:r>
        <w:r>
          <w:rPr>
            <w:noProof/>
            <w:webHidden/>
          </w:rPr>
          <w:fldChar w:fldCharType="separate"/>
        </w:r>
        <w:r>
          <w:rPr>
            <w:noProof/>
            <w:webHidden/>
          </w:rPr>
          <w:t>4</w:t>
        </w:r>
        <w:r>
          <w:rPr>
            <w:noProof/>
            <w:webHidden/>
          </w:rPr>
          <w:fldChar w:fldCharType="end"/>
        </w:r>
      </w:hyperlink>
    </w:p>
    <w:p w14:paraId="770A0B7A" w14:textId="03708E42" w:rsidR="00F62721" w:rsidRDefault="00F62721">
      <w:pPr>
        <w:pStyle w:val="TOC2"/>
        <w:rPr>
          <w:rFonts w:asciiTheme="minorHAnsi" w:eastAsiaTheme="minorEastAsia" w:hAnsiTheme="minorHAnsi" w:cstheme="minorBidi"/>
          <w:noProof/>
          <w:sz w:val="22"/>
          <w:szCs w:val="22"/>
        </w:rPr>
      </w:pPr>
      <w:hyperlink w:anchor="_Toc102126557" w:history="1">
        <w:r w:rsidRPr="00062C09">
          <w:rPr>
            <w:rStyle w:val="Hyperlink"/>
            <w:rFonts w:ascii="Times New Roman Bold" w:hAnsi="Times New Roman Bold"/>
            <w:noProof/>
          </w:rPr>
          <w:t>3.2</w:t>
        </w:r>
        <w:r>
          <w:rPr>
            <w:rFonts w:asciiTheme="minorHAnsi" w:eastAsiaTheme="minorEastAsia" w:hAnsiTheme="minorHAnsi" w:cstheme="minorBidi"/>
            <w:noProof/>
            <w:sz w:val="22"/>
            <w:szCs w:val="22"/>
          </w:rPr>
          <w:tab/>
        </w:r>
        <w:r w:rsidRPr="00062C09">
          <w:rPr>
            <w:rStyle w:val="Hyperlink"/>
            <w:noProof/>
          </w:rPr>
          <w:t>Division/Section Heads</w:t>
        </w:r>
        <w:r>
          <w:rPr>
            <w:noProof/>
            <w:webHidden/>
          </w:rPr>
          <w:tab/>
        </w:r>
        <w:r>
          <w:rPr>
            <w:noProof/>
            <w:webHidden/>
          </w:rPr>
          <w:fldChar w:fldCharType="begin"/>
        </w:r>
        <w:r>
          <w:rPr>
            <w:noProof/>
            <w:webHidden/>
          </w:rPr>
          <w:instrText xml:space="preserve"> PAGEREF _Toc102126557 \h </w:instrText>
        </w:r>
        <w:r>
          <w:rPr>
            <w:noProof/>
            <w:webHidden/>
          </w:rPr>
        </w:r>
        <w:r>
          <w:rPr>
            <w:noProof/>
            <w:webHidden/>
          </w:rPr>
          <w:fldChar w:fldCharType="separate"/>
        </w:r>
        <w:r>
          <w:rPr>
            <w:noProof/>
            <w:webHidden/>
          </w:rPr>
          <w:t>4</w:t>
        </w:r>
        <w:r>
          <w:rPr>
            <w:noProof/>
            <w:webHidden/>
          </w:rPr>
          <w:fldChar w:fldCharType="end"/>
        </w:r>
      </w:hyperlink>
    </w:p>
    <w:p w14:paraId="57674D11" w14:textId="4802C921" w:rsidR="00F62721" w:rsidRDefault="00F62721">
      <w:pPr>
        <w:pStyle w:val="TOC2"/>
        <w:rPr>
          <w:rFonts w:asciiTheme="minorHAnsi" w:eastAsiaTheme="minorEastAsia" w:hAnsiTheme="minorHAnsi" w:cstheme="minorBidi"/>
          <w:noProof/>
          <w:sz w:val="22"/>
          <w:szCs w:val="22"/>
        </w:rPr>
      </w:pPr>
      <w:hyperlink w:anchor="_Toc102126558" w:history="1">
        <w:r w:rsidRPr="00062C09">
          <w:rPr>
            <w:rStyle w:val="Hyperlink"/>
            <w:rFonts w:ascii="Times New Roman Bold" w:hAnsi="Times New Roman Bold"/>
            <w:noProof/>
          </w:rPr>
          <w:t>3.3</w:t>
        </w:r>
        <w:r>
          <w:rPr>
            <w:rFonts w:asciiTheme="minorHAnsi" w:eastAsiaTheme="minorEastAsia" w:hAnsiTheme="minorHAnsi" w:cstheme="minorBidi"/>
            <w:noProof/>
            <w:sz w:val="22"/>
            <w:szCs w:val="22"/>
          </w:rPr>
          <w:tab/>
        </w:r>
        <w:r w:rsidRPr="00062C09">
          <w:rPr>
            <w:rStyle w:val="Hyperlink"/>
            <w:noProof/>
          </w:rPr>
          <w:t>Supervisors</w:t>
        </w:r>
        <w:r>
          <w:rPr>
            <w:noProof/>
            <w:webHidden/>
          </w:rPr>
          <w:tab/>
        </w:r>
        <w:r>
          <w:rPr>
            <w:noProof/>
            <w:webHidden/>
          </w:rPr>
          <w:fldChar w:fldCharType="begin"/>
        </w:r>
        <w:r>
          <w:rPr>
            <w:noProof/>
            <w:webHidden/>
          </w:rPr>
          <w:instrText xml:space="preserve"> PAGEREF _Toc102126558 \h </w:instrText>
        </w:r>
        <w:r>
          <w:rPr>
            <w:noProof/>
            <w:webHidden/>
          </w:rPr>
        </w:r>
        <w:r>
          <w:rPr>
            <w:noProof/>
            <w:webHidden/>
          </w:rPr>
          <w:fldChar w:fldCharType="separate"/>
        </w:r>
        <w:r>
          <w:rPr>
            <w:noProof/>
            <w:webHidden/>
          </w:rPr>
          <w:t>4</w:t>
        </w:r>
        <w:r>
          <w:rPr>
            <w:noProof/>
            <w:webHidden/>
          </w:rPr>
          <w:fldChar w:fldCharType="end"/>
        </w:r>
      </w:hyperlink>
    </w:p>
    <w:p w14:paraId="310467DC" w14:textId="6D6AD23B" w:rsidR="00F62721" w:rsidRDefault="00F62721">
      <w:pPr>
        <w:pStyle w:val="TOC1"/>
        <w:rPr>
          <w:rFonts w:asciiTheme="minorHAnsi" w:eastAsiaTheme="minorEastAsia" w:hAnsiTheme="minorHAnsi" w:cstheme="minorBidi"/>
          <w:noProof/>
          <w:sz w:val="22"/>
          <w:szCs w:val="22"/>
        </w:rPr>
      </w:pPr>
      <w:hyperlink w:anchor="_Toc102126559" w:history="1">
        <w:r w:rsidRPr="00062C09">
          <w:rPr>
            <w:rStyle w:val="Hyperlink"/>
            <w:rFonts w:ascii="Times New Roman Bold" w:hAnsi="Times New Roman Bold"/>
            <w:noProof/>
          </w:rPr>
          <w:t>4.0</w:t>
        </w:r>
        <w:r>
          <w:rPr>
            <w:rFonts w:asciiTheme="minorHAnsi" w:eastAsiaTheme="minorEastAsia" w:hAnsiTheme="minorHAnsi" w:cstheme="minorBidi"/>
            <w:noProof/>
            <w:sz w:val="22"/>
            <w:szCs w:val="22"/>
          </w:rPr>
          <w:tab/>
        </w:r>
        <w:r w:rsidRPr="00062C09">
          <w:rPr>
            <w:rStyle w:val="Hyperlink"/>
            <w:noProof/>
          </w:rPr>
          <w:t>PROCEDURES</w:t>
        </w:r>
        <w:r>
          <w:rPr>
            <w:noProof/>
            <w:webHidden/>
          </w:rPr>
          <w:tab/>
        </w:r>
        <w:r>
          <w:rPr>
            <w:noProof/>
            <w:webHidden/>
          </w:rPr>
          <w:fldChar w:fldCharType="begin"/>
        </w:r>
        <w:r>
          <w:rPr>
            <w:noProof/>
            <w:webHidden/>
          </w:rPr>
          <w:instrText xml:space="preserve"> PAGEREF _Toc102126559 \h </w:instrText>
        </w:r>
        <w:r>
          <w:rPr>
            <w:noProof/>
            <w:webHidden/>
          </w:rPr>
        </w:r>
        <w:r>
          <w:rPr>
            <w:noProof/>
            <w:webHidden/>
          </w:rPr>
          <w:fldChar w:fldCharType="separate"/>
        </w:r>
        <w:r>
          <w:rPr>
            <w:noProof/>
            <w:webHidden/>
          </w:rPr>
          <w:t>4</w:t>
        </w:r>
        <w:r>
          <w:rPr>
            <w:noProof/>
            <w:webHidden/>
          </w:rPr>
          <w:fldChar w:fldCharType="end"/>
        </w:r>
      </w:hyperlink>
    </w:p>
    <w:p w14:paraId="11111EDE" w14:textId="4A8FEC18" w:rsidR="00F62721" w:rsidRDefault="00F62721">
      <w:pPr>
        <w:pStyle w:val="TOC2"/>
        <w:rPr>
          <w:rFonts w:asciiTheme="minorHAnsi" w:eastAsiaTheme="minorEastAsia" w:hAnsiTheme="minorHAnsi" w:cstheme="minorBidi"/>
          <w:noProof/>
          <w:sz w:val="22"/>
          <w:szCs w:val="22"/>
        </w:rPr>
      </w:pPr>
      <w:hyperlink w:anchor="_Toc102126560" w:history="1">
        <w:r w:rsidRPr="00062C09">
          <w:rPr>
            <w:rStyle w:val="Hyperlink"/>
            <w:rFonts w:ascii="Times New Roman Bold" w:hAnsi="Times New Roman Bold"/>
            <w:noProof/>
          </w:rPr>
          <w:t>4.1</w:t>
        </w:r>
        <w:r>
          <w:rPr>
            <w:rFonts w:asciiTheme="minorHAnsi" w:eastAsiaTheme="minorEastAsia" w:hAnsiTheme="minorHAnsi" w:cstheme="minorBidi"/>
            <w:noProof/>
            <w:sz w:val="22"/>
            <w:szCs w:val="22"/>
          </w:rPr>
          <w:tab/>
        </w:r>
        <w:r w:rsidRPr="00062C09">
          <w:rPr>
            <w:rStyle w:val="Hyperlink"/>
            <w:noProof/>
          </w:rPr>
          <w:t>Emergency Eyewash or Combination Unit Procedure</w:t>
        </w:r>
        <w:r>
          <w:rPr>
            <w:noProof/>
            <w:webHidden/>
          </w:rPr>
          <w:tab/>
        </w:r>
        <w:r>
          <w:rPr>
            <w:noProof/>
            <w:webHidden/>
          </w:rPr>
          <w:fldChar w:fldCharType="begin"/>
        </w:r>
        <w:r>
          <w:rPr>
            <w:noProof/>
            <w:webHidden/>
          </w:rPr>
          <w:instrText xml:space="preserve"> PAGEREF _Toc102126560 \h </w:instrText>
        </w:r>
        <w:r>
          <w:rPr>
            <w:noProof/>
            <w:webHidden/>
          </w:rPr>
        </w:r>
        <w:r>
          <w:rPr>
            <w:noProof/>
            <w:webHidden/>
          </w:rPr>
          <w:fldChar w:fldCharType="separate"/>
        </w:r>
        <w:r>
          <w:rPr>
            <w:noProof/>
            <w:webHidden/>
          </w:rPr>
          <w:t>4</w:t>
        </w:r>
        <w:r>
          <w:rPr>
            <w:noProof/>
            <w:webHidden/>
          </w:rPr>
          <w:fldChar w:fldCharType="end"/>
        </w:r>
      </w:hyperlink>
    </w:p>
    <w:p w14:paraId="58D9EA1D" w14:textId="61F2B98B" w:rsidR="00F62721" w:rsidRDefault="00F62721">
      <w:pPr>
        <w:pStyle w:val="TOC2"/>
        <w:rPr>
          <w:rFonts w:asciiTheme="minorHAnsi" w:eastAsiaTheme="minorEastAsia" w:hAnsiTheme="minorHAnsi" w:cstheme="minorBidi"/>
          <w:noProof/>
          <w:sz w:val="22"/>
          <w:szCs w:val="22"/>
        </w:rPr>
      </w:pPr>
      <w:hyperlink w:anchor="_Toc102126561" w:history="1">
        <w:r w:rsidRPr="00062C09">
          <w:rPr>
            <w:rStyle w:val="Hyperlink"/>
            <w:rFonts w:ascii="Times New Roman Bold" w:hAnsi="Times New Roman Bold"/>
            <w:noProof/>
          </w:rPr>
          <w:t>4.2</w:t>
        </w:r>
        <w:r>
          <w:rPr>
            <w:rFonts w:asciiTheme="minorHAnsi" w:eastAsiaTheme="minorEastAsia" w:hAnsiTheme="minorHAnsi" w:cstheme="minorBidi"/>
            <w:noProof/>
            <w:sz w:val="22"/>
            <w:szCs w:val="22"/>
          </w:rPr>
          <w:tab/>
        </w:r>
        <w:r w:rsidRPr="00062C09">
          <w:rPr>
            <w:rStyle w:val="Hyperlink"/>
            <w:noProof/>
          </w:rPr>
          <w:t>Emergency Shower Procedure</w:t>
        </w:r>
        <w:r>
          <w:rPr>
            <w:noProof/>
            <w:webHidden/>
          </w:rPr>
          <w:tab/>
        </w:r>
        <w:r>
          <w:rPr>
            <w:noProof/>
            <w:webHidden/>
          </w:rPr>
          <w:fldChar w:fldCharType="begin"/>
        </w:r>
        <w:r>
          <w:rPr>
            <w:noProof/>
            <w:webHidden/>
          </w:rPr>
          <w:instrText xml:space="preserve"> PAGEREF _Toc102126561 \h </w:instrText>
        </w:r>
        <w:r>
          <w:rPr>
            <w:noProof/>
            <w:webHidden/>
          </w:rPr>
        </w:r>
        <w:r>
          <w:rPr>
            <w:noProof/>
            <w:webHidden/>
          </w:rPr>
          <w:fldChar w:fldCharType="separate"/>
        </w:r>
        <w:r>
          <w:rPr>
            <w:noProof/>
            <w:webHidden/>
          </w:rPr>
          <w:t>5</w:t>
        </w:r>
        <w:r>
          <w:rPr>
            <w:noProof/>
            <w:webHidden/>
          </w:rPr>
          <w:fldChar w:fldCharType="end"/>
        </w:r>
      </w:hyperlink>
    </w:p>
    <w:p w14:paraId="3AF72E9B" w14:textId="27C018F6" w:rsidR="00F62721" w:rsidRDefault="00F62721">
      <w:pPr>
        <w:pStyle w:val="TOC2"/>
        <w:rPr>
          <w:rFonts w:asciiTheme="minorHAnsi" w:eastAsiaTheme="minorEastAsia" w:hAnsiTheme="minorHAnsi" w:cstheme="minorBidi"/>
          <w:noProof/>
          <w:sz w:val="22"/>
          <w:szCs w:val="22"/>
        </w:rPr>
      </w:pPr>
      <w:hyperlink w:anchor="_Toc102126562" w:history="1">
        <w:r w:rsidRPr="00062C09">
          <w:rPr>
            <w:rStyle w:val="Hyperlink"/>
            <w:rFonts w:ascii="Times New Roman Bold" w:hAnsi="Times New Roman Bold"/>
            <w:noProof/>
          </w:rPr>
          <w:t>4.3</w:t>
        </w:r>
        <w:r>
          <w:rPr>
            <w:rFonts w:asciiTheme="minorHAnsi" w:eastAsiaTheme="minorEastAsia" w:hAnsiTheme="minorHAnsi" w:cstheme="minorBidi"/>
            <w:noProof/>
            <w:sz w:val="22"/>
            <w:szCs w:val="22"/>
          </w:rPr>
          <w:tab/>
        </w:r>
        <w:r w:rsidRPr="00062C09">
          <w:rPr>
            <w:rStyle w:val="Hyperlink"/>
            <w:noProof/>
          </w:rPr>
          <w:t>Supplemental Equipment Procedural Limitations</w:t>
        </w:r>
        <w:r>
          <w:rPr>
            <w:noProof/>
            <w:webHidden/>
          </w:rPr>
          <w:tab/>
        </w:r>
        <w:r>
          <w:rPr>
            <w:noProof/>
            <w:webHidden/>
          </w:rPr>
          <w:fldChar w:fldCharType="begin"/>
        </w:r>
        <w:r>
          <w:rPr>
            <w:noProof/>
            <w:webHidden/>
          </w:rPr>
          <w:instrText xml:space="preserve"> PAGEREF _Toc102126562 \h </w:instrText>
        </w:r>
        <w:r>
          <w:rPr>
            <w:noProof/>
            <w:webHidden/>
          </w:rPr>
        </w:r>
        <w:r>
          <w:rPr>
            <w:noProof/>
            <w:webHidden/>
          </w:rPr>
          <w:fldChar w:fldCharType="separate"/>
        </w:r>
        <w:r>
          <w:rPr>
            <w:noProof/>
            <w:webHidden/>
          </w:rPr>
          <w:t>5</w:t>
        </w:r>
        <w:r>
          <w:rPr>
            <w:noProof/>
            <w:webHidden/>
          </w:rPr>
          <w:fldChar w:fldCharType="end"/>
        </w:r>
      </w:hyperlink>
    </w:p>
    <w:p w14:paraId="37C3C281" w14:textId="5B600D81" w:rsidR="00F62721" w:rsidRDefault="00F62721">
      <w:pPr>
        <w:pStyle w:val="TOC3"/>
        <w:tabs>
          <w:tab w:val="left" w:pos="1930"/>
        </w:tabs>
        <w:rPr>
          <w:rFonts w:asciiTheme="minorHAnsi" w:eastAsiaTheme="minorEastAsia" w:hAnsiTheme="minorHAnsi" w:cstheme="minorBidi"/>
          <w:noProof/>
          <w:sz w:val="22"/>
          <w:szCs w:val="22"/>
        </w:rPr>
      </w:pPr>
      <w:hyperlink w:anchor="_Toc102126563" w:history="1">
        <w:r w:rsidRPr="00062C09">
          <w:rPr>
            <w:rStyle w:val="Hyperlink"/>
            <w:rFonts w:ascii="Times New Roman Bold" w:hAnsi="Times New Roman Bold"/>
            <w:noProof/>
          </w:rPr>
          <w:t>4.3.1.</w:t>
        </w:r>
        <w:r>
          <w:rPr>
            <w:rFonts w:asciiTheme="minorHAnsi" w:eastAsiaTheme="minorEastAsia" w:hAnsiTheme="minorHAnsi" w:cstheme="minorBidi"/>
            <w:noProof/>
            <w:sz w:val="22"/>
            <w:szCs w:val="22"/>
          </w:rPr>
          <w:tab/>
        </w:r>
        <w:r w:rsidRPr="00062C09">
          <w:rPr>
            <w:rStyle w:val="Hyperlink"/>
            <w:noProof/>
          </w:rPr>
          <w:t>Personal Flushing Bottles</w:t>
        </w:r>
        <w:r>
          <w:rPr>
            <w:noProof/>
            <w:webHidden/>
          </w:rPr>
          <w:tab/>
        </w:r>
        <w:r>
          <w:rPr>
            <w:noProof/>
            <w:webHidden/>
          </w:rPr>
          <w:fldChar w:fldCharType="begin"/>
        </w:r>
        <w:r>
          <w:rPr>
            <w:noProof/>
            <w:webHidden/>
          </w:rPr>
          <w:instrText xml:space="preserve"> PAGEREF _Toc102126563 \h </w:instrText>
        </w:r>
        <w:r>
          <w:rPr>
            <w:noProof/>
            <w:webHidden/>
          </w:rPr>
        </w:r>
        <w:r>
          <w:rPr>
            <w:noProof/>
            <w:webHidden/>
          </w:rPr>
          <w:fldChar w:fldCharType="separate"/>
        </w:r>
        <w:r>
          <w:rPr>
            <w:noProof/>
            <w:webHidden/>
          </w:rPr>
          <w:t>5</w:t>
        </w:r>
        <w:r>
          <w:rPr>
            <w:noProof/>
            <w:webHidden/>
          </w:rPr>
          <w:fldChar w:fldCharType="end"/>
        </w:r>
      </w:hyperlink>
    </w:p>
    <w:p w14:paraId="6C09B2AA" w14:textId="16F89FDA" w:rsidR="00F62721" w:rsidRDefault="00F62721">
      <w:pPr>
        <w:pStyle w:val="TOC3"/>
        <w:tabs>
          <w:tab w:val="left" w:pos="1930"/>
        </w:tabs>
        <w:rPr>
          <w:rFonts w:asciiTheme="minorHAnsi" w:eastAsiaTheme="minorEastAsia" w:hAnsiTheme="minorHAnsi" w:cstheme="minorBidi"/>
          <w:noProof/>
          <w:sz w:val="22"/>
          <w:szCs w:val="22"/>
        </w:rPr>
      </w:pPr>
      <w:hyperlink w:anchor="_Toc102126564" w:history="1">
        <w:r w:rsidRPr="00062C09">
          <w:rPr>
            <w:rStyle w:val="Hyperlink"/>
            <w:rFonts w:ascii="Times New Roman Bold" w:hAnsi="Times New Roman Bold"/>
            <w:noProof/>
          </w:rPr>
          <w:t>4.3.2.</w:t>
        </w:r>
        <w:r>
          <w:rPr>
            <w:rFonts w:asciiTheme="minorHAnsi" w:eastAsiaTheme="minorEastAsia" w:hAnsiTheme="minorHAnsi" w:cstheme="minorBidi"/>
            <w:noProof/>
            <w:sz w:val="22"/>
            <w:szCs w:val="22"/>
          </w:rPr>
          <w:tab/>
        </w:r>
        <w:r w:rsidRPr="00062C09">
          <w:rPr>
            <w:rStyle w:val="Hyperlink"/>
            <w:noProof/>
          </w:rPr>
          <w:t>Hand-held Drench Hoses</w:t>
        </w:r>
        <w:r>
          <w:rPr>
            <w:noProof/>
            <w:webHidden/>
          </w:rPr>
          <w:tab/>
        </w:r>
        <w:r>
          <w:rPr>
            <w:noProof/>
            <w:webHidden/>
          </w:rPr>
          <w:fldChar w:fldCharType="begin"/>
        </w:r>
        <w:r>
          <w:rPr>
            <w:noProof/>
            <w:webHidden/>
          </w:rPr>
          <w:instrText xml:space="preserve"> PAGEREF _Toc102126564 \h </w:instrText>
        </w:r>
        <w:r>
          <w:rPr>
            <w:noProof/>
            <w:webHidden/>
          </w:rPr>
        </w:r>
        <w:r>
          <w:rPr>
            <w:noProof/>
            <w:webHidden/>
          </w:rPr>
          <w:fldChar w:fldCharType="separate"/>
        </w:r>
        <w:r>
          <w:rPr>
            <w:noProof/>
            <w:webHidden/>
          </w:rPr>
          <w:t>5</w:t>
        </w:r>
        <w:r>
          <w:rPr>
            <w:noProof/>
            <w:webHidden/>
          </w:rPr>
          <w:fldChar w:fldCharType="end"/>
        </w:r>
      </w:hyperlink>
    </w:p>
    <w:p w14:paraId="4B1821DD" w14:textId="7600ED30" w:rsidR="00F62721" w:rsidRDefault="00F62721">
      <w:pPr>
        <w:pStyle w:val="TOC1"/>
        <w:rPr>
          <w:rFonts w:asciiTheme="minorHAnsi" w:eastAsiaTheme="minorEastAsia" w:hAnsiTheme="minorHAnsi" w:cstheme="minorBidi"/>
          <w:noProof/>
          <w:sz w:val="22"/>
          <w:szCs w:val="22"/>
        </w:rPr>
      </w:pPr>
      <w:hyperlink w:anchor="_Toc102126565" w:history="1">
        <w:r w:rsidRPr="00062C09">
          <w:rPr>
            <w:rStyle w:val="Hyperlink"/>
            <w:rFonts w:ascii="Times New Roman Bold" w:hAnsi="Times New Roman Bold"/>
            <w:noProof/>
          </w:rPr>
          <w:t>5.0</w:t>
        </w:r>
        <w:r>
          <w:rPr>
            <w:rFonts w:asciiTheme="minorHAnsi" w:eastAsiaTheme="minorEastAsia" w:hAnsiTheme="minorHAnsi" w:cstheme="minorBidi"/>
            <w:noProof/>
            <w:sz w:val="22"/>
            <w:szCs w:val="22"/>
          </w:rPr>
          <w:tab/>
        </w:r>
        <w:r w:rsidRPr="00062C09">
          <w:rPr>
            <w:rStyle w:val="Hyperlink"/>
            <w:noProof/>
          </w:rPr>
          <w:t>REFERENCES</w:t>
        </w:r>
        <w:r>
          <w:rPr>
            <w:noProof/>
            <w:webHidden/>
          </w:rPr>
          <w:tab/>
        </w:r>
        <w:r>
          <w:rPr>
            <w:noProof/>
            <w:webHidden/>
          </w:rPr>
          <w:fldChar w:fldCharType="begin"/>
        </w:r>
        <w:r>
          <w:rPr>
            <w:noProof/>
            <w:webHidden/>
          </w:rPr>
          <w:instrText xml:space="preserve"> PAGEREF _Toc102126565 \h </w:instrText>
        </w:r>
        <w:r>
          <w:rPr>
            <w:noProof/>
            <w:webHidden/>
          </w:rPr>
        </w:r>
        <w:r>
          <w:rPr>
            <w:noProof/>
            <w:webHidden/>
          </w:rPr>
          <w:fldChar w:fldCharType="separate"/>
        </w:r>
        <w:r>
          <w:rPr>
            <w:noProof/>
            <w:webHidden/>
          </w:rPr>
          <w:t>5</w:t>
        </w:r>
        <w:r>
          <w:rPr>
            <w:noProof/>
            <w:webHidden/>
          </w:rPr>
          <w:fldChar w:fldCharType="end"/>
        </w:r>
      </w:hyperlink>
    </w:p>
    <w:p w14:paraId="77D7E9BB" w14:textId="36AB08AD" w:rsidR="00F62721" w:rsidRDefault="00F62721">
      <w:pPr>
        <w:pStyle w:val="TOC1"/>
        <w:rPr>
          <w:rFonts w:asciiTheme="minorHAnsi" w:eastAsiaTheme="minorEastAsia" w:hAnsiTheme="minorHAnsi" w:cstheme="minorBidi"/>
          <w:noProof/>
          <w:sz w:val="22"/>
          <w:szCs w:val="22"/>
        </w:rPr>
      </w:pPr>
      <w:hyperlink w:anchor="_Toc102126566" w:history="1">
        <w:r w:rsidRPr="00062C09">
          <w:rPr>
            <w:rStyle w:val="Hyperlink"/>
            <w:rFonts w:ascii="Times New Roman Bold" w:hAnsi="Times New Roman Bold"/>
            <w:noProof/>
          </w:rPr>
          <w:t>6.0</w:t>
        </w:r>
        <w:r>
          <w:rPr>
            <w:rFonts w:asciiTheme="minorHAnsi" w:eastAsiaTheme="minorEastAsia" w:hAnsiTheme="minorHAnsi" w:cstheme="minorBidi"/>
            <w:noProof/>
            <w:sz w:val="22"/>
            <w:szCs w:val="22"/>
          </w:rPr>
          <w:tab/>
        </w:r>
        <w:r w:rsidRPr="00062C09">
          <w:rPr>
            <w:rStyle w:val="Hyperlink"/>
            <w:noProof/>
          </w:rPr>
          <w:t>TECHNICAL APPENDICES</w:t>
        </w:r>
        <w:r>
          <w:rPr>
            <w:noProof/>
            <w:webHidden/>
          </w:rPr>
          <w:tab/>
        </w:r>
        <w:r>
          <w:rPr>
            <w:noProof/>
            <w:webHidden/>
          </w:rPr>
          <w:fldChar w:fldCharType="begin"/>
        </w:r>
        <w:r>
          <w:rPr>
            <w:noProof/>
            <w:webHidden/>
          </w:rPr>
          <w:instrText xml:space="preserve"> PAGEREF _Toc102126566 \h </w:instrText>
        </w:r>
        <w:r>
          <w:rPr>
            <w:noProof/>
            <w:webHidden/>
          </w:rPr>
        </w:r>
        <w:r>
          <w:rPr>
            <w:noProof/>
            <w:webHidden/>
          </w:rPr>
          <w:fldChar w:fldCharType="separate"/>
        </w:r>
        <w:r>
          <w:rPr>
            <w:noProof/>
            <w:webHidden/>
          </w:rPr>
          <w:t>7</w:t>
        </w:r>
        <w:r>
          <w:rPr>
            <w:noProof/>
            <w:webHidden/>
          </w:rPr>
          <w:fldChar w:fldCharType="end"/>
        </w:r>
      </w:hyperlink>
    </w:p>
    <w:p w14:paraId="312EB1F5" w14:textId="48517A18" w:rsidR="00F62721" w:rsidRDefault="00F62721">
      <w:pPr>
        <w:pStyle w:val="TOC2"/>
        <w:rPr>
          <w:rFonts w:asciiTheme="minorHAnsi" w:eastAsiaTheme="minorEastAsia" w:hAnsiTheme="minorHAnsi" w:cstheme="minorBidi"/>
          <w:noProof/>
          <w:sz w:val="22"/>
          <w:szCs w:val="22"/>
        </w:rPr>
      </w:pPr>
      <w:hyperlink w:anchor="_Toc102126567" w:history="1">
        <w:r w:rsidRPr="00062C09">
          <w:rPr>
            <w:rStyle w:val="Hyperlink"/>
            <w:rFonts w:ascii="Times New Roman Bold" w:hAnsi="Times New Roman Bold"/>
            <w:noProof/>
          </w:rPr>
          <w:t>6.1</w:t>
        </w:r>
        <w:r>
          <w:rPr>
            <w:rFonts w:asciiTheme="minorHAnsi" w:eastAsiaTheme="minorEastAsia" w:hAnsiTheme="minorHAnsi" w:cstheme="minorBidi"/>
            <w:noProof/>
            <w:sz w:val="22"/>
            <w:szCs w:val="22"/>
          </w:rPr>
          <w:tab/>
        </w:r>
        <w:r w:rsidRPr="00062C09">
          <w:rPr>
            <w:rStyle w:val="Hyperlink"/>
            <w:noProof/>
          </w:rPr>
          <w:t>Appendix A:  Initial Verification</w:t>
        </w:r>
        <w:r>
          <w:rPr>
            <w:noProof/>
            <w:webHidden/>
          </w:rPr>
          <w:tab/>
        </w:r>
        <w:r>
          <w:rPr>
            <w:noProof/>
            <w:webHidden/>
          </w:rPr>
          <w:fldChar w:fldCharType="begin"/>
        </w:r>
        <w:r>
          <w:rPr>
            <w:noProof/>
            <w:webHidden/>
          </w:rPr>
          <w:instrText xml:space="preserve"> PAGEREF _Toc102126567 \h </w:instrText>
        </w:r>
        <w:r>
          <w:rPr>
            <w:noProof/>
            <w:webHidden/>
          </w:rPr>
        </w:r>
        <w:r>
          <w:rPr>
            <w:noProof/>
            <w:webHidden/>
          </w:rPr>
          <w:fldChar w:fldCharType="separate"/>
        </w:r>
        <w:r>
          <w:rPr>
            <w:noProof/>
            <w:webHidden/>
          </w:rPr>
          <w:t>7</w:t>
        </w:r>
        <w:r>
          <w:rPr>
            <w:noProof/>
            <w:webHidden/>
          </w:rPr>
          <w:fldChar w:fldCharType="end"/>
        </w:r>
      </w:hyperlink>
    </w:p>
    <w:p w14:paraId="676DC3C4" w14:textId="150E9500" w:rsidR="00F62721" w:rsidRDefault="00F62721">
      <w:pPr>
        <w:pStyle w:val="TOC2"/>
        <w:rPr>
          <w:rFonts w:asciiTheme="minorHAnsi" w:eastAsiaTheme="minorEastAsia" w:hAnsiTheme="minorHAnsi" w:cstheme="minorBidi"/>
          <w:noProof/>
          <w:sz w:val="22"/>
          <w:szCs w:val="22"/>
        </w:rPr>
      </w:pPr>
      <w:hyperlink w:anchor="_Toc102126568" w:history="1">
        <w:r w:rsidRPr="00062C09">
          <w:rPr>
            <w:rStyle w:val="Hyperlink"/>
            <w:rFonts w:ascii="Times New Roman Bold" w:hAnsi="Times New Roman Bold"/>
            <w:noProof/>
          </w:rPr>
          <w:t>6.2</w:t>
        </w:r>
        <w:r>
          <w:rPr>
            <w:rFonts w:asciiTheme="minorHAnsi" w:eastAsiaTheme="minorEastAsia" w:hAnsiTheme="minorHAnsi" w:cstheme="minorBidi"/>
            <w:noProof/>
            <w:sz w:val="22"/>
            <w:szCs w:val="22"/>
          </w:rPr>
          <w:tab/>
        </w:r>
        <w:r w:rsidRPr="00062C09">
          <w:rPr>
            <w:rStyle w:val="Hyperlink"/>
            <w:noProof/>
          </w:rPr>
          <w:t>Appendix B: Weekly Verification</w:t>
        </w:r>
        <w:r>
          <w:rPr>
            <w:noProof/>
            <w:webHidden/>
          </w:rPr>
          <w:tab/>
        </w:r>
        <w:r>
          <w:rPr>
            <w:noProof/>
            <w:webHidden/>
          </w:rPr>
          <w:fldChar w:fldCharType="begin"/>
        </w:r>
        <w:r>
          <w:rPr>
            <w:noProof/>
            <w:webHidden/>
          </w:rPr>
          <w:instrText xml:space="preserve"> PAGEREF _Toc102126568 \h </w:instrText>
        </w:r>
        <w:r>
          <w:rPr>
            <w:noProof/>
            <w:webHidden/>
          </w:rPr>
        </w:r>
        <w:r>
          <w:rPr>
            <w:noProof/>
            <w:webHidden/>
          </w:rPr>
          <w:fldChar w:fldCharType="separate"/>
        </w:r>
        <w:r>
          <w:rPr>
            <w:noProof/>
            <w:webHidden/>
          </w:rPr>
          <w:t>8</w:t>
        </w:r>
        <w:r>
          <w:rPr>
            <w:noProof/>
            <w:webHidden/>
          </w:rPr>
          <w:fldChar w:fldCharType="end"/>
        </w:r>
      </w:hyperlink>
    </w:p>
    <w:p w14:paraId="78FC2625" w14:textId="710298AF" w:rsidR="00F62721" w:rsidRDefault="00F62721">
      <w:pPr>
        <w:pStyle w:val="TOC2"/>
        <w:rPr>
          <w:rFonts w:asciiTheme="minorHAnsi" w:eastAsiaTheme="minorEastAsia" w:hAnsiTheme="minorHAnsi" w:cstheme="minorBidi"/>
          <w:noProof/>
          <w:sz w:val="22"/>
          <w:szCs w:val="22"/>
        </w:rPr>
      </w:pPr>
      <w:hyperlink w:anchor="_Toc102126569" w:history="1">
        <w:r w:rsidRPr="00062C09">
          <w:rPr>
            <w:rStyle w:val="Hyperlink"/>
            <w:rFonts w:ascii="Times New Roman Bold" w:hAnsi="Times New Roman Bold"/>
            <w:noProof/>
          </w:rPr>
          <w:t>6.3</w:t>
        </w:r>
        <w:r>
          <w:rPr>
            <w:rFonts w:asciiTheme="minorHAnsi" w:eastAsiaTheme="minorEastAsia" w:hAnsiTheme="minorHAnsi" w:cstheme="minorBidi"/>
            <w:noProof/>
            <w:sz w:val="22"/>
            <w:szCs w:val="22"/>
          </w:rPr>
          <w:tab/>
        </w:r>
        <w:r w:rsidRPr="00062C09">
          <w:rPr>
            <w:rStyle w:val="Hyperlink"/>
            <w:noProof/>
          </w:rPr>
          <w:t>Appendix C: Approved Self-Contained and Supplemental Equipment List</w:t>
        </w:r>
        <w:r>
          <w:rPr>
            <w:noProof/>
            <w:webHidden/>
          </w:rPr>
          <w:tab/>
        </w:r>
        <w:r>
          <w:rPr>
            <w:noProof/>
            <w:webHidden/>
          </w:rPr>
          <w:fldChar w:fldCharType="begin"/>
        </w:r>
        <w:r>
          <w:rPr>
            <w:noProof/>
            <w:webHidden/>
          </w:rPr>
          <w:instrText xml:space="preserve"> PAGEREF _Toc102126569 \h </w:instrText>
        </w:r>
        <w:r>
          <w:rPr>
            <w:noProof/>
            <w:webHidden/>
          </w:rPr>
        </w:r>
        <w:r>
          <w:rPr>
            <w:noProof/>
            <w:webHidden/>
          </w:rPr>
          <w:fldChar w:fldCharType="separate"/>
        </w:r>
        <w:r>
          <w:rPr>
            <w:noProof/>
            <w:webHidden/>
          </w:rPr>
          <w:t>9</w:t>
        </w:r>
        <w:r>
          <w:rPr>
            <w:noProof/>
            <w:webHidden/>
          </w:rPr>
          <w:fldChar w:fldCharType="end"/>
        </w:r>
      </w:hyperlink>
    </w:p>
    <w:p w14:paraId="2D2B4BA7" w14:textId="7C504183" w:rsidR="00A96FFC" w:rsidRPr="00A96FFC" w:rsidRDefault="00FF181A" w:rsidP="00851902">
      <w:pPr>
        <w:tabs>
          <w:tab w:val="right" w:leader="dot" w:pos="9720"/>
        </w:tabs>
        <w:jc w:val="left"/>
        <w:rPr>
          <w:bCs/>
        </w:rPr>
        <w:sectPr w:rsidR="00A96FFC" w:rsidRPr="00A96FFC" w:rsidSect="000D5746">
          <w:headerReference w:type="even" r:id="rId10"/>
          <w:headerReference w:type="default" r:id="rId11"/>
          <w:headerReference w:type="first" r:id="rId12"/>
          <w:pgSz w:w="12240" w:h="15840" w:code="1"/>
          <w:pgMar w:top="720" w:right="1080" w:bottom="720" w:left="1440" w:header="720" w:footer="389" w:gutter="0"/>
          <w:cols w:space="720"/>
          <w:docGrid w:linePitch="360"/>
        </w:sectPr>
      </w:pPr>
      <w:r>
        <w:rPr>
          <w:bCs/>
        </w:rPr>
        <w:fldChar w:fldCharType="end"/>
      </w:r>
    </w:p>
    <w:p w14:paraId="2D2B4BA8" w14:textId="77777777" w:rsidR="00D52AE5" w:rsidRPr="00D52AE5" w:rsidRDefault="00D52AE5" w:rsidP="00097E14">
      <w:pPr>
        <w:pStyle w:val="Heading1"/>
        <w:numPr>
          <w:ilvl w:val="0"/>
          <w:numId w:val="0"/>
        </w:numPr>
      </w:pPr>
    </w:p>
    <w:p w14:paraId="2D2B4BA9" w14:textId="77777777" w:rsidR="00CE5B8A" w:rsidRPr="00471710" w:rsidRDefault="007D5A75" w:rsidP="00471710">
      <w:pPr>
        <w:pStyle w:val="Heading1"/>
      </w:pPr>
      <w:bookmarkStart w:id="0" w:name="_Toc102126553"/>
      <w:r w:rsidRPr="00471710">
        <w:t>INTRODUCTION</w:t>
      </w:r>
      <w:r w:rsidR="00C9646B" w:rsidRPr="00471710">
        <w:t xml:space="preserve"> AND SCOPE</w:t>
      </w:r>
      <w:bookmarkEnd w:id="0"/>
    </w:p>
    <w:p w14:paraId="2D2B4BAA" w14:textId="77777777" w:rsidR="00D435EC" w:rsidRPr="007D5A75" w:rsidRDefault="00D435EC"/>
    <w:p w14:paraId="2D2B4BAB" w14:textId="213EF76A" w:rsidR="007D5A75" w:rsidRPr="007D5A75" w:rsidRDefault="004B7756" w:rsidP="00E00D72">
      <w:r>
        <w:t xml:space="preserve">This chapter covers guidelines and requirements </w:t>
      </w:r>
      <w:r w:rsidR="00EB456D">
        <w:t>for</w:t>
      </w:r>
      <w:r>
        <w:t xml:space="preserve"> the use, inspection and maintenance of emergency eyewash and shower equipment </w:t>
      </w:r>
      <w:r w:rsidR="00EB456D">
        <w:t>designed</w:t>
      </w:r>
      <w:r>
        <w:t xml:space="preserve"> for the immediate treatment of exposure to corrosive chemicals</w:t>
      </w:r>
      <w:r w:rsidRPr="005B34D1">
        <w:t>.</w:t>
      </w:r>
      <w:r w:rsidR="002143B4" w:rsidRPr="005B34D1">
        <w:t xml:space="preserve"> This chapter applies to Fermi Research Alliance (FRA) and its leased spaces.</w:t>
      </w:r>
    </w:p>
    <w:p w14:paraId="2D2B4BAC" w14:textId="77777777" w:rsidR="007D5A75" w:rsidRDefault="007D5A75" w:rsidP="00E00D72"/>
    <w:p w14:paraId="2D2B4BAD" w14:textId="77777777" w:rsidR="007D5A75" w:rsidRPr="00471710" w:rsidRDefault="007D5A75" w:rsidP="00471710">
      <w:pPr>
        <w:pStyle w:val="Heading1"/>
      </w:pPr>
      <w:bookmarkStart w:id="1" w:name="_Toc102126554"/>
      <w:r w:rsidRPr="00471710">
        <w:t>DEFINITIONS</w:t>
      </w:r>
      <w:bookmarkEnd w:id="1"/>
    </w:p>
    <w:p w14:paraId="2D2B4BAE" w14:textId="77777777" w:rsidR="007D5A75" w:rsidRPr="007D5A75" w:rsidRDefault="007D5A75" w:rsidP="00E00D72"/>
    <w:p w14:paraId="2D2B4BAF" w14:textId="2D46EA56" w:rsidR="006A7918" w:rsidRDefault="004B7756" w:rsidP="00E00D72">
      <w:pPr>
        <w:rPr>
          <w:color w:val="000000"/>
        </w:rPr>
      </w:pPr>
      <w:r w:rsidRPr="004E5B4F">
        <w:rPr>
          <w:b/>
          <w:bCs/>
          <w:color w:val="000000"/>
        </w:rPr>
        <w:t xml:space="preserve">Approved </w:t>
      </w:r>
      <w:r w:rsidR="004E5B4F" w:rsidRPr="004E5B4F">
        <w:rPr>
          <w:b/>
          <w:bCs/>
          <w:color w:val="000000"/>
        </w:rPr>
        <w:t>w</w:t>
      </w:r>
      <w:r w:rsidRPr="004E5B4F">
        <w:rPr>
          <w:b/>
          <w:bCs/>
          <w:color w:val="000000"/>
        </w:rPr>
        <w:t xml:space="preserve">ater </w:t>
      </w:r>
      <w:r w:rsidR="004E5B4F" w:rsidRPr="004E5B4F">
        <w:rPr>
          <w:b/>
          <w:bCs/>
          <w:color w:val="000000"/>
        </w:rPr>
        <w:t>s</w:t>
      </w:r>
      <w:r w:rsidRPr="004E5B4F">
        <w:rPr>
          <w:b/>
          <w:bCs/>
          <w:color w:val="000000"/>
        </w:rPr>
        <w:t>ource</w:t>
      </w:r>
      <w:r>
        <w:rPr>
          <w:color w:val="000000"/>
        </w:rPr>
        <w:t>: adequately supplied source of tepid potable water or saline solution.</w:t>
      </w:r>
    </w:p>
    <w:p w14:paraId="1498AF33" w14:textId="77777777" w:rsidR="003942FA" w:rsidRDefault="003942FA" w:rsidP="00E00D72">
      <w:pPr>
        <w:rPr>
          <w:color w:val="000000"/>
        </w:rPr>
      </w:pPr>
    </w:p>
    <w:p w14:paraId="6ECB90E0" w14:textId="489CC5CA" w:rsidR="004B7756" w:rsidRDefault="004B7756" w:rsidP="00E00D72">
      <w:pPr>
        <w:rPr>
          <w:color w:val="000000"/>
        </w:rPr>
      </w:pPr>
      <w:r w:rsidRPr="004E5B4F">
        <w:rPr>
          <w:b/>
          <w:bCs/>
          <w:color w:val="000000"/>
        </w:rPr>
        <w:t xml:space="preserve">Combination </w:t>
      </w:r>
      <w:r w:rsidR="004E5B4F" w:rsidRPr="004E5B4F">
        <w:rPr>
          <w:b/>
          <w:bCs/>
          <w:color w:val="000000"/>
        </w:rPr>
        <w:t>u</w:t>
      </w:r>
      <w:r w:rsidRPr="004E5B4F">
        <w:rPr>
          <w:b/>
          <w:bCs/>
          <w:color w:val="000000"/>
        </w:rPr>
        <w:t>nit</w:t>
      </w:r>
      <w:r>
        <w:rPr>
          <w:color w:val="000000"/>
        </w:rPr>
        <w:t>: an interconnected assembly of equipment supplied by one approved water source</w:t>
      </w:r>
      <w:r w:rsidR="00B31A96">
        <w:rPr>
          <w:color w:val="000000"/>
        </w:rPr>
        <w:t>; often an emergency shower with eyewash.</w:t>
      </w:r>
    </w:p>
    <w:p w14:paraId="415CA702" w14:textId="77777777" w:rsidR="003942FA" w:rsidRDefault="003942FA" w:rsidP="00E00D72">
      <w:pPr>
        <w:rPr>
          <w:color w:val="000000"/>
        </w:rPr>
      </w:pPr>
    </w:p>
    <w:p w14:paraId="3B0B9E1B" w14:textId="4B766117" w:rsidR="004B7756" w:rsidRDefault="004B7756" w:rsidP="00E00D72">
      <w:pPr>
        <w:rPr>
          <w:color w:val="000000"/>
        </w:rPr>
      </w:pPr>
      <w:r w:rsidRPr="004E5B4F">
        <w:rPr>
          <w:b/>
          <w:bCs/>
          <w:color w:val="000000"/>
        </w:rPr>
        <w:t xml:space="preserve">Corrosive </w:t>
      </w:r>
      <w:r w:rsidR="004E5B4F" w:rsidRPr="004E5B4F">
        <w:rPr>
          <w:b/>
          <w:bCs/>
          <w:color w:val="000000"/>
        </w:rPr>
        <w:t>m</w:t>
      </w:r>
      <w:r w:rsidRPr="004E5B4F">
        <w:rPr>
          <w:b/>
          <w:bCs/>
          <w:color w:val="000000"/>
        </w:rPr>
        <w:t>aterial</w:t>
      </w:r>
      <w:r>
        <w:rPr>
          <w:color w:val="000000"/>
        </w:rPr>
        <w:t>: chemical substance that produces the destruction of skin tissue.</w:t>
      </w:r>
    </w:p>
    <w:p w14:paraId="1777927D" w14:textId="77777777" w:rsidR="003942FA" w:rsidRDefault="003942FA" w:rsidP="00E00D72">
      <w:pPr>
        <w:rPr>
          <w:color w:val="000000"/>
        </w:rPr>
      </w:pPr>
    </w:p>
    <w:p w14:paraId="61420ED6" w14:textId="25BB1833" w:rsidR="004B7756" w:rsidRDefault="004B7756" w:rsidP="00E00D72">
      <w:pPr>
        <w:rPr>
          <w:color w:val="000000"/>
        </w:rPr>
      </w:pPr>
      <w:r w:rsidRPr="004E5B4F">
        <w:rPr>
          <w:b/>
          <w:bCs/>
          <w:color w:val="000000"/>
        </w:rPr>
        <w:t>Hand-held drench hose</w:t>
      </w:r>
      <w:r>
        <w:rPr>
          <w:color w:val="000000"/>
        </w:rPr>
        <w:t>: supplemental device, connected to an approved water source, used to irrigate the face or other body areas.</w:t>
      </w:r>
    </w:p>
    <w:p w14:paraId="159C32B3" w14:textId="77777777" w:rsidR="003942FA" w:rsidRDefault="003942FA" w:rsidP="00E00D72">
      <w:pPr>
        <w:rPr>
          <w:color w:val="000000"/>
        </w:rPr>
      </w:pPr>
    </w:p>
    <w:p w14:paraId="16AC80BC" w14:textId="747BC45C" w:rsidR="004B7756" w:rsidRDefault="004E5B4F" w:rsidP="00E00D72">
      <w:pPr>
        <w:rPr>
          <w:color w:val="000000"/>
        </w:rPr>
      </w:pPr>
      <w:r w:rsidRPr="004E5B4F">
        <w:rPr>
          <w:b/>
          <w:bCs/>
          <w:color w:val="000000"/>
        </w:rPr>
        <w:t>Personal flushing bottles</w:t>
      </w:r>
      <w:r>
        <w:rPr>
          <w:color w:val="000000"/>
        </w:rPr>
        <w:t>: supplemental, pre-filled bottles used to irrigate and flush the eyes, face, or other body areas.</w:t>
      </w:r>
    </w:p>
    <w:p w14:paraId="4B28FEAC" w14:textId="77777777" w:rsidR="003942FA" w:rsidRDefault="003942FA" w:rsidP="00E00D72">
      <w:pPr>
        <w:rPr>
          <w:color w:val="000000"/>
        </w:rPr>
      </w:pPr>
    </w:p>
    <w:p w14:paraId="0EF5F6DB" w14:textId="3A979A82" w:rsidR="004E5B4F" w:rsidRDefault="004E5B4F" w:rsidP="00E00D72">
      <w:pPr>
        <w:rPr>
          <w:color w:val="000000"/>
        </w:rPr>
      </w:pPr>
      <w:r w:rsidRPr="004E5B4F">
        <w:rPr>
          <w:b/>
          <w:bCs/>
          <w:color w:val="000000"/>
        </w:rPr>
        <w:t>Plumbed emergency eyewash</w:t>
      </w:r>
      <w:r>
        <w:rPr>
          <w:color w:val="000000"/>
        </w:rPr>
        <w:t>: a fixed device used to irrigate and flush the eyes by delivering fluid from an approved water source, at a rate of 0.4 gallons per minute, for a minimum of 15 minutes.</w:t>
      </w:r>
    </w:p>
    <w:p w14:paraId="650F5287" w14:textId="77777777" w:rsidR="003942FA" w:rsidRDefault="003942FA" w:rsidP="00E00D72">
      <w:pPr>
        <w:rPr>
          <w:color w:val="000000"/>
        </w:rPr>
      </w:pPr>
    </w:p>
    <w:p w14:paraId="14754392" w14:textId="4821DC09" w:rsidR="004E5B4F" w:rsidRDefault="004E5B4F" w:rsidP="00E00D72">
      <w:pPr>
        <w:rPr>
          <w:color w:val="000000"/>
        </w:rPr>
      </w:pPr>
      <w:r w:rsidRPr="004E5B4F">
        <w:rPr>
          <w:b/>
          <w:bCs/>
          <w:color w:val="000000"/>
        </w:rPr>
        <w:t>Self-contained emergency eyewash</w:t>
      </w:r>
      <w:r>
        <w:rPr>
          <w:color w:val="000000"/>
        </w:rPr>
        <w:t>: a moveable, stand-alone device used to irrigate and flush the eyes by delivering fluid from an approved water source, at a rate of 0.4 gallons per minute, for a minimum of 15 minutes.</w:t>
      </w:r>
    </w:p>
    <w:p w14:paraId="5603245B" w14:textId="77777777" w:rsidR="003942FA" w:rsidRDefault="003942FA" w:rsidP="00E00D72">
      <w:pPr>
        <w:rPr>
          <w:color w:val="000000"/>
        </w:rPr>
      </w:pPr>
    </w:p>
    <w:p w14:paraId="52FA950A" w14:textId="4E1E5E10" w:rsidR="004E5B4F" w:rsidRDefault="004E5B4F" w:rsidP="00E00D72">
      <w:pPr>
        <w:rPr>
          <w:color w:val="000000"/>
        </w:rPr>
      </w:pPr>
      <w:r w:rsidRPr="004E5B4F">
        <w:rPr>
          <w:b/>
          <w:bCs/>
          <w:color w:val="000000"/>
        </w:rPr>
        <w:t>Plumbed emergency shower</w:t>
      </w:r>
      <w:r>
        <w:rPr>
          <w:color w:val="000000"/>
        </w:rPr>
        <w:t>: a fixed device used to cascade fluid over the entire body, delivered at a flow rate of 20 gallons per minute, for a minimum of 15 minutes.</w:t>
      </w:r>
    </w:p>
    <w:p w14:paraId="7E0B5DDB" w14:textId="77777777" w:rsidR="003942FA" w:rsidRDefault="003942FA" w:rsidP="00E00D72">
      <w:pPr>
        <w:rPr>
          <w:color w:val="000000"/>
        </w:rPr>
      </w:pPr>
    </w:p>
    <w:p w14:paraId="77582B6F" w14:textId="7993F1B2" w:rsidR="004E5B4F" w:rsidRDefault="004E5B4F" w:rsidP="00E00D72">
      <w:pPr>
        <w:rPr>
          <w:color w:val="000000"/>
        </w:rPr>
      </w:pPr>
      <w:r w:rsidRPr="004E5B4F">
        <w:rPr>
          <w:b/>
          <w:bCs/>
          <w:color w:val="000000"/>
        </w:rPr>
        <w:t>Plumbed</w:t>
      </w:r>
      <w:r>
        <w:rPr>
          <w:color w:val="000000"/>
        </w:rPr>
        <w:t>: equipment connected to a continual source of potable water.</w:t>
      </w:r>
    </w:p>
    <w:p w14:paraId="3BAC2C15" w14:textId="77777777" w:rsidR="003942FA" w:rsidRDefault="003942FA" w:rsidP="00E00D72">
      <w:pPr>
        <w:rPr>
          <w:color w:val="000000"/>
        </w:rPr>
      </w:pPr>
    </w:p>
    <w:p w14:paraId="568B6514" w14:textId="05938EFE" w:rsidR="004E5B4F" w:rsidRDefault="004E5B4F" w:rsidP="00E00D72">
      <w:pPr>
        <w:rPr>
          <w:color w:val="000000"/>
        </w:rPr>
      </w:pPr>
      <w:r w:rsidRPr="004E5B4F">
        <w:rPr>
          <w:b/>
          <w:bCs/>
          <w:color w:val="000000"/>
        </w:rPr>
        <w:t>Potable water</w:t>
      </w:r>
      <w:r>
        <w:rPr>
          <w:color w:val="000000"/>
        </w:rPr>
        <w:t>: water of drinking quality.</w:t>
      </w:r>
    </w:p>
    <w:p w14:paraId="08E15CD3" w14:textId="77777777" w:rsidR="003942FA" w:rsidRDefault="003942FA" w:rsidP="00E00D72">
      <w:pPr>
        <w:rPr>
          <w:color w:val="000000"/>
        </w:rPr>
      </w:pPr>
    </w:p>
    <w:p w14:paraId="519130AD" w14:textId="5A472DAF" w:rsidR="004E5B4F" w:rsidRDefault="004E5B4F" w:rsidP="00E00D72">
      <w:pPr>
        <w:rPr>
          <w:color w:val="000000"/>
        </w:rPr>
      </w:pPr>
      <w:r w:rsidRPr="004E5B4F">
        <w:rPr>
          <w:b/>
          <w:bCs/>
          <w:color w:val="000000"/>
        </w:rPr>
        <w:t>Saline solution</w:t>
      </w:r>
      <w:r>
        <w:rPr>
          <w:color w:val="000000"/>
        </w:rPr>
        <w:t>: preserved, buffered flushing fluid or other medically acceptable solution.</w:t>
      </w:r>
    </w:p>
    <w:p w14:paraId="77B070C2" w14:textId="77777777" w:rsidR="003942FA" w:rsidRDefault="003942FA" w:rsidP="00E00D72">
      <w:pPr>
        <w:rPr>
          <w:color w:val="000000"/>
        </w:rPr>
      </w:pPr>
    </w:p>
    <w:p w14:paraId="30E49DC3" w14:textId="51A8DF0B" w:rsidR="00CC1239" w:rsidRDefault="004E5B4F" w:rsidP="00E00D72">
      <w:pPr>
        <w:rPr>
          <w:color w:val="000000"/>
        </w:rPr>
      </w:pPr>
      <w:r w:rsidRPr="004E5B4F">
        <w:rPr>
          <w:b/>
          <w:bCs/>
          <w:color w:val="000000"/>
        </w:rPr>
        <w:t>Tepid</w:t>
      </w:r>
      <w:r>
        <w:rPr>
          <w:color w:val="000000"/>
        </w:rPr>
        <w:t>: potable water or saline solution temperature of 60-100°F (16-38°C)</w:t>
      </w:r>
    </w:p>
    <w:p w14:paraId="5681793E" w14:textId="77777777" w:rsidR="008C7825" w:rsidRDefault="008C7825" w:rsidP="00E00D72">
      <w:pPr>
        <w:rPr>
          <w:color w:val="000000"/>
        </w:rPr>
      </w:pPr>
    </w:p>
    <w:p w14:paraId="5D814204" w14:textId="4BDFDAC3" w:rsidR="008C7825" w:rsidRPr="004E5B4F" w:rsidRDefault="008C7825" w:rsidP="00E00D72">
      <w:pPr>
        <w:rPr>
          <w:color w:val="000000"/>
        </w:rPr>
      </w:pPr>
      <w:r>
        <w:rPr>
          <w:color w:val="000000"/>
        </w:rPr>
        <w:br w:type="page"/>
      </w:r>
    </w:p>
    <w:p w14:paraId="2D2B4BB1" w14:textId="655312EE" w:rsidR="00554664" w:rsidRPr="00471710" w:rsidRDefault="00554664" w:rsidP="00471710">
      <w:pPr>
        <w:pStyle w:val="Heading1"/>
      </w:pPr>
      <w:bookmarkStart w:id="2" w:name="_Toc102126555"/>
      <w:r w:rsidRPr="00471710">
        <w:lastRenderedPageBreak/>
        <w:t>RESPONSIB</w:t>
      </w:r>
      <w:r w:rsidR="00730FCE" w:rsidRPr="00471710">
        <w:t>I</w:t>
      </w:r>
      <w:r w:rsidRPr="00471710">
        <w:t>L</w:t>
      </w:r>
      <w:r w:rsidR="007D5A75" w:rsidRPr="00471710">
        <w:t>ITIES</w:t>
      </w:r>
      <w:bookmarkEnd w:id="2"/>
    </w:p>
    <w:p w14:paraId="2D2B4BB2" w14:textId="77777777" w:rsidR="00554664" w:rsidRPr="00263F3B" w:rsidRDefault="00554664" w:rsidP="00E00D72"/>
    <w:p w14:paraId="2D2B4BB5" w14:textId="73C029F5" w:rsidR="003E2A77" w:rsidRPr="00471710" w:rsidRDefault="00CC1239" w:rsidP="00471710">
      <w:pPr>
        <w:pStyle w:val="Heading2"/>
      </w:pPr>
      <w:bookmarkStart w:id="3" w:name="_Toc102126556"/>
      <w:r w:rsidRPr="00471710">
        <w:t>Environmental</w:t>
      </w:r>
      <w:r w:rsidR="008B2B64" w:rsidRPr="00471710">
        <w:t xml:space="preserve"> Safety and Health (ES&amp;H)</w:t>
      </w:r>
      <w:r w:rsidR="00E7004C" w:rsidRPr="00471710">
        <w:t xml:space="preserve"> </w:t>
      </w:r>
      <w:r w:rsidR="009D02C0" w:rsidRPr="00471710">
        <w:t>Section</w:t>
      </w:r>
      <w:bookmarkEnd w:id="3"/>
    </w:p>
    <w:p w14:paraId="2D2B4BB6" w14:textId="0338F5FB" w:rsidR="00E7004C" w:rsidRDefault="008B2B64" w:rsidP="003942FA">
      <w:r>
        <w:t>The ES&amp;H Section</w:t>
      </w:r>
      <w:r w:rsidR="00CD0F27">
        <w:t xml:space="preserve">’s Industrial Hygiene Group </w:t>
      </w:r>
      <w:r>
        <w:t>shall:</w:t>
      </w:r>
    </w:p>
    <w:p w14:paraId="5148A472" w14:textId="19496936" w:rsidR="008B2B64" w:rsidRDefault="008B2B64" w:rsidP="003942FA">
      <w:pPr>
        <w:pStyle w:val="ListParagraph"/>
        <w:numPr>
          <w:ilvl w:val="0"/>
          <w:numId w:val="24"/>
        </w:numPr>
      </w:pPr>
      <w:r>
        <w:t xml:space="preserve">Review this </w:t>
      </w:r>
      <w:r w:rsidR="00CC1239">
        <w:t>chapter</w:t>
      </w:r>
      <w:r>
        <w:t xml:space="preserve"> and ensure </w:t>
      </w:r>
      <w:r w:rsidR="001318BD">
        <w:t>technical appendices are</w:t>
      </w:r>
      <w:r>
        <w:t xml:space="preserve"> maintained.</w:t>
      </w:r>
    </w:p>
    <w:p w14:paraId="38E686E0" w14:textId="15AEE7CC" w:rsidR="008B2B64" w:rsidRPr="00070C70" w:rsidRDefault="008B2B64" w:rsidP="003942FA">
      <w:pPr>
        <w:pStyle w:val="ListParagraph"/>
        <w:numPr>
          <w:ilvl w:val="0"/>
          <w:numId w:val="24"/>
        </w:numPr>
      </w:pPr>
      <w:r>
        <w:t xml:space="preserve">Provide </w:t>
      </w:r>
      <w:r w:rsidR="001318BD">
        <w:t>Appendix A or B (forms)</w:t>
      </w:r>
      <w:r>
        <w:t xml:space="preserve"> </w:t>
      </w:r>
      <w:r w:rsidR="00866AAF">
        <w:t>upon request, or as needed.</w:t>
      </w:r>
    </w:p>
    <w:p w14:paraId="2D2B4BB7" w14:textId="35E46746" w:rsidR="00E7004C" w:rsidRPr="00E7004C" w:rsidRDefault="00E7004C" w:rsidP="00E00D72">
      <w:pPr>
        <w:rPr>
          <w:b/>
          <w:highlight w:val="yellow"/>
        </w:rPr>
      </w:pPr>
    </w:p>
    <w:p w14:paraId="2D2B4BB8" w14:textId="796022B8" w:rsidR="006E7F4F" w:rsidRPr="00471710" w:rsidRDefault="008B2B64" w:rsidP="00471710">
      <w:pPr>
        <w:pStyle w:val="Heading2"/>
      </w:pPr>
      <w:bookmarkStart w:id="4" w:name="_Toc102126557"/>
      <w:r w:rsidRPr="00471710">
        <w:t>Division/Section</w:t>
      </w:r>
      <w:r w:rsidR="00E7004C" w:rsidRPr="00471710">
        <w:t xml:space="preserve"> </w:t>
      </w:r>
      <w:r w:rsidR="00CD0F27" w:rsidRPr="00471710">
        <w:t>Heads</w:t>
      </w:r>
      <w:bookmarkEnd w:id="4"/>
    </w:p>
    <w:p w14:paraId="0C0CC8D3" w14:textId="372F4ED7" w:rsidR="008B2B64" w:rsidRDefault="008B2B64" w:rsidP="003942FA">
      <w:r>
        <w:t xml:space="preserve">Each Division/Section </w:t>
      </w:r>
      <w:r w:rsidR="00CD0F27" w:rsidRPr="005B34D1">
        <w:t>Head</w:t>
      </w:r>
      <w:r w:rsidR="00CD0F27">
        <w:t xml:space="preserve"> </w:t>
      </w:r>
      <w:r>
        <w:t>shall:</w:t>
      </w:r>
    </w:p>
    <w:p w14:paraId="548E8143" w14:textId="6225AFCD" w:rsidR="002143B4" w:rsidRPr="005B34D1" w:rsidRDefault="002143B4" w:rsidP="002143B4">
      <w:pPr>
        <w:pStyle w:val="ListParagraph"/>
        <w:numPr>
          <w:ilvl w:val="0"/>
          <w:numId w:val="25"/>
        </w:numPr>
        <w:ind w:left="720"/>
      </w:pPr>
      <w:r w:rsidRPr="005B34D1">
        <w:t xml:space="preserve">Ensure emergency eyewash and/or shower unit verifications are completed and documented to demonstrate compliance with this chapter. Area </w:t>
      </w:r>
      <w:r w:rsidR="008C16A8">
        <w:t>F</w:t>
      </w:r>
      <w:r w:rsidRPr="005B34D1">
        <w:t xml:space="preserve">acility </w:t>
      </w:r>
      <w:r w:rsidR="008C16A8">
        <w:t>M</w:t>
      </w:r>
      <w:r w:rsidRPr="005B34D1">
        <w:t>anagers (AFM) will support Division/Section Heads by ensuring that plumbed eyewash and</w:t>
      </w:r>
      <w:r w:rsidR="00043EC7">
        <w:t>/or</w:t>
      </w:r>
      <w:r w:rsidRPr="005B34D1">
        <w:t xml:space="preserve"> shower stations </w:t>
      </w:r>
      <w:r w:rsidR="009B2BFC">
        <w:t xml:space="preserve">are </w:t>
      </w:r>
      <w:r w:rsidR="00AF3D3C">
        <w:t xml:space="preserve">adequately </w:t>
      </w:r>
      <w:r w:rsidR="00043EC7">
        <w:t>supplied</w:t>
      </w:r>
      <w:r w:rsidR="009B2BFC">
        <w:t xml:space="preserve"> with </w:t>
      </w:r>
      <w:r w:rsidR="00AF3D3C">
        <w:t>an approved</w:t>
      </w:r>
      <w:r w:rsidR="009B2BFC">
        <w:t xml:space="preserve"> water</w:t>
      </w:r>
      <w:r w:rsidR="00043EC7">
        <w:t xml:space="preserve"> </w:t>
      </w:r>
      <w:r w:rsidR="00AF3D3C">
        <w:t xml:space="preserve">source (i.e., potable water) that may be used for emergency </w:t>
      </w:r>
      <w:r w:rsidR="008C16A8">
        <w:t>units</w:t>
      </w:r>
      <w:r w:rsidRPr="005B34D1">
        <w:t>. Building</w:t>
      </w:r>
      <w:r w:rsidR="009D283F">
        <w:t>, section, or project</w:t>
      </w:r>
      <w:r w:rsidRPr="005B34D1">
        <w:t xml:space="preserve"> tenants must ensure units are </w:t>
      </w:r>
      <w:r w:rsidR="00AF3D3C">
        <w:t xml:space="preserve">inspected and </w:t>
      </w:r>
      <w:r w:rsidRPr="005B34D1">
        <w:t>maintained according to this chapter’s appendices.</w:t>
      </w:r>
    </w:p>
    <w:p w14:paraId="2D2B4BBA" w14:textId="77777777" w:rsidR="00E7004C" w:rsidRDefault="00E7004C" w:rsidP="00E00D72"/>
    <w:p w14:paraId="2D2B4BBB" w14:textId="5C41D836" w:rsidR="006E7F4F" w:rsidRPr="00471710" w:rsidRDefault="008B2B64" w:rsidP="00471710">
      <w:pPr>
        <w:pStyle w:val="Heading2"/>
      </w:pPr>
      <w:bookmarkStart w:id="5" w:name="_Toc102126558"/>
      <w:r w:rsidRPr="00471710">
        <w:t>Supervis</w:t>
      </w:r>
      <w:r w:rsidR="00CD0F27" w:rsidRPr="00471710">
        <w:t>ors</w:t>
      </w:r>
      <w:bookmarkEnd w:id="5"/>
    </w:p>
    <w:p w14:paraId="2D2B4BBC" w14:textId="64A45038" w:rsidR="00BE0C08" w:rsidRDefault="008B2B64" w:rsidP="003942FA">
      <w:r>
        <w:t>Supervisors shall:</w:t>
      </w:r>
    </w:p>
    <w:p w14:paraId="4032CDE7" w14:textId="4322AF64" w:rsidR="00CC1239" w:rsidRDefault="00CC1239" w:rsidP="003942FA">
      <w:pPr>
        <w:pStyle w:val="ListParagraph"/>
        <w:numPr>
          <w:ilvl w:val="0"/>
          <w:numId w:val="26"/>
        </w:numPr>
        <w:ind w:left="720"/>
      </w:pPr>
      <w:r>
        <w:t xml:space="preserve">Assume the </w:t>
      </w:r>
      <w:r w:rsidR="00866AAF">
        <w:t>responsibility</w:t>
      </w:r>
      <w:r>
        <w:t xml:space="preserve"> or designate a worker to </w:t>
      </w:r>
      <w:r w:rsidR="00427FCA">
        <w:t>complete</w:t>
      </w:r>
      <w:r>
        <w:t xml:space="preserve"> </w:t>
      </w:r>
      <w:r w:rsidR="00427FCA">
        <w:t>procedures in this chapter</w:t>
      </w:r>
      <w:r w:rsidR="00866AAF">
        <w:t>.</w:t>
      </w:r>
    </w:p>
    <w:p w14:paraId="47EAF745" w14:textId="759D3339" w:rsidR="00B31A96" w:rsidRDefault="008B2B64" w:rsidP="003942FA">
      <w:pPr>
        <w:pStyle w:val="ListParagraph"/>
        <w:numPr>
          <w:ilvl w:val="0"/>
          <w:numId w:val="26"/>
        </w:numPr>
        <w:ind w:left="720"/>
      </w:pPr>
      <w:r>
        <w:t>Ensure affected employees are instructed in</w:t>
      </w:r>
      <w:r w:rsidR="00B31A96">
        <w:t xml:space="preserve"> t</w:t>
      </w:r>
      <w:r>
        <w:t xml:space="preserve">he proper use and location of emergency showers, eyewashes, </w:t>
      </w:r>
      <w:r w:rsidR="00B31A96">
        <w:t xml:space="preserve">combination units, </w:t>
      </w:r>
      <w:r>
        <w:t>hand</w:t>
      </w:r>
      <w:r w:rsidR="00372CE8">
        <w:t>-</w:t>
      </w:r>
      <w:r>
        <w:t>held drenching hoses, and personal flushing bottles in their working area.</w:t>
      </w:r>
    </w:p>
    <w:p w14:paraId="58DAF2FB" w14:textId="134B868D" w:rsidR="008B2B64" w:rsidRDefault="00B31A96" w:rsidP="003942FA">
      <w:pPr>
        <w:pStyle w:val="ListParagraph"/>
        <w:numPr>
          <w:ilvl w:val="0"/>
          <w:numId w:val="27"/>
        </w:numPr>
        <w:ind w:left="1080"/>
      </w:pPr>
      <w:r>
        <w:t>Ensure e</w:t>
      </w:r>
      <w:r w:rsidR="008B2B64">
        <w:t>yewash instruction discuss</w:t>
      </w:r>
      <w:r>
        <w:t>es</w:t>
      </w:r>
      <w:r w:rsidR="008B2B64">
        <w:t xml:space="preserve"> holding the eyelids open and rolling the eyeballs </w:t>
      </w:r>
      <w:r w:rsidR="00CC1239">
        <w:t xml:space="preserve">so </w:t>
      </w:r>
      <w:r w:rsidR="008B2B64">
        <w:t>flushing fluid flow</w:t>
      </w:r>
      <w:r w:rsidR="00CC1239">
        <w:t>s</w:t>
      </w:r>
      <w:r w:rsidR="008B2B64">
        <w:t xml:space="preserve"> on all surfaces of the eye and under the eyelid. </w:t>
      </w:r>
      <w:r w:rsidR="00CC1239">
        <w:t>Additional instruction must reiterate that, shou</w:t>
      </w:r>
      <w:r w:rsidR="008B2B64">
        <w:t xml:space="preserve">ld an exposure occur, </w:t>
      </w:r>
      <w:r>
        <w:t>affected areas</w:t>
      </w:r>
      <w:r w:rsidR="008B2B64">
        <w:t xml:space="preserve"> must be flushed for 15 minutes and affected clo</w:t>
      </w:r>
      <w:r w:rsidR="00CC1239">
        <w:t>thing must be removed.</w:t>
      </w:r>
    </w:p>
    <w:p w14:paraId="0A632AD8" w14:textId="6FDD1CB4" w:rsidR="008B2B64" w:rsidRDefault="00CC1239" w:rsidP="003942FA">
      <w:pPr>
        <w:pStyle w:val="ListParagraph"/>
        <w:numPr>
          <w:ilvl w:val="0"/>
          <w:numId w:val="28"/>
        </w:numPr>
        <w:ind w:left="720"/>
      </w:pPr>
      <w:r>
        <w:t>Conduct hazard assessments with Division Safety Officers</w:t>
      </w:r>
      <w:r w:rsidR="009D02C0">
        <w:t xml:space="preserve"> and/or the Industrial Hygiene Group</w:t>
      </w:r>
      <w:r>
        <w:t xml:space="preserve"> for emergency planning</w:t>
      </w:r>
      <w:r w:rsidR="00427FCA">
        <w:t>, especially when new emergency eyewash or shower equipment is furnished</w:t>
      </w:r>
      <w:r>
        <w:t>.</w:t>
      </w:r>
    </w:p>
    <w:p w14:paraId="2D2B4BC1" w14:textId="6482EFFA" w:rsidR="001E4839" w:rsidRPr="001E4839" w:rsidRDefault="001E4839" w:rsidP="00471710"/>
    <w:p w14:paraId="2D2B4BC2" w14:textId="77777777" w:rsidR="00BE0C08" w:rsidRPr="00471710" w:rsidRDefault="00F86384" w:rsidP="00471710">
      <w:pPr>
        <w:pStyle w:val="Heading1"/>
      </w:pPr>
      <w:bookmarkStart w:id="6" w:name="_Toc102126559"/>
      <w:r w:rsidRPr="00471710">
        <w:t>PROCEDURES</w:t>
      </w:r>
      <w:bookmarkEnd w:id="6"/>
    </w:p>
    <w:p w14:paraId="2D2B4BC5" w14:textId="77777777" w:rsidR="00D929BC" w:rsidRDefault="00D929BC" w:rsidP="00E00D72">
      <w:pPr>
        <w:rPr>
          <w:rFonts w:ascii="Palatino" w:hAnsi="Palatino"/>
          <w:color w:val="000000"/>
        </w:rPr>
      </w:pPr>
    </w:p>
    <w:p w14:paraId="2D2B4BD0" w14:textId="7D53D136" w:rsidR="00D929BC" w:rsidRDefault="00111372" w:rsidP="0018554C">
      <w:pPr>
        <w:pStyle w:val="Heading2"/>
      </w:pPr>
      <w:bookmarkStart w:id="7" w:name="_Toc102126560"/>
      <w:r>
        <w:t xml:space="preserve">Emergency </w:t>
      </w:r>
      <w:r w:rsidR="0018554C">
        <w:t>Eyewash or Combination Unit Procedure</w:t>
      </w:r>
      <w:bookmarkEnd w:id="7"/>
    </w:p>
    <w:p w14:paraId="1B24D6E5" w14:textId="7D01C91A" w:rsidR="0018554C" w:rsidRPr="0018554C" w:rsidRDefault="0018554C" w:rsidP="003942FA">
      <w:r>
        <w:t>Plumbed or self-contained emergency eyewash or combination units shall be:</w:t>
      </w:r>
    </w:p>
    <w:p w14:paraId="2D2B4BD1" w14:textId="690432E3" w:rsidR="00D929BC" w:rsidRDefault="00111372" w:rsidP="003942FA">
      <w:pPr>
        <w:pStyle w:val="ListParagraph"/>
        <w:numPr>
          <w:ilvl w:val="0"/>
          <w:numId w:val="12"/>
        </w:numPr>
        <w:ind w:left="720"/>
      </w:pPr>
      <w:r>
        <w:t>Installed where corrosive material may contact the eyes through splashing, spraying, misting, or other aerosolizing job task processes.</w:t>
      </w:r>
    </w:p>
    <w:p w14:paraId="6121114B" w14:textId="128A4A68" w:rsidR="00111372" w:rsidRDefault="00111372" w:rsidP="003942FA">
      <w:pPr>
        <w:pStyle w:val="ListParagraph"/>
        <w:numPr>
          <w:ilvl w:val="0"/>
          <w:numId w:val="12"/>
        </w:numPr>
        <w:ind w:left="720"/>
      </w:pPr>
      <w:r>
        <w:t>Connected to an approved water source.</w:t>
      </w:r>
    </w:p>
    <w:p w14:paraId="5E553D03" w14:textId="681C160C" w:rsidR="00111372" w:rsidRDefault="00111372" w:rsidP="003942FA">
      <w:pPr>
        <w:pStyle w:val="ListParagraph"/>
        <w:numPr>
          <w:ilvl w:val="0"/>
          <w:numId w:val="12"/>
        </w:numPr>
        <w:ind w:left="720"/>
      </w:pPr>
      <w:r>
        <w:t>Located on the same level as relevant hazards</w:t>
      </w:r>
    </w:p>
    <w:p w14:paraId="1886B523" w14:textId="2119B0B0" w:rsidR="00111372" w:rsidRDefault="00111372" w:rsidP="003942FA">
      <w:pPr>
        <w:pStyle w:val="ListParagraph"/>
        <w:numPr>
          <w:ilvl w:val="0"/>
          <w:numId w:val="12"/>
        </w:numPr>
        <w:ind w:left="720"/>
      </w:pPr>
      <w:r>
        <w:t>Accessible by any job task the eyewash</w:t>
      </w:r>
      <w:r w:rsidR="0018554C">
        <w:t xml:space="preserve"> or combination unit</w:t>
      </w:r>
      <w:r>
        <w:t xml:space="preserve"> is meant to service; reachable in 10 seconds or less (≤ 55 ft.)</w:t>
      </w:r>
    </w:p>
    <w:p w14:paraId="719C05CF" w14:textId="6B8CF598" w:rsidR="002143B4" w:rsidRPr="005B34D1" w:rsidRDefault="002143B4" w:rsidP="003942FA">
      <w:pPr>
        <w:pStyle w:val="ListParagraph"/>
        <w:numPr>
          <w:ilvl w:val="0"/>
          <w:numId w:val="12"/>
        </w:numPr>
        <w:ind w:left="720"/>
      </w:pPr>
      <w:r w:rsidRPr="005B34D1">
        <w:t>Free of obstructions that block a potential user’s path of travel.</w:t>
      </w:r>
    </w:p>
    <w:p w14:paraId="1D6C3AC5" w14:textId="67A0EC01" w:rsidR="00111372" w:rsidRDefault="00111372" w:rsidP="003942FA">
      <w:pPr>
        <w:pStyle w:val="ListParagraph"/>
        <w:numPr>
          <w:ilvl w:val="0"/>
          <w:numId w:val="12"/>
        </w:numPr>
        <w:ind w:left="720"/>
      </w:pPr>
      <w:r>
        <w:t>Well-lit and identifiable by a highly visible sign that is viewable within the serviced area.</w:t>
      </w:r>
    </w:p>
    <w:p w14:paraId="4B935FC1" w14:textId="7693C026" w:rsidR="00111372" w:rsidRDefault="00111372" w:rsidP="003942FA">
      <w:pPr>
        <w:pStyle w:val="ListParagraph"/>
        <w:numPr>
          <w:ilvl w:val="0"/>
          <w:numId w:val="12"/>
        </w:numPr>
        <w:ind w:left="720"/>
      </w:pPr>
      <w:r>
        <w:t>Initially verified, when installed, to ensure acceptable performance using Appendix A.</w:t>
      </w:r>
    </w:p>
    <w:p w14:paraId="1D3F67D2" w14:textId="3804A4D6" w:rsidR="00111372" w:rsidRDefault="00111372" w:rsidP="003942FA">
      <w:pPr>
        <w:pStyle w:val="ListParagraph"/>
        <w:numPr>
          <w:ilvl w:val="0"/>
          <w:numId w:val="12"/>
        </w:numPr>
        <w:ind w:left="720"/>
      </w:pPr>
      <w:r>
        <w:t xml:space="preserve">Verified weekly to ensure maintained </w:t>
      </w:r>
      <w:r w:rsidR="00372CE8">
        <w:t xml:space="preserve">performance </w:t>
      </w:r>
      <w:r>
        <w:t>using Appendix B.</w:t>
      </w:r>
    </w:p>
    <w:p w14:paraId="13675669" w14:textId="28EB9504" w:rsidR="003942FA" w:rsidRDefault="003942FA" w:rsidP="002143B4">
      <w:pPr>
        <w:pStyle w:val="Heading2"/>
        <w:keepNext w:val="0"/>
        <w:numPr>
          <w:ilvl w:val="0"/>
          <w:numId w:val="0"/>
        </w:numPr>
        <w:rPr>
          <w:b w:val="0"/>
          <w:bCs w:val="0"/>
          <w:iCs w:val="0"/>
          <w:szCs w:val="24"/>
        </w:rPr>
      </w:pPr>
    </w:p>
    <w:p w14:paraId="5EEF1205" w14:textId="64E07EA4" w:rsidR="00431529" w:rsidRDefault="00431529" w:rsidP="00097E14">
      <w:pPr>
        <w:pStyle w:val="Heading2"/>
        <w:keepNext w:val="0"/>
        <w:numPr>
          <w:ilvl w:val="1"/>
          <w:numId w:val="29"/>
        </w:numPr>
      </w:pPr>
      <w:bookmarkStart w:id="8" w:name="_Toc102126561"/>
      <w:r>
        <w:t>Emergency Shower Procedure</w:t>
      </w:r>
      <w:bookmarkEnd w:id="8"/>
    </w:p>
    <w:p w14:paraId="62EABC6E" w14:textId="76D7F1A1" w:rsidR="00431529" w:rsidRPr="0018554C" w:rsidRDefault="00431529" w:rsidP="002143B4">
      <w:r>
        <w:t>Plumbed or self-contained emergency showers shall</w:t>
      </w:r>
      <w:r w:rsidRPr="0018554C">
        <w:t xml:space="preserve"> be:</w:t>
      </w:r>
    </w:p>
    <w:p w14:paraId="624BBBE0" w14:textId="77777777" w:rsidR="00431529" w:rsidRDefault="00431529" w:rsidP="006D31D1">
      <w:pPr>
        <w:pStyle w:val="ListParagraph"/>
        <w:numPr>
          <w:ilvl w:val="0"/>
          <w:numId w:val="11"/>
        </w:numPr>
      </w:pPr>
      <w:r>
        <w:t>Installed where corrosive material may contact the body through splashing, spraying, misting, or other aerosolizing job task processes.</w:t>
      </w:r>
    </w:p>
    <w:p w14:paraId="0E735A24" w14:textId="77777777" w:rsidR="00431529" w:rsidRDefault="00431529" w:rsidP="006D31D1">
      <w:pPr>
        <w:pStyle w:val="ListParagraph"/>
        <w:numPr>
          <w:ilvl w:val="0"/>
          <w:numId w:val="11"/>
        </w:numPr>
      </w:pPr>
      <w:r>
        <w:t>Connected to an approved water source.</w:t>
      </w:r>
    </w:p>
    <w:p w14:paraId="7A55E1C7" w14:textId="77777777" w:rsidR="00431529" w:rsidRDefault="00431529" w:rsidP="006D31D1">
      <w:pPr>
        <w:pStyle w:val="ListParagraph"/>
        <w:numPr>
          <w:ilvl w:val="0"/>
          <w:numId w:val="11"/>
        </w:numPr>
      </w:pPr>
      <w:r>
        <w:t>Located on the same level as relevant hazards.</w:t>
      </w:r>
    </w:p>
    <w:p w14:paraId="4BC3932B" w14:textId="77777777" w:rsidR="00431529" w:rsidRDefault="00431529" w:rsidP="006D31D1">
      <w:pPr>
        <w:pStyle w:val="ListParagraph"/>
        <w:numPr>
          <w:ilvl w:val="0"/>
          <w:numId w:val="11"/>
        </w:numPr>
      </w:pPr>
      <w:r>
        <w:t>Accessible by any job task the shower is meant to service; reachable in 10 seconds or less (≤ 55 ft.)</w:t>
      </w:r>
    </w:p>
    <w:p w14:paraId="28F1A679" w14:textId="77777777" w:rsidR="00431529" w:rsidRDefault="00431529" w:rsidP="006D31D1">
      <w:pPr>
        <w:pStyle w:val="ListParagraph"/>
        <w:numPr>
          <w:ilvl w:val="0"/>
          <w:numId w:val="11"/>
        </w:numPr>
      </w:pPr>
      <w:bookmarkStart w:id="9" w:name="_Hlk96938171"/>
      <w:r>
        <w:t>Free of obstructions that block a potential user’s path of travel</w:t>
      </w:r>
    </w:p>
    <w:bookmarkEnd w:id="9"/>
    <w:p w14:paraId="598C3F3B" w14:textId="77777777" w:rsidR="00431529" w:rsidRDefault="00431529" w:rsidP="006D31D1">
      <w:pPr>
        <w:pStyle w:val="ListParagraph"/>
        <w:numPr>
          <w:ilvl w:val="0"/>
          <w:numId w:val="11"/>
        </w:numPr>
      </w:pPr>
      <w:r>
        <w:t>Well-lit and identified by a highly visible sign that is viewable within the serviced area.</w:t>
      </w:r>
    </w:p>
    <w:p w14:paraId="74629B03" w14:textId="77777777" w:rsidR="00431529" w:rsidRDefault="00431529" w:rsidP="006D31D1">
      <w:pPr>
        <w:pStyle w:val="ListParagraph"/>
        <w:numPr>
          <w:ilvl w:val="0"/>
          <w:numId w:val="11"/>
        </w:numPr>
      </w:pPr>
      <w:r>
        <w:t>Initially verified, when installed, to ensure acceptable performance using Appendix A.</w:t>
      </w:r>
    </w:p>
    <w:p w14:paraId="05E1C777" w14:textId="77777777" w:rsidR="00431529" w:rsidRDefault="00431529" w:rsidP="006D31D1">
      <w:pPr>
        <w:pStyle w:val="ListParagraph"/>
        <w:numPr>
          <w:ilvl w:val="0"/>
          <w:numId w:val="11"/>
        </w:numPr>
      </w:pPr>
      <w:r>
        <w:t>Verified weekly to ensure maintained acceptable performance using Appendix B.</w:t>
      </w:r>
    </w:p>
    <w:p w14:paraId="6A411C7F" w14:textId="41ADDFFF" w:rsidR="00431529" w:rsidRDefault="00431529" w:rsidP="00431529"/>
    <w:p w14:paraId="46770337" w14:textId="1B9513A2" w:rsidR="00431529" w:rsidRDefault="00431529" w:rsidP="00431529">
      <w:pPr>
        <w:pStyle w:val="Heading2"/>
      </w:pPr>
      <w:bookmarkStart w:id="10" w:name="_Toc102126562"/>
      <w:r>
        <w:t>Supplemental Equipment Procedur</w:t>
      </w:r>
      <w:r w:rsidR="00C94404">
        <w:t>al L</w:t>
      </w:r>
      <w:r>
        <w:t>imitations</w:t>
      </w:r>
      <w:bookmarkEnd w:id="10"/>
    </w:p>
    <w:p w14:paraId="411EF782" w14:textId="77777777" w:rsidR="003942FA" w:rsidRPr="003942FA" w:rsidRDefault="003942FA" w:rsidP="003942FA"/>
    <w:p w14:paraId="3E306BC5" w14:textId="7175FE67" w:rsidR="00431529" w:rsidRDefault="00431529" w:rsidP="00431529">
      <w:pPr>
        <w:pStyle w:val="Heading3"/>
      </w:pPr>
      <w:bookmarkStart w:id="11" w:name="_Toc102126563"/>
      <w:r>
        <w:t>Personal Flushing Bottles</w:t>
      </w:r>
      <w:bookmarkEnd w:id="11"/>
    </w:p>
    <w:p w14:paraId="12A9BA7E" w14:textId="1464369D" w:rsidR="00431529" w:rsidRDefault="00431529" w:rsidP="00431529"/>
    <w:p w14:paraId="4BC3069C" w14:textId="3831032C" w:rsidR="00B31A96" w:rsidRDefault="00431529" w:rsidP="00B31A96">
      <w:pPr>
        <w:ind w:left="720"/>
      </w:pPr>
      <w:r>
        <w:t xml:space="preserve">Personal flushing bottles, also referred to as personal eyewash bottles, are meant to </w:t>
      </w:r>
      <w:r w:rsidR="00C94404">
        <w:t>support the flushing of potentially injurious eye exposures in a quick, manual manner.</w:t>
      </w:r>
      <w:r>
        <w:t xml:space="preserve"> </w:t>
      </w:r>
      <w:r w:rsidR="00C94404">
        <w:t>However, personal eyewash</w:t>
      </w:r>
      <w:r>
        <w:t xml:space="preserve"> bottles do not satisfy </w:t>
      </w:r>
      <w:r w:rsidR="00C94404">
        <w:t xml:space="preserve">all relevant </w:t>
      </w:r>
      <w:r w:rsidR="00372CE8">
        <w:t xml:space="preserve">compliance </w:t>
      </w:r>
      <w:r>
        <w:t>criteria</w:t>
      </w:r>
      <w:r w:rsidR="00C94404">
        <w:t xml:space="preserve"> tied to emergency eyewashes, showers, or combination units. Therefore, when corrosive material is involved, personal flushing bottles</w:t>
      </w:r>
      <w:r w:rsidR="00372CE8">
        <w:t xml:space="preserve"> </w:t>
      </w:r>
      <w:r w:rsidR="00C94404">
        <w:t xml:space="preserve">must not be used as stand-alone </w:t>
      </w:r>
      <w:r w:rsidR="00AC484B">
        <w:t xml:space="preserve">items; they must be </w:t>
      </w:r>
      <w:r w:rsidR="00C94404">
        <w:t>used along with</w:t>
      </w:r>
      <w:r>
        <w:t xml:space="preserve"> </w:t>
      </w:r>
      <w:r w:rsidR="00C94404">
        <w:t xml:space="preserve">appropriately installed </w:t>
      </w:r>
      <w:r>
        <w:t>emergency eyewash</w:t>
      </w:r>
      <w:r w:rsidR="00C94404">
        <w:t>es</w:t>
      </w:r>
      <w:r>
        <w:t>, shower</w:t>
      </w:r>
      <w:r w:rsidR="00C94404">
        <w:t>s</w:t>
      </w:r>
      <w:r>
        <w:t>, or combination unit</w:t>
      </w:r>
      <w:r w:rsidR="00C94404">
        <w:t>s</w:t>
      </w:r>
      <w:r>
        <w:t>.</w:t>
      </w:r>
    </w:p>
    <w:p w14:paraId="25049E6F" w14:textId="77777777" w:rsidR="00C94404" w:rsidRDefault="00C94404" w:rsidP="00B31A96">
      <w:pPr>
        <w:ind w:left="720"/>
      </w:pPr>
    </w:p>
    <w:p w14:paraId="638FD968" w14:textId="0E216D65" w:rsidR="00431529" w:rsidRDefault="00AC484B" w:rsidP="00B31A96">
      <w:pPr>
        <w:ind w:left="720"/>
      </w:pPr>
      <w:r>
        <w:t xml:space="preserve">If relative work does not involve corrosive material that may contact the eyes, face, or body through splashing, spraying, misting or any other aerosolizing process, </w:t>
      </w:r>
      <w:r w:rsidR="00C94404">
        <w:t>p</w:t>
      </w:r>
      <w:r w:rsidR="00372CE8">
        <w:t xml:space="preserve">ersonal </w:t>
      </w:r>
      <w:r w:rsidR="00C94404">
        <w:t>flushing</w:t>
      </w:r>
      <w:r w:rsidR="00372CE8">
        <w:t xml:space="preserve"> bottles may be</w:t>
      </w:r>
      <w:r w:rsidR="00E525CC">
        <w:t xml:space="preserve"> selected and</w:t>
      </w:r>
      <w:r w:rsidR="00372CE8">
        <w:t xml:space="preserve"> utilized</w:t>
      </w:r>
      <w:r w:rsidR="00B31A96">
        <w:t xml:space="preserve"> </w:t>
      </w:r>
      <w:r>
        <w:t>as stand-alone devices</w:t>
      </w:r>
      <w:r w:rsidR="001E592C">
        <w:t xml:space="preserve"> (</w:t>
      </w:r>
      <w:r>
        <w:t>as desired</w:t>
      </w:r>
      <w:r w:rsidR="001E592C">
        <w:t>)</w:t>
      </w:r>
      <w:r>
        <w:t>.</w:t>
      </w:r>
    </w:p>
    <w:p w14:paraId="2ED669AF" w14:textId="72A127B4" w:rsidR="00C94404" w:rsidRDefault="00C94404" w:rsidP="00B31A96">
      <w:pPr>
        <w:ind w:left="720"/>
      </w:pPr>
    </w:p>
    <w:p w14:paraId="2B7D0905" w14:textId="3F2C36DC" w:rsidR="00C94404" w:rsidRDefault="00AC484B" w:rsidP="00C94404">
      <w:pPr>
        <w:pStyle w:val="Heading3"/>
      </w:pPr>
      <w:bookmarkStart w:id="12" w:name="_Toc102126564"/>
      <w:r>
        <w:t>Hand-held</w:t>
      </w:r>
      <w:r w:rsidR="00C94404">
        <w:t xml:space="preserve"> Drench Hose</w:t>
      </w:r>
      <w:r>
        <w:t>s</w:t>
      </w:r>
      <w:bookmarkEnd w:id="12"/>
    </w:p>
    <w:p w14:paraId="1E417B4D" w14:textId="51240998" w:rsidR="00E525CC" w:rsidRDefault="00E525CC" w:rsidP="00E525CC"/>
    <w:p w14:paraId="6E90F724" w14:textId="0923231B" w:rsidR="00E525CC" w:rsidRPr="00E525CC" w:rsidRDefault="00E525CC" w:rsidP="00E525CC">
      <w:pPr>
        <w:ind w:left="720"/>
      </w:pPr>
      <w:r>
        <w:t>Handheld drench hoses are meant to supply flushing fluid after potentially injurious eye or face exposures. They are considered supplemental equipment and cannot supersede emergency shower, eyewash, or combination unit requirements. Handheld drench hoses may be installed with fixed, plumbed eyewash units. However, in these cases, fixed drench hoses must not alter eyewash station performance.  Additionally, drench hoses must deliver an approved water source, at a rate of 3.0 gallons per minute, for 15 minutes or more. Like plumbed eyewash and shower verification checks, drench hose performance must be verified initially and weekly.</w:t>
      </w:r>
    </w:p>
    <w:p w14:paraId="2D2B4BD2" w14:textId="77777777" w:rsidR="003048EB" w:rsidRDefault="003048EB" w:rsidP="00E00D72">
      <w:pPr>
        <w:rPr>
          <w:noProof/>
        </w:rPr>
      </w:pPr>
    </w:p>
    <w:p w14:paraId="2D2B4BD3" w14:textId="77777777" w:rsidR="00C704B6" w:rsidRPr="00880F07" w:rsidRDefault="00C704B6" w:rsidP="00097E14">
      <w:pPr>
        <w:pStyle w:val="Heading1"/>
      </w:pPr>
      <w:bookmarkStart w:id="13" w:name="_Toc102126565"/>
      <w:r w:rsidRPr="00880F07">
        <w:t>REFERENCES</w:t>
      </w:r>
      <w:bookmarkEnd w:id="13"/>
    </w:p>
    <w:p w14:paraId="2D2B4BD4" w14:textId="77777777" w:rsidR="00C704B6" w:rsidRPr="00C704B6" w:rsidRDefault="00C704B6" w:rsidP="00C704B6">
      <w:pPr>
        <w:rPr>
          <w:highlight w:val="yellow"/>
        </w:rPr>
      </w:pPr>
    </w:p>
    <w:p w14:paraId="7A6EBE95" w14:textId="4937F7A7" w:rsidR="004C624C" w:rsidRDefault="003638A8" w:rsidP="00F71AC6">
      <w:pPr>
        <w:pStyle w:val="ListParagraph"/>
        <w:rPr>
          <w:color w:val="000000"/>
        </w:rPr>
      </w:pPr>
      <w:r>
        <w:rPr>
          <w:color w:val="000000"/>
        </w:rPr>
        <w:t>American National Standards Institute, Inc.</w:t>
      </w:r>
      <w:r w:rsidR="004C624C">
        <w:rPr>
          <w:color w:val="000000"/>
        </w:rPr>
        <w:t xml:space="preserve"> (2015).</w:t>
      </w:r>
      <w:r>
        <w:rPr>
          <w:color w:val="000000"/>
        </w:rPr>
        <w:t xml:space="preserve"> </w:t>
      </w:r>
      <w:r>
        <w:rPr>
          <w:i/>
          <w:iCs/>
          <w:color w:val="000000"/>
        </w:rPr>
        <w:t xml:space="preserve">American National Standard for Emergency Eyewash and Shower Equipment. </w:t>
      </w:r>
      <w:r>
        <w:rPr>
          <w:color w:val="000000"/>
        </w:rPr>
        <w:t>Arlington: International Safety Equipment Association, 2015. Z358.1-2014</w:t>
      </w:r>
    </w:p>
    <w:p w14:paraId="4287C1B9" w14:textId="77777777" w:rsidR="00607221" w:rsidRDefault="00607221" w:rsidP="004C624C">
      <w:pPr>
        <w:pStyle w:val="ListParagraph"/>
        <w:ind w:left="792"/>
        <w:rPr>
          <w:color w:val="000000"/>
        </w:rPr>
      </w:pPr>
    </w:p>
    <w:p w14:paraId="7129538F" w14:textId="6A3D5240" w:rsidR="004C624C" w:rsidRDefault="004C624C" w:rsidP="00F71AC6">
      <w:pPr>
        <w:pStyle w:val="ListParagraph"/>
        <w:rPr>
          <w:color w:val="000000"/>
        </w:rPr>
      </w:pPr>
      <w:r>
        <w:rPr>
          <w:color w:val="000000"/>
        </w:rPr>
        <w:t xml:space="preserve">Occupational Safety and Health Administration. (1998). </w:t>
      </w:r>
      <w:r w:rsidRPr="004C624C">
        <w:rPr>
          <w:i/>
          <w:iCs/>
          <w:color w:val="000000"/>
        </w:rPr>
        <w:t>Occupational safety and health standards: Medical and First Aid</w:t>
      </w:r>
      <w:r w:rsidR="00607221">
        <w:rPr>
          <w:i/>
          <w:iCs/>
          <w:color w:val="000000"/>
        </w:rPr>
        <w:t xml:space="preserve"> </w:t>
      </w:r>
      <w:r w:rsidR="00607221">
        <w:rPr>
          <w:color w:val="000000"/>
        </w:rPr>
        <w:t>(Standard No. 1910.151). Retrieved from</w:t>
      </w:r>
      <w:r w:rsidR="00F71AC6">
        <w:rPr>
          <w:color w:val="000000"/>
        </w:rPr>
        <w:t xml:space="preserve"> </w:t>
      </w:r>
      <w:hyperlink r:id="rId13" w:history="1">
        <w:r w:rsidR="00F71AC6" w:rsidRPr="00F64791">
          <w:rPr>
            <w:rStyle w:val="Hyperlink"/>
          </w:rPr>
          <w:t>https://www.osha.gov/laws-regs/regulations/standardnumber/1910/1910.151</w:t>
        </w:r>
      </w:hyperlink>
      <w:r w:rsidR="00607221">
        <w:rPr>
          <w:color w:val="000000"/>
        </w:rPr>
        <w:t xml:space="preserve"> </w:t>
      </w:r>
    </w:p>
    <w:p w14:paraId="576378FA" w14:textId="1E250283" w:rsidR="00607221" w:rsidRDefault="00607221" w:rsidP="00607221">
      <w:pPr>
        <w:pStyle w:val="ListParagraph"/>
        <w:ind w:left="792"/>
        <w:rPr>
          <w:color w:val="000000"/>
        </w:rPr>
      </w:pPr>
    </w:p>
    <w:p w14:paraId="27B2F204" w14:textId="69958154" w:rsidR="00ED4882" w:rsidRDefault="00607221" w:rsidP="00794793">
      <w:pPr>
        <w:pStyle w:val="ListParagraph"/>
        <w:rPr>
          <w:color w:val="000000"/>
        </w:rPr>
      </w:pPr>
      <w:r>
        <w:rPr>
          <w:color w:val="000000"/>
        </w:rPr>
        <w:t xml:space="preserve">Richard E Fairfax. </w:t>
      </w:r>
      <w:r w:rsidRPr="00851902">
        <w:rPr>
          <w:i/>
          <w:iCs/>
          <w:color w:val="000000"/>
        </w:rPr>
        <w:t>Occupational Safety and Health Administration</w:t>
      </w:r>
      <w:r w:rsidR="00851902" w:rsidRPr="00851902">
        <w:rPr>
          <w:i/>
          <w:iCs/>
          <w:color w:val="000000"/>
        </w:rPr>
        <w:t xml:space="preserve"> Directorate of Enforcement Programs</w:t>
      </w:r>
      <w:r w:rsidR="00851902">
        <w:rPr>
          <w:color w:val="000000"/>
        </w:rPr>
        <w:t xml:space="preserve"> </w:t>
      </w:r>
      <w:r>
        <w:rPr>
          <w:color w:val="000000"/>
        </w:rPr>
        <w:t>(Standard No.</w:t>
      </w:r>
      <w:r w:rsidR="00851902">
        <w:rPr>
          <w:color w:val="000000"/>
        </w:rPr>
        <w:t xml:space="preserve"> </w:t>
      </w:r>
      <w:r>
        <w:rPr>
          <w:color w:val="000000"/>
        </w:rPr>
        <w:t>1910.151; 1910.151(c)).</w:t>
      </w:r>
      <w:r w:rsidR="00851902">
        <w:rPr>
          <w:color w:val="000000"/>
        </w:rPr>
        <w:t xml:space="preserve"> </w:t>
      </w:r>
      <w:r>
        <w:rPr>
          <w:color w:val="000000"/>
        </w:rPr>
        <w:t>[Online] June</w:t>
      </w:r>
      <w:r w:rsidR="00851902">
        <w:rPr>
          <w:color w:val="000000"/>
        </w:rPr>
        <w:t xml:space="preserve"> </w:t>
      </w:r>
      <w:r>
        <w:rPr>
          <w:color w:val="000000"/>
        </w:rPr>
        <w:t>1,</w:t>
      </w:r>
      <w:r w:rsidR="00851902">
        <w:rPr>
          <w:color w:val="000000"/>
        </w:rPr>
        <w:t xml:space="preserve"> </w:t>
      </w:r>
      <w:r>
        <w:rPr>
          <w:color w:val="000000"/>
        </w:rPr>
        <w:t>2009.</w:t>
      </w:r>
      <w:r w:rsidR="00F71AC6">
        <w:rPr>
          <w:color w:val="000000"/>
        </w:rPr>
        <w:t xml:space="preserve">  </w:t>
      </w:r>
      <w:r>
        <w:rPr>
          <w:color w:val="000000"/>
        </w:rPr>
        <w:t xml:space="preserve">Retrieved from </w:t>
      </w:r>
      <w:hyperlink r:id="rId14" w:history="1">
        <w:r w:rsidR="00851902" w:rsidRPr="00441380">
          <w:rPr>
            <w:rStyle w:val="Hyperlink"/>
          </w:rPr>
          <w:t>https://www.osha.gov/laws-regs/standardinterpretations/2009-06-01</w:t>
        </w:r>
      </w:hyperlink>
      <w:r>
        <w:rPr>
          <w:color w:val="000000"/>
        </w:rPr>
        <w:t xml:space="preserve"> </w:t>
      </w:r>
    </w:p>
    <w:p w14:paraId="278F6BDA" w14:textId="34A25375" w:rsidR="00F71AC6" w:rsidRDefault="00F71AC6" w:rsidP="00794793">
      <w:pPr>
        <w:pStyle w:val="ListParagraph"/>
        <w:ind w:left="0"/>
        <w:rPr>
          <w:color w:val="000000"/>
        </w:rPr>
      </w:pPr>
    </w:p>
    <w:p w14:paraId="52688778" w14:textId="2854C6D8" w:rsidR="00DA632A" w:rsidRDefault="00DA632A" w:rsidP="00794793">
      <w:pPr>
        <w:pStyle w:val="ListParagraph"/>
        <w:ind w:left="0"/>
        <w:rPr>
          <w:color w:val="000000"/>
        </w:rPr>
      </w:pPr>
      <w:r>
        <w:rPr>
          <w:color w:val="000000"/>
        </w:rPr>
        <w:br w:type="page"/>
      </w:r>
    </w:p>
    <w:p w14:paraId="12EFFDD3" w14:textId="77777777" w:rsidR="00DA632A" w:rsidRDefault="00DA632A" w:rsidP="00794793">
      <w:pPr>
        <w:pStyle w:val="ListParagraph"/>
        <w:ind w:left="0"/>
        <w:rPr>
          <w:color w:val="000000"/>
        </w:rPr>
      </w:pPr>
    </w:p>
    <w:p w14:paraId="2D2B4BEA" w14:textId="77777777" w:rsidR="00F86384" w:rsidRDefault="00F86384" w:rsidP="00097E14">
      <w:pPr>
        <w:pStyle w:val="Heading1"/>
      </w:pPr>
      <w:bookmarkStart w:id="14" w:name="_Toc102126566"/>
      <w:r>
        <w:t>TECHNICAL APPENDICES</w:t>
      </w:r>
      <w:bookmarkEnd w:id="14"/>
    </w:p>
    <w:p w14:paraId="2D2B4BED" w14:textId="77777777" w:rsidR="00C704B6" w:rsidRDefault="00C704B6" w:rsidP="00F86384">
      <w:pPr>
        <w:ind w:right="36"/>
        <w:rPr>
          <w:rFonts w:ascii="Palatino" w:hAnsi="Palatino"/>
          <w:color w:val="000000"/>
        </w:rPr>
      </w:pPr>
    </w:p>
    <w:p w14:paraId="2D2B4BEE" w14:textId="27F0C2E0" w:rsidR="00196CE0" w:rsidRPr="00DE2BC0" w:rsidRDefault="00927D41" w:rsidP="00196CE0">
      <w:pPr>
        <w:pStyle w:val="Heading2"/>
        <w:keepNext w:val="0"/>
        <w:rPr>
          <w:b w:val="0"/>
        </w:rPr>
      </w:pPr>
      <w:bookmarkStart w:id="15" w:name="_Toc102126567"/>
      <w:r>
        <w:t xml:space="preserve">Appendix A: </w:t>
      </w:r>
      <w:r w:rsidR="00DA632A">
        <w:t xml:space="preserve"> </w:t>
      </w:r>
      <w:r>
        <w:t>Initial Verification</w:t>
      </w:r>
      <w:bookmarkEnd w:id="15"/>
    </w:p>
    <w:p w14:paraId="2D2B4BF4" w14:textId="57EA6627" w:rsidR="00196CE0" w:rsidRDefault="00196CE0" w:rsidP="00196CE0">
      <w:pPr>
        <w:rPr>
          <w:bCs/>
          <w:highlight w:val="yellow"/>
        </w:rPr>
      </w:pPr>
    </w:p>
    <w:p w14:paraId="6B409A35" w14:textId="77777777" w:rsidR="00DA632A" w:rsidRPr="00DA632A" w:rsidRDefault="00DA632A" w:rsidP="00DA632A">
      <w:pPr>
        <w:jc w:val="center"/>
        <w:rPr>
          <w:b/>
          <w:bCs/>
          <w:sz w:val="20"/>
          <w:szCs w:val="20"/>
          <w:u w:val="single"/>
        </w:rPr>
      </w:pPr>
      <w:r w:rsidRPr="00DA632A">
        <w:rPr>
          <w:b/>
          <w:bCs/>
          <w:sz w:val="20"/>
          <w:szCs w:val="20"/>
          <w:u w:val="single"/>
        </w:rPr>
        <w:t>Appendix A: Initial Verification</w:t>
      </w:r>
    </w:p>
    <w:p w14:paraId="2868DC6A" w14:textId="77777777" w:rsidR="00DA632A" w:rsidRPr="00DA632A" w:rsidRDefault="00DA632A" w:rsidP="00DA632A">
      <w:pPr>
        <w:rPr>
          <w:color w:val="000000"/>
          <w:sz w:val="20"/>
          <w:szCs w:val="20"/>
        </w:rPr>
      </w:pPr>
    </w:p>
    <w:p w14:paraId="59DC9D68" w14:textId="77777777" w:rsidR="00DA632A" w:rsidRPr="00DA632A" w:rsidRDefault="00DA632A" w:rsidP="00DA632A">
      <w:pPr>
        <w:rPr>
          <w:color w:val="000000"/>
          <w:sz w:val="20"/>
          <w:szCs w:val="20"/>
        </w:rPr>
      </w:pPr>
      <w:r w:rsidRPr="00DA632A">
        <w:rPr>
          <w:color w:val="000000"/>
          <w:sz w:val="20"/>
          <w:szCs w:val="20"/>
        </w:rPr>
        <w:t>Building FIMS #: _________________________________________</w:t>
      </w:r>
    </w:p>
    <w:p w14:paraId="7F8F82E2" w14:textId="77777777" w:rsidR="00DA632A" w:rsidRPr="00DA632A" w:rsidRDefault="00DA632A" w:rsidP="00DA632A">
      <w:pPr>
        <w:rPr>
          <w:color w:val="000000"/>
          <w:sz w:val="20"/>
          <w:szCs w:val="20"/>
        </w:rPr>
      </w:pPr>
    </w:p>
    <w:p w14:paraId="3F9D0BB7" w14:textId="77777777" w:rsidR="00DA632A" w:rsidRPr="00DA632A" w:rsidRDefault="00DA632A" w:rsidP="00DA632A">
      <w:pPr>
        <w:rPr>
          <w:color w:val="000000"/>
          <w:sz w:val="20"/>
          <w:szCs w:val="20"/>
        </w:rPr>
      </w:pPr>
      <w:r w:rsidRPr="00DA632A">
        <w:rPr>
          <w:color w:val="000000"/>
          <w:sz w:val="20"/>
          <w:szCs w:val="20"/>
        </w:rPr>
        <w:t>Location Description ______________________________________</w:t>
      </w:r>
    </w:p>
    <w:p w14:paraId="06D74FD0" w14:textId="77777777" w:rsidR="00DA632A" w:rsidRPr="00DA632A" w:rsidRDefault="00DA632A" w:rsidP="00DA632A">
      <w:pPr>
        <w:rPr>
          <w:color w:val="000000"/>
          <w:sz w:val="20"/>
          <w:szCs w:val="20"/>
        </w:rPr>
      </w:pPr>
    </w:p>
    <w:p w14:paraId="0D1D9A5C" w14:textId="77777777" w:rsidR="00DA632A" w:rsidRPr="00DA632A" w:rsidRDefault="00DA632A" w:rsidP="00DA632A">
      <w:pPr>
        <w:rPr>
          <w:color w:val="000000"/>
          <w:sz w:val="20"/>
          <w:szCs w:val="20"/>
        </w:rPr>
      </w:pPr>
      <w:r w:rsidRPr="00DA632A">
        <w:rPr>
          <w:color w:val="000000"/>
          <w:sz w:val="20"/>
          <w:szCs w:val="20"/>
        </w:rPr>
        <w:t>Equipment ID # (provided by ES&amp;H): _________________________</w:t>
      </w:r>
    </w:p>
    <w:p w14:paraId="43B76CF3" w14:textId="77777777" w:rsidR="00DA632A" w:rsidRPr="00DA632A" w:rsidRDefault="00DA632A" w:rsidP="00DA632A">
      <w:pPr>
        <w:rPr>
          <w:color w:val="000000"/>
          <w:sz w:val="20"/>
          <w:szCs w:val="20"/>
        </w:rPr>
      </w:pPr>
    </w:p>
    <w:p w14:paraId="6EDB8296" w14:textId="77777777" w:rsidR="00DA632A" w:rsidRPr="00DA632A" w:rsidRDefault="00DA632A" w:rsidP="00DA632A">
      <w:pPr>
        <w:rPr>
          <w:color w:val="000000"/>
          <w:sz w:val="20"/>
          <w:szCs w:val="20"/>
        </w:rPr>
      </w:pPr>
    </w:p>
    <w:p w14:paraId="762DAC4D" w14:textId="77777777" w:rsidR="00DA632A" w:rsidRPr="00DA632A" w:rsidRDefault="00DA632A" w:rsidP="00DA632A">
      <w:pPr>
        <w:rPr>
          <w:sz w:val="20"/>
          <w:szCs w:val="20"/>
          <w:u w:val="single"/>
        </w:rPr>
      </w:pPr>
      <w:r w:rsidRPr="00DA632A">
        <w:rPr>
          <w:color w:val="000000"/>
          <w:sz w:val="20"/>
          <w:szCs w:val="20"/>
        </w:rPr>
        <w:t xml:space="preserve">Completed By (first &amp; last name): </w:t>
      </w:r>
      <w:r w:rsidRPr="00DA632A">
        <w:rPr>
          <w:color w:val="000000"/>
          <w:sz w:val="20"/>
          <w:szCs w:val="20"/>
          <w:u w:val="single"/>
        </w:rPr>
        <w:t>____________________________</w:t>
      </w:r>
      <w:r w:rsidRPr="00DA632A">
        <w:rPr>
          <w:color w:val="000000"/>
          <w:sz w:val="20"/>
          <w:szCs w:val="20"/>
        </w:rPr>
        <w:t xml:space="preserve"> Fermi ID</w:t>
      </w:r>
      <w:r w:rsidRPr="00DA632A">
        <w:rPr>
          <w:color w:val="000000"/>
          <w:sz w:val="20"/>
          <w:szCs w:val="20"/>
          <w:u w:val="single"/>
        </w:rPr>
        <w:t>: ____________</w:t>
      </w:r>
      <w:r w:rsidRPr="00DA632A">
        <w:rPr>
          <w:color w:val="000000"/>
          <w:sz w:val="20"/>
          <w:szCs w:val="20"/>
        </w:rPr>
        <w:t xml:space="preserve"> Date: </w:t>
      </w:r>
      <w:r w:rsidRPr="00DA632A">
        <w:rPr>
          <w:color w:val="000000"/>
          <w:sz w:val="20"/>
          <w:szCs w:val="20"/>
          <w:u w:val="single"/>
        </w:rPr>
        <w:t>___________</w:t>
      </w:r>
    </w:p>
    <w:p w14:paraId="5137F0E5" w14:textId="77777777" w:rsidR="00DA632A" w:rsidRPr="00DA632A" w:rsidRDefault="00DA632A" w:rsidP="00DA632A">
      <w:pPr>
        <w:rPr>
          <w:sz w:val="20"/>
          <w:szCs w:val="20"/>
        </w:rPr>
      </w:pPr>
    </w:p>
    <w:p w14:paraId="7EF1D978" w14:textId="3D009848" w:rsidR="002143B4" w:rsidRPr="00DA632A" w:rsidRDefault="002143B4" w:rsidP="002143B4">
      <w:pPr>
        <w:rPr>
          <w:sz w:val="20"/>
          <w:szCs w:val="20"/>
        </w:rPr>
      </w:pPr>
      <w:r w:rsidRPr="005B34D1">
        <w:rPr>
          <w:sz w:val="20"/>
          <w:szCs w:val="20"/>
        </w:rPr>
        <w:t>This verification certifies an initial check has been completed and performance meets the compliance details below. If</w:t>
      </w:r>
      <w:r w:rsidRPr="00DA632A">
        <w:rPr>
          <w:sz w:val="20"/>
          <w:szCs w:val="20"/>
        </w:rPr>
        <w:t xml:space="preserve"> applicable, commissioning instructions provided by the manufacturer must also be completed before certifying this verification. This verification shall be fixed in a plastic holder at/near the applicable emergency shower or eyewash unit. </w:t>
      </w:r>
      <w:r w:rsidRPr="005B34D1">
        <w:rPr>
          <w:sz w:val="20"/>
          <w:szCs w:val="20"/>
        </w:rPr>
        <w:t>When completed, responsible building</w:t>
      </w:r>
      <w:r w:rsidR="009D283F">
        <w:rPr>
          <w:sz w:val="20"/>
          <w:szCs w:val="20"/>
        </w:rPr>
        <w:t>, section, or project</w:t>
      </w:r>
      <w:r w:rsidRPr="005B34D1">
        <w:rPr>
          <w:sz w:val="20"/>
          <w:szCs w:val="20"/>
        </w:rPr>
        <w:t xml:space="preserve"> tenants must send a copy of this form to </w:t>
      </w:r>
      <w:hyperlink r:id="rId15" w:history="1">
        <w:r w:rsidRPr="005B34D1">
          <w:rPr>
            <w:rStyle w:val="Hyperlink"/>
            <w:sz w:val="20"/>
            <w:szCs w:val="20"/>
          </w:rPr>
          <w:t>stevenc@fnal.gov</w:t>
        </w:r>
      </w:hyperlink>
      <w:r w:rsidRPr="005B34D1">
        <w:rPr>
          <w:sz w:val="20"/>
          <w:szCs w:val="20"/>
        </w:rPr>
        <w:t xml:space="preserve"> or mail slot 355</w:t>
      </w:r>
      <w:r w:rsidR="009D283F">
        <w:rPr>
          <w:sz w:val="20"/>
          <w:szCs w:val="20"/>
        </w:rPr>
        <w:t>.</w:t>
      </w:r>
    </w:p>
    <w:p w14:paraId="1DD90621" w14:textId="77777777" w:rsidR="00DA632A" w:rsidRPr="000E3B10" w:rsidRDefault="00DA632A" w:rsidP="00DA632A">
      <w:pPr>
        <w:rPr>
          <w:sz w:val="20"/>
          <w:szCs w:val="20"/>
        </w:rPr>
      </w:pPr>
    </w:p>
    <w:tbl>
      <w:tblPr>
        <w:tblStyle w:val="TableGrid"/>
        <w:tblW w:w="9280" w:type="dxa"/>
        <w:tblInd w:w="-15" w:type="dxa"/>
        <w:tblLook w:val="04A0" w:firstRow="1" w:lastRow="0" w:firstColumn="1" w:lastColumn="0" w:noHBand="0" w:noVBand="1"/>
      </w:tblPr>
      <w:tblGrid>
        <w:gridCol w:w="626"/>
        <w:gridCol w:w="3334"/>
        <w:gridCol w:w="3330"/>
        <w:gridCol w:w="1990"/>
      </w:tblGrid>
      <w:tr w:rsidR="00DA632A" w:rsidRPr="000E3B10" w14:paraId="4EA17C17" w14:textId="77777777" w:rsidTr="008A0842">
        <w:tc>
          <w:tcPr>
            <w:tcW w:w="626" w:type="dxa"/>
            <w:tcBorders>
              <w:top w:val="double" w:sz="4" w:space="0" w:color="auto"/>
              <w:left w:val="double" w:sz="4" w:space="0" w:color="auto"/>
              <w:right w:val="double" w:sz="4" w:space="0" w:color="auto"/>
            </w:tcBorders>
            <w:shd w:val="clear" w:color="auto" w:fill="F2F2F2" w:themeFill="background1" w:themeFillShade="F2"/>
            <w:vAlign w:val="center"/>
          </w:tcPr>
          <w:p w14:paraId="29CCF2C9"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Step</w:t>
            </w:r>
          </w:p>
        </w:tc>
        <w:tc>
          <w:tcPr>
            <w:tcW w:w="3334" w:type="dxa"/>
            <w:tcBorders>
              <w:top w:val="double" w:sz="4" w:space="0" w:color="auto"/>
              <w:left w:val="double" w:sz="4" w:space="0" w:color="auto"/>
              <w:right w:val="double" w:sz="4" w:space="0" w:color="auto"/>
            </w:tcBorders>
            <w:shd w:val="clear" w:color="auto" w:fill="D9D9D9" w:themeFill="background1" w:themeFillShade="D9"/>
            <w:vAlign w:val="center"/>
          </w:tcPr>
          <w:p w14:paraId="368AD7D8"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Facility Plumbed Emergency Shower</w:t>
            </w:r>
          </w:p>
        </w:tc>
        <w:tc>
          <w:tcPr>
            <w:tcW w:w="3330" w:type="dxa"/>
            <w:tcBorders>
              <w:top w:val="double" w:sz="4" w:space="0" w:color="auto"/>
              <w:left w:val="double" w:sz="4" w:space="0" w:color="auto"/>
              <w:right w:val="double" w:sz="4" w:space="0" w:color="auto"/>
            </w:tcBorders>
            <w:shd w:val="clear" w:color="auto" w:fill="D9D9D9" w:themeFill="background1" w:themeFillShade="D9"/>
            <w:vAlign w:val="center"/>
          </w:tcPr>
          <w:p w14:paraId="0787569C"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Facility Plumbed Emergency Eyewash</w:t>
            </w:r>
          </w:p>
        </w:tc>
        <w:tc>
          <w:tcPr>
            <w:tcW w:w="1990" w:type="dxa"/>
            <w:tcBorders>
              <w:top w:val="double" w:sz="4" w:space="0" w:color="auto"/>
              <w:left w:val="double" w:sz="4" w:space="0" w:color="auto"/>
              <w:right w:val="double" w:sz="4" w:space="0" w:color="auto"/>
            </w:tcBorders>
            <w:shd w:val="clear" w:color="auto" w:fill="F2F2F2" w:themeFill="background1" w:themeFillShade="F2"/>
            <w:vAlign w:val="center"/>
          </w:tcPr>
          <w:p w14:paraId="6E1249AE"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Self-contained Emergency Eyewash</w:t>
            </w:r>
          </w:p>
        </w:tc>
      </w:tr>
      <w:tr w:rsidR="00DA632A" w:rsidRPr="000E3B10" w14:paraId="7691F3DE" w14:textId="77777777" w:rsidTr="008A0842">
        <w:tc>
          <w:tcPr>
            <w:tcW w:w="626" w:type="dxa"/>
            <w:tcBorders>
              <w:left w:val="double" w:sz="4" w:space="0" w:color="auto"/>
              <w:right w:val="double" w:sz="4" w:space="0" w:color="auto"/>
            </w:tcBorders>
            <w:shd w:val="clear" w:color="auto" w:fill="F2F2F2" w:themeFill="background1" w:themeFillShade="F2"/>
          </w:tcPr>
          <w:p w14:paraId="24225D24"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1</w:t>
            </w:r>
          </w:p>
        </w:tc>
        <w:tc>
          <w:tcPr>
            <w:tcW w:w="3334" w:type="dxa"/>
            <w:tcBorders>
              <w:left w:val="double" w:sz="4" w:space="0" w:color="auto"/>
              <w:right w:val="double" w:sz="4" w:space="0" w:color="auto"/>
            </w:tcBorders>
            <w:shd w:val="clear" w:color="auto" w:fill="D9D9D9" w:themeFill="background1" w:themeFillShade="D9"/>
          </w:tcPr>
          <w:p w14:paraId="555BFF4D"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Connect flowmeter to the unit to be tested or provide other means of measuring flushing fluid flow.</w:t>
            </w:r>
          </w:p>
        </w:tc>
        <w:tc>
          <w:tcPr>
            <w:tcW w:w="3330" w:type="dxa"/>
            <w:tcBorders>
              <w:left w:val="double" w:sz="4" w:space="0" w:color="auto"/>
              <w:right w:val="double" w:sz="4" w:space="0" w:color="auto"/>
            </w:tcBorders>
            <w:shd w:val="clear" w:color="auto" w:fill="D9D9D9" w:themeFill="background1" w:themeFillShade="D9"/>
          </w:tcPr>
          <w:p w14:paraId="455E02EA"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Connect flowmeter to the unit to be tested or provide other means of measuring flushing fluid flow.</w:t>
            </w:r>
          </w:p>
        </w:tc>
        <w:tc>
          <w:tcPr>
            <w:tcW w:w="1990" w:type="dxa"/>
            <w:tcBorders>
              <w:left w:val="double" w:sz="4" w:space="0" w:color="auto"/>
              <w:right w:val="double" w:sz="4" w:space="0" w:color="auto"/>
            </w:tcBorders>
            <w:shd w:val="clear" w:color="auto" w:fill="F2F2F2" w:themeFill="background1" w:themeFillShade="F2"/>
          </w:tcPr>
          <w:p w14:paraId="42A2B1F6"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Set up the unit per the manufacturer’s instructions</w:t>
            </w:r>
          </w:p>
        </w:tc>
      </w:tr>
      <w:tr w:rsidR="00DA632A" w:rsidRPr="000E3B10" w14:paraId="0791DADB" w14:textId="77777777" w:rsidTr="008A0842">
        <w:tc>
          <w:tcPr>
            <w:tcW w:w="626" w:type="dxa"/>
            <w:tcBorders>
              <w:left w:val="double" w:sz="4" w:space="0" w:color="auto"/>
              <w:right w:val="double" w:sz="4" w:space="0" w:color="auto"/>
            </w:tcBorders>
            <w:shd w:val="clear" w:color="auto" w:fill="F2F2F2" w:themeFill="background1" w:themeFillShade="F2"/>
          </w:tcPr>
          <w:p w14:paraId="5845931E"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2</w:t>
            </w:r>
          </w:p>
        </w:tc>
        <w:tc>
          <w:tcPr>
            <w:tcW w:w="3334" w:type="dxa"/>
            <w:tcBorders>
              <w:left w:val="double" w:sz="4" w:space="0" w:color="auto"/>
              <w:right w:val="double" w:sz="4" w:space="0" w:color="auto"/>
            </w:tcBorders>
            <w:shd w:val="clear" w:color="auto" w:fill="D9D9D9" w:themeFill="background1" w:themeFillShade="D9"/>
          </w:tcPr>
          <w:p w14:paraId="0029CF54"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Connect unit per manufacturer specifications to a flow pressure of 30 psi +0.5 psi - 0 psi.</w:t>
            </w:r>
          </w:p>
        </w:tc>
        <w:tc>
          <w:tcPr>
            <w:tcW w:w="3330" w:type="dxa"/>
            <w:tcBorders>
              <w:left w:val="double" w:sz="4" w:space="0" w:color="auto"/>
              <w:right w:val="double" w:sz="4" w:space="0" w:color="auto"/>
            </w:tcBorders>
            <w:shd w:val="clear" w:color="auto" w:fill="D9D9D9" w:themeFill="background1" w:themeFillShade="D9"/>
          </w:tcPr>
          <w:p w14:paraId="5F036C6E"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Connect unit per manufacturer specifications to a flow pressure of 30 psi +0.5 psi - 0 psi.</w:t>
            </w:r>
          </w:p>
        </w:tc>
        <w:tc>
          <w:tcPr>
            <w:tcW w:w="1990" w:type="dxa"/>
            <w:tcBorders>
              <w:left w:val="double" w:sz="4" w:space="0" w:color="auto"/>
              <w:right w:val="double" w:sz="4" w:space="0" w:color="auto"/>
            </w:tcBorders>
            <w:shd w:val="clear" w:color="auto" w:fill="F2F2F2" w:themeFill="background1" w:themeFillShade="F2"/>
          </w:tcPr>
          <w:p w14:paraId="2163AA88"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Fill the unit with flushing fluid or pre-packaged fluid provided by the manufacturer.</w:t>
            </w:r>
          </w:p>
        </w:tc>
      </w:tr>
      <w:tr w:rsidR="00DA632A" w:rsidRPr="000E3B10" w14:paraId="67AEC473" w14:textId="77777777" w:rsidTr="008A0842">
        <w:tc>
          <w:tcPr>
            <w:tcW w:w="626" w:type="dxa"/>
            <w:tcBorders>
              <w:left w:val="double" w:sz="4" w:space="0" w:color="auto"/>
              <w:right w:val="double" w:sz="4" w:space="0" w:color="auto"/>
            </w:tcBorders>
            <w:shd w:val="clear" w:color="auto" w:fill="F2F2F2" w:themeFill="background1" w:themeFillShade="F2"/>
          </w:tcPr>
          <w:p w14:paraId="0185C6EC"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3</w:t>
            </w:r>
          </w:p>
        </w:tc>
        <w:tc>
          <w:tcPr>
            <w:tcW w:w="3334" w:type="dxa"/>
            <w:tcBorders>
              <w:left w:val="double" w:sz="4" w:space="0" w:color="auto"/>
              <w:right w:val="double" w:sz="4" w:space="0" w:color="auto"/>
            </w:tcBorders>
            <w:shd w:val="clear" w:color="auto" w:fill="D9D9D9" w:themeFill="background1" w:themeFillShade="D9"/>
          </w:tcPr>
          <w:p w14:paraId="042D0A87"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Open the valve on the unit and verify that it fully opens in one second or less and that it stays open.</w:t>
            </w:r>
          </w:p>
        </w:tc>
        <w:tc>
          <w:tcPr>
            <w:tcW w:w="3330" w:type="dxa"/>
            <w:tcBorders>
              <w:left w:val="double" w:sz="4" w:space="0" w:color="auto"/>
              <w:right w:val="double" w:sz="4" w:space="0" w:color="auto"/>
            </w:tcBorders>
            <w:shd w:val="clear" w:color="auto" w:fill="D9D9D9" w:themeFill="background1" w:themeFillShade="D9"/>
          </w:tcPr>
          <w:p w14:paraId="4EF998C3"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Open the valve on the eyewash and verify that it fully opens in one second or less and that it stays open.</w:t>
            </w:r>
          </w:p>
        </w:tc>
        <w:tc>
          <w:tcPr>
            <w:tcW w:w="1990" w:type="dxa"/>
            <w:tcBorders>
              <w:left w:val="double" w:sz="4" w:space="0" w:color="auto"/>
              <w:right w:val="double" w:sz="4" w:space="0" w:color="auto"/>
            </w:tcBorders>
            <w:shd w:val="clear" w:color="auto" w:fill="F2F2F2" w:themeFill="background1" w:themeFillShade="F2"/>
          </w:tcPr>
          <w:p w14:paraId="58664D42" w14:textId="77777777" w:rsidR="00DA632A" w:rsidRPr="000E3B10" w:rsidRDefault="00DA632A" w:rsidP="008A0842">
            <w:pPr>
              <w:autoSpaceDE w:val="0"/>
              <w:autoSpaceDN w:val="0"/>
              <w:adjustRightInd w:val="0"/>
              <w:rPr>
                <w:color w:val="000000"/>
                <w:sz w:val="18"/>
                <w:szCs w:val="18"/>
              </w:rPr>
            </w:pPr>
          </w:p>
        </w:tc>
      </w:tr>
      <w:tr w:rsidR="00DA632A" w:rsidRPr="000E3B10" w14:paraId="741E4176" w14:textId="77777777" w:rsidTr="008A0842">
        <w:tc>
          <w:tcPr>
            <w:tcW w:w="626" w:type="dxa"/>
            <w:tcBorders>
              <w:left w:val="double" w:sz="4" w:space="0" w:color="auto"/>
              <w:right w:val="double" w:sz="4" w:space="0" w:color="auto"/>
            </w:tcBorders>
            <w:shd w:val="clear" w:color="auto" w:fill="F2F2F2" w:themeFill="background1" w:themeFillShade="F2"/>
          </w:tcPr>
          <w:p w14:paraId="36B36A10"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4</w:t>
            </w:r>
          </w:p>
        </w:tc>
        <w:tc>
          <w:tcPr>
            <w:tcW w:w="3334" w:type="dxa"/>
            <w:tcBorders>
              <w:left w:val="double" w:sz="4" w:space="0" w:color="auto"/>
              <w:right w:val="double" w:sz="4" w:space="0" w:color="auto"/>
            </w:tcBorders>
            <w:shd w:val="clear" w:color="auto" w:fill="D9D9D9" w:themeFill="background1" w:themeFillShade="D9"/>
          </w:tcPr>
          <w:p w14:paraId="1BF8AC13"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Determine that flushing fluid is substantially dispersed throughout the pattern. The flushing fluid column pattern shall be 82 to 96 inches from the surface which the user stand; the diameter shall be a minimum of 20 inches. The drenching area available for users to stand in should offer 34 inches of space (measured as a diameter).</w:t>
            </w:r>
          </w:p>
        </w:tc>
        <w:tc>
          <w:tcPr>
            <w:tcW w:w="3330" w:type="dxa"/>
            <w:tcBorders>
              <w:left w:val="double" w:sz="4" w:space="0" w:color="auto"/>
              <w:right w:val="double" w:sz="4" w:space="0" w:color="auto"/>
            </w:tcBorders>
            <w:shd w:val="clear" w:color="auto" w:fill="D9D9D9" w:themeFill="background1" w:themeFillShade="D9"/>
          </w:tcPr>
          <w:p w14:paraId="2DEE1A96"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 xml:space="preserve">Ensure that the flushing fluid area is dispersed less than 8 inches above the eyewash nozzle(s). </w:t>
            </w:r>
          </w:p>
        </w:tc>
        <w:tc>
          <w:tcPr>
            <w:tcW w:w="1990" w:type="dxa"/>
            <w:tcBorders>
              <w:left w:val="double" w:sz="4" w:space="0" w:color="auto"/>
              <w:right w:val="double" w:sz="4" w:space="0" w:color="auto"/>
            </w:tcBorders>
            <w:shd w:val="clear" w:color="auto" w:fill="F2F2F2" w:themeFill="background1" w:themeFillShade="F2"/>
          </w:tcPr>
          <w:p w14:paraId="227EC37C" w14:textId="77777777" w:rsidR="00DA632A" w:rsidRPr="000E3B10" w:rsidRDefault="00DA632A" w:rsidP="008A0842">
            <w:pPr>
              <w:autoSpaceDE w:val="0"/>
              <w:autoSpaceDN w:val="0"/>
              <w:adjustRightInd w:val="0"/>
              <w:rPr>
                <w:color w:val="000000"/>
                <w:sz w:val="18"/>
                <w:szCs w:val="18"/>
              </w:rPr>
            </w:pPr>
          </w:p>
        </w:tc>
      </w:tr>
      <w:tr w:rsidR="00DA632A" w:rsidRPr="000E3B10" w14:paraId="0FBA40E2" w14:textId="77777777" w:rsidTr="008A0842">
        <w:tc>
          <w:tcPr>
            <w:tcW w:w="626" w:type="dxa"/>
            <w:tcBorders>
              <w:left w:val="double" w:sz="4" w:space="0" w:color="auto"/>
              <w:right w:val="double" w:sz="4" w:space="0" w:color="auto"/>
            </w:tcBorders>
            <w:shd w:val="clear" w:color="auto" w:fill="F2F2F2" w:themeFill="background1" w:themeFillShade="F2"/>
          </w:tcPr>
          <w:p w14:paraId="47C24EC4"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5</w:t>
            </w:r>
          </w:p>
        </w:tc>
        <w:tc>
          <w:tcPr>
            <w:tcW w:w="3334" w:type="dxa"/>
            <w:tcBorders>
              <w:left w:val="double" w:sz="4" w:space="0" w:color="auto"/>
              <w:right w:val="double" w:sz="4" w:space="0" w:color="auto"/>
            </w:tcBorders>
            <w:shd w:val="clear" w:color="auto" w:fill="D9D9D9" w:themeFill="background1" w:themeFillShade="D9"/>
          </w:tcPr>
          <w:p w14:paraId="04549BA2"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Throughout this 15-minute test, verify that the flow rate is a minimum of 20 gallons per minute.</w:t>
            </w:r>
          </w:p>
        </w:tc>
        <w:tc>
          <w:tcPr>
            <w:tcW w:w="3330" w:type="dxa"/>
            <w:tcBorders>
              <w:left w:val="double" w:sz="4" w:space="0" w:color="auto"/>
              <w:right w:val="double" w:sz="4" w:space="0" w:color="auto"/>
            </w:tcBorders>
            <w:shd w:val="clear" w:color="auto" w:fill="D9D9D9" w:themeFill="background1" w:themeFillShade="D9"/>
          </w:tcPr>
          <w:p w14:paraId="3CE354F1"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Throughout this 15-minute test, verify that the flow rate is a minimum of 0.4 gallons per minute.</w:t>
            </w:r>
          </w:p>
        </w:tc>
        <w:tc>
          <w:tcPr>
            <w:tcW w:w="1990" w:type="dxa"/>
            <w:tcBorders>
              <w:left w:val="double" w:sz="4" w:space="0" w:color="auto"/>
              <w:right w:val="double" w:sz="4" w:space="0" w:color="auto"/>
            </w:tcBorders>
            <w:shd w:val="clear" w:color="auto" w:fill="F2F2F2" w:themeFill="background1" w:themeFillShade="F2"/>
          </w:tcPr>
          <w:p w14:paraId="783E7924" w14:textId="77777777" w:rsidR="00DA632A" w:rsidRPr="000E3B10" w:rsidRDefault="00DA632A" w:rsidP="008A0842">
            <w:pPr>
              <w:autoSpaceDE w:val="0"/>
              <w:autoSpaceDN w:val="0"/>
              <w:adjustRightInd w:val="0"/>
              <w:rPr>
                <w:color w:val="000000"/>
                <w:sz w:val="18"/>
                <w:szCs w:val="18"/>
              </w:rPr>
            </w:pPr>
          </w:p>
        </w:tc>
      </w:tr>
      <w:tr w:rsidR="00DA632A" w:rsidRPr="000E3B10" w14:paraId="00465E79" w14:textId="77777777" w:rsidTr="008A0842">
        <w:tc>
          <w:tcPr>
            <w:tcW w:w="9280" w:type="dxa"/>
            <w:gridSpan w:val="4"/>
            <w:tcBorders>
              <w:left w:val="double" w:sz="4" w:space="0" w:color="auto"/>
              <w:bottom w:val="double" w:sz="4" w:space="0" w:color="auto"/>
              <w:right w:val="double" w:sz="4" w:space="0" w:color="auto"/>
            </w:tcBorders>
            <w:shd w:val="clear" w:color="auto" w:fill="auto"/>
          </w:tcPr>
          <w:p w14:paraId="7757D9AB" w14:textId="77777777" w:rsidR="00DA632A" w:rsidRPr="000E3B10" w:rsidRDefault="00DA632A" w:rsidP="008A0842">
            <w:pPr>
              <w:autoSpaceDE w:val="0"/>
              <w:autoSpaceDN w:val="0"/>
              <w:adjustRightInd w:val="0"/>
              <w:jc w:val="center"/>
              <w:rPr>
                <w:color w:val="000000"/>
                <w:sz w:val="18"/>
                <w:szCs w:val="18"/>
              </w:rPr>
            </w:pPr>
          </w:p>
        </w:tc>
      </w:tr>
      <w:tr w:rsidR="00DA632A" w:rsidRPr="000E3B10" w14:paraId="6940B28B" w14:textId="77777777" w:rsidTr="008A0842">
        <w:tc>
          <w:tcPr>
            <w:tcW w:w="626" w:type="dxa"/>
            <w:tcBorders>
              <w:top w:val="double" w:sz="4" w:space="0" w:color="auto"/>
              <w:left w:val="double" w:sz="4" w:space="0" w:color="auto"/>
              <w:bottom w:val="double" w:sz="4" w:space="0" w:color="auto"/>
            </w:tcBorders>
            <w:shd w:val="clear" w:color="auto" w:fill="auto"/>
          </w:tcPr>
          <w:p w14:paraId="26A30A6C" w14:textId="77777777" w:rsidR="00DA632A" w:rsidRPr="000E3B10" w:rsidRDefault="00DA632A" w:rsidP="008A0842">
            <w:pPr>
              <w:autoSpaceDE w:val="0"/>
              <w:autoSpaceDN w:val="0"/>
              <w:adjustRightInd w:val="0"/>
              <w:jc w:val="center"/>
              <w:rPr>
                <w:color w:val="000000"/>
                <w:sz w:val="18"/>
                <w:szCs w:val="18"/>
              </w:rPr>
            </w:pPr>
            <w:r w:rsidRPr="000E3B10">
              <w:rPr>
                <w:color w:val="000000"/>
                <w:sz w:val="18"/>
                <w:szCs w:val="18"/>
              </w:rPr>
              <w:t>Other</w:t>
            </w:r>
          </w:p>
        </w:tc>
        <w:tc>
          <w:tcPr>
            <w:tcW w:w="8654" w:type="dxa"/>
            <w:gridSpan w:val="3"/>
            <w:tcBorders>
              <w:top w:val="double" w:sz="4" w:space="0" w:color="auto"/>
              <w:bottom w:val="double" w:sz="4" w:space="0" w:color="auto"/>
              <w:right w:val="double" w:sz="4" w:space="0" w:color="auto"/>
            </w:tcBorders>
            <w:shd w:val="clear" w:color="auto" w:fill="auto"/>
          </w:tcPr>
          <w:p w14:paraId="57D38922" w14:textId="77777777" w:rsidR="00DA632A" w:rsidRPr="000E3B10" w:rsidRDefault="00DA632A" w:rsidP="008A0842">
            <w:pPr>
              <w:autoSpaceDE w:val="0"/>
              <w:autoSpaceDN w:val="0"/>
              <w:adjustRightInd w:val="0"/>
              <w:rPr>
                <w:color w:val="000000"/>
                <w:sz w:val="18"/>
                <w:szCs w:val="18"/>
              </w:rPr>
            </w:pPr>
            <w:r w:rsidRPr="000E3B10">
              <w:rPr>
                <w:color w:val="000000"/>
                <w:sz w:val="18"/>
                <w:szCs w:val="18"/>
              </w:rPr>
              <w:t>Customized instruction or unique manufacturer instructions may need to be referenced. Such instructions must be included with this form to certify appropriate steps have been followed prior to commissioning emergency flushing equipment for use. Such steps must be approved by ES&amp;H. DSO’s or this program’s administrator can assist in these requests. (</w:t>
            </w:r>
            <w:proofErr w:type="gramStart"/>
            <w:r w:rsidRPr="000E3B10">
              <w:rPr>
                <w:color w:val="000000"/>
                <w:sz w:val="18"/>
                <w:szCs w:val="18"/>
              </w:rPr>
              <w:t>ex</w:t>
            </w:r>
            <w:proofErr w:type="gramEnd"/>
            <w:r w:rsidRPr="000E3B10">
              <w:rPr>
                <w:color w:val="000000"/>
                <w:sz w:val="18"/>
                <w:szCs w:val="18"/>
              </w:rPr>
              <w:t>: drenching hoses must be designed</w:t>
            </w:r>
            <w:r>
              <w:rPr>
                <w:color w:val="000000"/>
                <w:sz w:val="18"/>
                <w:szCs w:val="18"/>
              </w:rPr>
              <w:t xml:space="preserve"> with a</w:t>
            </w:r>
            <w:r w:rsidRPr="000E3B10">
              <w:rPr>
                <w:color w:val="000000"/>
                <w:sz w:val="18"/>
                <w:szCs w:val="18"/>
              </w:rPr>
              <w:t xml:space="preserve"> flow rate of 3 gallons per minute</w:t>
            </w:r>
            <w:r>
              <w:rPr>
                <w:color w:val="000000"/>
                <w:sz w:val="18"/>
                <w:szCs w:val="18"/>
              </w:rPr>
              <w:t xml:space="preserve"> and verified</w:t>
            </w:r>
            <w:r w:rsidRPr="000E3B10">
              <w:rPr>
                <w:color w:val="000000"/>
                <w:sz w:val="18"/>
                <w:szCs w:val="18"/>
              </w:rPr>
              <w:t>)</w:t>
            </w:r>
          </w:p>
        </w:tc>
      </w:tr>
    </w:tbl>
    <w:p w14:paraId="720E6C7D" w14:textId="77777777" w:rsidR="00DA632A" w:rsidRPr="000E3B10" w:rsidRDefault="00DA632A" w:rsidP="00DA632A">
      <w:pPr>
        <w:jc w:val="left"/>
        <w:rPr>
          <w:sz w:val="20"/>
          <w:szCs w:val="20"/>
          <w:u w:val="single"/>
        </w:rPr>
      </w:pPr>
      <w:r w:rsidRPr="000E3B10">
        <w:rPr>
          <w:sz w:val="20"/>
          <w:szCs w:val="20"/>
          <w:u w:val="single"/>
        </w:rPr>
        <w:br w:type="page"/>
      </w:r>
    </w:p>
    <w:p w14:paraId="565DBCB6" w14:textId="77777777" w:rsidR="00DA632A" w:rsidRPr="00DA632A" w:rsidRDefault="00DA632A" w:rsidP="00196CE0">
      <w:pPr>
        <w:rPr>
          <w:bCs/>
          <w:highlight w:val="yellow"/>
        </w:rPr>
      </w:pPr>
    </w:p>
    <w:p w14:paraId="2D2B4BF6" w14:textId="3D926A73" w:rsidR="00196CE0" w:rsidRPr="00927D41" w:rsidRDefault="00927D41" w:rsidP="00196CE0">
      <w:pPr>
        <w:pStyle w:val="Heading2"/>
        <w:keepNext w:val="0"/>
        <w:jc w:val="both"/>
        <w:rPr>
          <w:b w:val="0"/>
        </w:rPr>
      </w:pPr>
      <w:bookmarkStart w:id="16" w:name="_Toc102126568"/>
      <w:r>
        <w:t>Appendix B: Weekly Verification</w:t>
      </w:r>
      <w:bookmarkEnd w:id="16"/>
    </w:p>
    <w:p w14:paraId="2D2B4BF7" w14:textId="3FA04105" w:rsidR="00196CE0" w:rsidRDefault="00196CE0" w:rsidP="00196CE0"/>
    <w:p w14:paraId="0B5160D6" w14:textId="77777777" w:rsidR="00DA632A" w:rsidRPr="00851902" w:rsidRDefault="00DA632A" w:rsidP="00DA632A">
      <w:pPr>
        <w:jc w:val="center"/>
        <w:rPr>
          <w:b/>
          <w:bCs/>
          <w:sz w:val="20"/>
          <w:szCs w:val="20"/>
          <w:u w:val="single"/>
        </w:rPr>
      </w:pPr>
      <w:r w:rsidRPr="00851902">
        <w:rPr>
          <w:b/>
          <w:bCs/>
          <w:sz w:val="20"/>
          <w:szCs w:val="20"/>
          <w:u w:val="single"/>
        </w:rPr>
        <w:t>Appendix B: Weekly Verification</w:t>
      </w:r>
    </w:p>
    <w:p w14:paraId="4BFCA106" w14:textId="77777777" w:rsidR="00DA632A" w:rsidRPr="000E3B10" w:rsidRDefault="00DA632A" w:rsidP="00DA632A">
      <w:pPr>
        <w:jc w:val="left"/>
        <w:rPr>
          <w:sz w:val="20"/>
          <w:szCs w:val="20"/>
          <w:u w:val="single"/>
        </w:rPr>
      </w:pPr>
    </w:p>
    <w:p w14:paraId="35BA2E42" w14:textId="77777777" w:rsidR="00DA632A" w:rsidRPr="000E3B10" w:rsidRDefault="00DA632A" w:rsidP="00DA632A">
      <w:pPr>
        <w:contextualSpacing/>
        <w:rPr>
          <w:color w:val="000000"/>
          <w:sz w:val="18"/>
          <w:szCs w:val="18"/>
        </w:rPr>
      </w:pPr>
      <w:r w:rsidRPr="000E3B10">
        <w:rPr>
          <w:color w:val="000000"/>
          <w:sz w:val="18"/>
          <w:szCs w:val="18"/>
        </w:rPr>
        <w:t>Building FIMS #: _________________________________________</w:t>
      </w:r>
    </w:p>
    <w:p w14:paraId="428D73F7" w14:textId="77777777" w:rsidR="00DA632A" w:rsidRPr="000E3B10" w:rsidRDefault="00DA632A" w:rsidP="00DA632A">
      <w:pPr>
        <w:contextualSpacing/>
        <w:rPr>
          <w:color w:val="000000"/>
          <w:sz w:val="18"/>
          <w:szCs w:val="18"/>
        </w:rPr>
      </w:pPr>
    </w:p>
    <w:p w14:paraId="47A6AA57" w14:textId="77777777" w:rsidR="00DA632A" w:rsidRPr="000E3B10" w:rsidRDefault="00DA632A" w:rsidP="00DA632A">
      <w:pPr>
        <w:contextualSpacing/>
        <w:rPr>
          <w:color w:val="000000"/>
          <w:sz w:val="18"/>
          <w:szCs w:val="18"/>
        </w:rPr>
      </w:pPr>
      <w:r w:rsidRPr="000E3B10">
        <w:rPr>
          <w:color w:val="000000"/>
          <w:sz w:val="18"/>
          <w:szCs w:val="18"/>
        </w:rPr>
        <w:t>Location Description ______________________________________</w:t>
      </w:r>
    </w:p>
    <w:p w14:paraId="5FE19CC0" w14:textId="77777777" w:rsidR="00DA632A" w:rsidRPr="000E3B10" w:rsidRDefault="00DA632A" w:rsidP="00DA632A">
      <w:pPr>
        <w:contextualSpacing/>
        <w:rPr>
          <w:color w:val="000000"/>
          <w:sz w:val="18"/>
          <w:szCs w:val="18"/>
        </w:rPr>
      </w:pPr>
    </w:p>
    <w:p w14:paraId="6D476716" w14:textId="77777777" w:rsidR="00DA632A" w:rsidRDefault="00DA632A" w:rsidP="00DA632A">
      <w:pPr>
        <w:contextualSpacing/>
        <w:rPr>
          <w:color w:val="000000"/>
          <w:sz w:val="18"/>
          <w:szCs w:val="18"/>
        </w:rPr>
      </w:pPr>
      <w:r w:rsidRPr="000E3B10">
        <w:rPr>
          <w:color w:val="000000"/>
          <w:sz w:val="18"/>
          <w:szCs w:val="18"/>
        </w:rPr>
        <w:t xml:space="preserve">Equipment ID # (provided </w:t>
      </w:r>
      <w:r>
        <w:rPr>
          <w:color w:val="000000"/>
          <w:sz w:val="18"/>
          <w:szCs w:val="18"/>
        </w:rPr>
        <w:t>by</w:t>
      </w:r>
      <w:r w:rsidRPr="000E3B10">
        <w:rPr>
          <w:color w:val="000000"/>
          <w:sz w:val="18"/>
          <w:szCs w:val="18"/>
        </w:rPr>
        <w:t xml:space="preserve"> ES&amp;H): _________________________</w:t>
      </w:r>
    </w:p>
    <w:p w14:paraId="674AA210" w14:textId="77777777" w:rsidR="00DA632A" w:rsidRPr="000E3B10" w:rsidRDefault="00DA632A" w:rsidP="00DA632A">
      <w:pPr>
        <w:contextualSpacing/>
        <w:rPr>
          <w:color w:val="000000"/>
          <w:sz w:val="18"/>
          <w:szCs w:val="18"/>
        </w:rPr>
      </w:pPr>
    </w:p>
    <w:p w14:paraId="35382F62" w14:textId="77777777" w:rsidR="00DA632A" w:rsidRPr="000E3B10" w:rsidRDefault="00DA632A" w:rsidP="00DA632A">
      <w:pPr>
        <w:contextualSpacing/>
        <w:rPr>
          <w:color w:val="000000"/>
          <w:sz w:val="18"/>
          <w:szCs w:val="18"/>
        </w:rPr>
      </w:pPr>
    </w:p>
    <w:p w14:paraId="63B2085D" w14:textId="4589BBF0" w:rsidR="002143B4" w:rsidRPr="000E3B10" w:rsidRDefault="002143B4" w:rsidP="002143B4">
      <w:pPr>
        <w:contextualSpacing/>
        <w:rPr>
          <w:sz w:val="20"/>
          <w:szCs w:val="20"/>
        </w:rPr>
      </w:pPr>
      <w:r w:rsidRPr="000E3B10">
        <w:rPr>
          <w:sz w:val="20"/>
          <w:szCs w:val="20"/>
        </w:rPr>
        <w:t xml:space="preserve">This form certifies a weekly verification has been completed </w:t>
      </w:r>
      <w:r>
        <w:rPr>
          <w:sz w:val="20"/>
          <w:szCs w:val="20"/>
        </w:rPr>
        <w:t>and performance</w:t>
      </w:r>
      <w:r w:rsidRPr="000E3B10">
        <w:rPr>
          <w:sz w:val="20"/>
          <w:szCs w:val="20"/>
        </w:rPr>
        <w:t xml:space="preserve"> </w:t>
      </w:r>
      <w:r>
        <w:rPr>
          <w:sz w:val="20"/>
          <w:szCs w:val="20"/>
        </w:rPr>
        <w:t xml:space="preserve">meets </w:t>
      </w:r>
      <w:r w:rsidRPr="000E3B10">
        <w:rPr>
          <w:sz w:val="20"/>
          <w:szCs w:val="20"/>
        </w:rPr>
        <w:t>compliance</w:t>
      </w:r>
      <w:r>
        <w:rPr>
          <w:sz w:val="20"/>
          <w:szCs w:val="20"/>
        </w:rPr>
        <w:t xml:space="preserve"> details below</w:t>
      </w:r>
      <w:r w:rsidRPr="000E3B10">
        <w:rPr>
          <w:sz w:val="20"/>
          <w:szCs w:val="20"/>
        </w:rPr>
        <w:t xml:space="preserve">. </w:t>
      </w:r>
      <w:r>
        <w:rPr>
          <w:sz w:val="20"/>
          <w:szCs w:val="20"/>
        </w:rPr>
        <w:t>If applicable, a</w:t>
      </w:r>
      <w:r w:rsidRPr="000E3B10">
        <w:rPr>
          <w:sz w:val="20"/>
          <w:szCs w:val="20"/>
        </w:rPr>
        <w:t>dditional manufacturer-provided weekly inspection instructions must be completed</w:t>
      </w:r>
      <w:r>
        <w:rPr>
          <w:sz w:val="20"/>
          <w:szCs w:val="20"/>
        </w:rPr>
        <w:t xml:space="preserve"> </w:t>
      </w:r>
      <w:r w:rsidRPr="000E3B10">
        <w:rPr>
          <w:sz w:val="20"/>
          <w:szCs w:val="20"/>
        </w:rPr>
        <w:t>before certifying</w:t>
      </w:r>
      <w:r>
        <w:rPr>
          <w:sz w:val="20"/>
          <w:szCs w:val="20"/>
        </w:rPr>
        <w:t xml:space="preserve"> this </w:t>
      </w:r>
      <w:r w:rsidRPr="005B34D1">
        <w:rPr>
          <w:sz w:val="20"/>
          <w:szCs w:val="20"/>
        </w:rPr>
        <w:t>form. This verification shall be fixed in a plastic holder at/near the respective unit. At the end of each calendar year, responsible building</w:t>
      </w:r>
      <w:r w:rsidR="009D283F">
        <w:rPr>
          <w:sz w:val="20"/>
          <w:szCs w:val="20"/>
        </w:rPr>
        <w:t>, section, or project</w:t>
      </w:r>
      <w:r w:rsidRPr="005B34D1">
        <w:rPr>
          <w:sz w:val="20"/>
          <w:szCs w:val="20"/>
        </w:rPr>
        <w:t xml:space="preserve"> tenants must send a copy of this form to </w:t>
      </w:r>
      <w:hyperlink r:id="rId16" w:history="1">
        <w:r w:rsidRPr="005B34D1">
          <w:rPr>
            <w:rStyle w:val="Hyperlink"/>
            <w:sz w:val="20"/>
            <w:szCs w:val="20"/>
          </w:rPr>
          <w:t>stevenc@fnal.gov</w:t>
        </w:r>
      </w:hyperlink>
      <w:r w:rsidRPr="005B34D1">
        <w:rPr>
          <w:sz w:val="20"/>
          <w:szCs w:val="20"/>
        </w:rPr>
        <w:t xml:space="preserve"> or mail slot 355.</w:t>
      </w:r>
    </w:p>
    <w:p w14:paraId="5C2DF049" w14:textId="77777777" w:rsidR="00DA632A" w:rsidRPr="000E3B10" w:rsidRDefault="00DA632A" w:rsidP="00DA632A">
      <w:pPr>
        <w:contextualSpacing/>
        <w:rPr>
          <w:color w:val="000000"/>
          <w:sz w:val="18"/>
          <w:szCs w:val="18"/>
        </w:rPr>
      </w:pPr>
    </w:p>
    <w:p w14:paraId="69680EA9" w14:textId="77777777" w:rsidR="00DA632A" w:rsidRPr="000E3B10" w:rsidRDefault="00DA632A" w:rsidP="00DA632A">
      <w:pPr>
        <w:contextualSpacing/>
        <w:rPr>
          <w:b/>
          <w:bCs/>
          <w:sz w:val="20"/>
          <w:szCs w:val="20"/>
        </w:rPr>
      </w:pPr>
      <w:r w:rsidRPr="000E3B10">
        <w:rPr>
          <w:b/>
          <w:bCs/>
          <w:sz w:val="20"/>
          <w:szCs w:val="20"/>
        </w:rPr>
        <w:t xml:space="preserve">Facility-plumbed emergency shower performance must be verified using the following </w:t>
      </w:r>
      <w:r>
        <w:rPr>
          <w:b/>
          <w:bCs/>
          <w:sz w:val="20"/>
          <w:szCs w:val="20"/>
        </w:rPr>
        <w:t>steps</w:t>
      </w:r>
      <w:r w:rsidRPr="000E3B10">
        <w:rPr>
          <w:b/>
          <w:bCs/>
          <w:sz w:val="20"/>
          <w:szCs w:val="20"/>
        </w:rPr>
        <w:t>, weekly:</w:t>
      </w:r>
    </w:p>
    <w:p w14:paraId="58076A0C" w14:textId="77777777" w:rsidR="00DA632A" w:rsidRPr="000E3B10" w:rsidRDefault="00DA632A" w:rsidP="00DA632A">
      <w:pPr>
        <w:pStyle w:val="ListParagraph"/>
        <w:numPr>
          <w:ilvl w:val="0"/>
          <w:numId w:val="14"/>
        </w:numPr>
        <w:rPr>
          <w:sz w:val="20"/>
          <w:szCs w:val="20"/>
        </w:rPr>
      </w:pPr>
      <w:r w:rsidRPr="000E3B10">
        <w:rPr>
          <w:sz w:val="20"/>
          <w:szCs w:val="20"/>
        </w:rPr>
        <w:t>Ensure the unit is properly connected to a potable water or flushing-fluid / saline solution source. There should be a connection made by a supply valve or valves. Shut this valve and ensure there are no leaks and then reopen.</w:t>
      </w:r>
    </w:p>
    <w:p w14:paraId="2F7C237B" w14:textId="7AC5B1D1" w:rsidR="00DA632A" w:rsidRPr="000E3B10" w:rsidRDefault="002143B4" w:rsidP="00DA632A">
      <w:pPr>
        <w:pStyle w:val="ListParagraph"/>
        <w:numPr>
          <w:ilvl w:val="0"/>
          <w:numId w:val="14"/>
        </w:numPr>
        <w:rPr>
          <w:sz w:val="20"/>
          <w:szCs w:val="20"/>
        </w:rPr>
      </w:pPr>
      <w:r w:rsidRPr="005B34D1">
        <w:rPr>
          <w:sz w:val="20"/>
          <w:szCs w:val="20"/>
        </w:rPr>
        <w:t xml:space="preserve">Ensure the unit is unobstructed. </w:t>
      </w:r>
      <w:r w:rsidR="00DA632A" w:rsidRPr="005B34D1">
        <w:rPr>
          <w:sz w:val="20"/>
          <w:szCs w:val="20"/>
        </w:rPr>
        <w:t>Ensure the drenching area available for a user to stand offer</w:t>
      </w:r>
      <w:r w:rsidR="00D2742F" w:rsidRPr="005B34D1">
        <w:rPr>
          <w:sz w:val="20"/>
          <w:szCs w:val="20"/>
        </w:rPr>
        <w:t>s</w:t>
      </w:r>
      <w:r w:rsidR="00DA632A" w:rsidRPr="005B34D1">
        <w:rPr>
          <w:sz w:val="20"/>
          <w:szCs w:val="20"/>
        </w:rPr>
        <w:t xml:space="preserve"> 34 inches of space or</w:t>
      </w:r>
      <w:r w:rsidR="00DA632A" w:rsidRPr="000E3B10">
        <w:rPr>
          <w:sz w:val="20"/>
          <w:szCs w:val="20"/>
        </w:rPr>
        <w:t xml:space="preserve"> more (measures as diameter).</w:t>
      </w:r>
    </w:p>
    <w:p w14:paraId="4869E659" w14:textId="77777777" w:rsidR="00DA632A" w:rsidRPr="000E3B10" w:rsidRDefault="00DA632A" w:rsidP="00DA632A">
      <w:pPr>
        <w:pStyle w:val="ListParagraph"/>
        <w:numPr>
          <w:ilvl w:val="0"/>
          <w:numId w:val="14"/>
        </w:numPr>
        <w:rPr>
          <w:sz w:val="20"/>
          <w:szCs w:val="20"/>
        </w:rPr>
      </w:pPr>
      <w:r w:rsidRPr="000E3B10">
        <w:rPr>
          <w:sz w:val="20"/>
          <w:szCs w:val="20"/>
        </w:rPr>
        <w:t>Ensure the height of the shower head continues to measure between 82-96 inches from where the user would stand.</w:t>
      </w:r>
    </w:p>
    <w:p w14:paraId="21B6B4CF" w14:textId="77777777" w:rsidR="00DA632A" w:rsidRPr="000E3B10" w:rsidRDefault="00DA632A" w:rsidP="00DA632A">
      <w:pPr>
        <w:pStyle w:val="ListParagraph"/>
        <w:numPr>
          <w:ilvl w:val="0"/>
          <w:numId w:val="14"/>
        </w:numPr>
        <w:rPr>
          <w:sz w:val="20"/>
          <w:szCs w:val="20"/>
        </w:rPr>
      </w:pPr>
      <w:r w:rsidRPr="000E3B10">
        <w:rPr>
          <w:sz w:val="20"/>
          <w:szCs w:val="20"/>
        </w:rPr>
        <w:t>Shut associated plumbed supply valves and verify piping connections do not have leaks.</w:t>
      </w:r>
    </w:p>
    <w:p w14:paraId="79431FD2" w14:textId="449A46F7" w:rsidR="00DA632A" w:rsidRPr="000E3B10" w:rsidRDefault="00DA632A" w:rsidP="00DA632A">
      <w:pPr>
        <w:pStyle w:val="ListParagraph"/>
        <w:numPr>
          <w:ilvl w:val="0"/>
          <w:numId w:val="14"/>
        </w:numPr>
        <w:rPr>
          <w:sz w:val="20"/>
          <w:szCs w:val="20"/>
        </w:rPr>
      </w:pPr>
      <w:r w:rsidRPr="000E3B10">
        <w:rPr>
          <w:sz w:val="20"/>
          <w:szCs w:val="20"/>
        </w:rPr>
        <w:t>Fully open valves. Ensure the action can be completed in 1 second or less</w:t>
      </w:r>
      <w:r w:rsidR="00F71D09">
        <w:rPr>
          <w:sz w:val="20"/>
          <w:szCs w:val="20"/>
        </w:rPr>
        <w:t>.  V</w:t>
      </w:r>
      <w:r w:rsidRPr="000E3B10">
        <w:rPr>
          <w:sz w:val="20"/>
          <w:szCs w:val="20"/>
        </w:rPr>
        <w:t>erify the valve remains open without manual assistance.</w:t>
      </w:r>
    </w:p>
    <w:p w14:paraId="1F28A517" w14:textId="0190159B" w:rsidR="00DA632A" w:rsidRPr="000E3B10" w:rsidRDefault="00DA632A" w:rsidP="00DA632A">
      <w:pPr>
        <w:pStyle w:val="ListParagraph"/>
        <w:numPr>
          <w:ilvl w:val="0"/>
          <w:numId w:val="14"/>
        </w:numPr>
        <w:rPr>
          <w:sz w:val="20"/>
          <w:szCs w:val="20"/>
        </w:rPr>
      </w:pPr>
      <w:r w:rsidRPr="000E3B10">
        <w:rPr>
          <w:sz w:val="20"/>
          <w:szCs w:val="20"/>
        </w:rPr>
        <w:t>Activate the performance control valve to begin the full flow of potable water or saline solution. Once activated, the shower should operate without the need for an operator’s hand</w:t>
      </w:r>
      <w:r w:rsidR="00CF1D75">
        <w:rPr>
          <w:sz w:val="20"/>
          <w:szCs w:val="20"/>
        </w:rPr>
        <w:t>(</w:t>
      </w:r>
      <w:r w:rsidRPr="000E3B10">
        <w:rPr>
          <w:sz w:val="20"/>
          <w:szCs w:val="20"/>
        </w:rPr>
        <w:t>s</w:t>
      </w:r>
      <w:r w:rsidR="00CF1D75">
        <w:rPr>
          <w:sz w:val="20"/>
          <w:szCs w:val="20"/>
        </w:rPr>
        <w:t>)</w:t>
      </w:r>
      <w:r w:rsidRPr="000E3B10">
        <w:rPr>
          <w:sz w:val="20"/>
          <w:szCs w:val="20"/>
        </w:rPr>
        <w:t xml:space="preserve"> until intentionally closed.</w:t>
      </w:r>
    </w:p>
    <w:p w14:paraId="7552291C" w14:textId="4FFBB443" w:rsidR="00DA632A" w:rsidRPr="000E3B10" w:rsidRDefault="00DA632A" w:rsidP="00DA632A">
      <w:pPr>
        <w:pStyle w:val="ListParagraph"/>
        <w:numPr>
          <w:ilvl w:val="0"/>
          <w:numId w:val="14"/>
        </w:numPr>
        <w:rPr>
          <w:sz w:val="20"/>
          <w:szCs w:val="20"/>
        </w:rPr>
      </w:pPr>
      <w:r w:rsidRPr="000E3B10">
        <w:rPr>
          <w:sz w:val="20"/>
          <w:szCs w:val="20"/>
        </w:rPr>
        <w:t xml:space="preserve">At minimum, water must remain activated to clear sedimentation in stagnant water supply lines. Contact </w:t>
      </w:r>
      <w:r w:rsidR="008C16A8">
        <w:rPr>
          <w:sz w:val="20"/>
          <w:szCs w:val="20"/>
        </w:rPr>
        <w:t>AFM</w:t>
      </w:r>
      <w:r w:rsidR="008C16A8" w:rsidRPr="000E3B10">
        <w:rPr>
          <w:sz w:val="20"/>
          <w:szCs w:val="20"/>
        </w:rPr>
        <w:t xml:space="preserve"> </w:t>
      </w:r>
      <w:r w:rsidRPr="000E3B10">
        <w:rPr>
          <w:sz w:val="20"/>
          <w:szCs w:val="20"/>
        </w:rPr>
        <w:t>to determine this unit’s appropriate run time. This unit’s minimum run time is ________ (minutes) but it must be run longer - if needed - to ensure water runs clear.</w:t>
      </w:r>
    </w:p>
    <w:p w14:paraId="6C001B7E" w14:textId="77777777" w:rsidR="00DA632A" w:rsidRPr="000E3B10" w:rsidRDefault="00DA632A" w:rsidP="00DA632A">
      <w:pPr>
        <w:ind w:left="360"/>
        <w:contextualSpacing/>
        <w:rPr>
          <w:sz w:val="20"/>
          <w:szCs w:val="20"/>
        </w:rPr>
      </w:pPr>
    </w:p>
    <w:p w14:paraId="5B2BA895" w14:textId="6FDE3A25" w:rsidR="00DA632A" w:rsidRPr="000E3B10" w:rsidRDefault="00DA632A" w:rsidP="00DA632A">
      <w:pPr>
        <w:ind w:left="360"/>
        <w:contextualSpacing/>
        <w:rPr>
          <w:b/>
          <w:bCs/>
          <w:sz w:val="20"/>
          <w:szCs w:val="20"/>
        </w:rPr>
      </w:pPr>
      <w:r w:rsidRPr="000E3B10">
        <w:rPr>
          <w:b/>
          <w:bCs/>
          <w:sz w:val="20"/>
          <w:szCs w:val="20"/>
        </w:rPr>
        <w:t xml:space="preserve">Self-contained emergency showers and eyewashes must be visually verified using the following </w:t>
      </w:r>
      <w:r>
        <w:rPr>
          <w:b/>
          <w:bCs/>
          <w:sz w:val="20"/>
          <w:szCs w:val="20"/>
        </w:rPr>
        <w:t>steps</w:t>
      </w:r>
      <w:r w:rsidRPr="000E3B10">
        <w:rPr>
          <w:b/>
          <w:bCs/>
          <w:sz w:val="20"/>
          <w:szCs w:val="20"/>
        </w:rPr>
        <w:t>, weekly</w:t>
      </w:r>
      <w:r w:rsidR="002143B4">
        <w:rPr>
          <w:b/>
          <w:bCs/>
          <w:sz w:val="20"/>
          <w:szCs w:val="20"/>
        </w:rPr>
        <w:t xml:space="preserve">. </w:t>
      </w:r>
      <w:r w:rsidR="002143B4" w:rsidRPr="005B34D1">
        <w:rPr>
          <w:b/>
          <w:bCs/>
          <w:sz w:val="20"/>
          <w:szCs w:val="20"/>
        </w:rPr>
        <w:t>However, the self-contained units approved in Appendix C may be visually verified monthly</w:t>
      </w:r>
      <w:r w:rsidRPr="005B34D1">
        <w:rPr>
          <w:b/>
          <w:bCs/>
          <w:sz w:val="20"/>
          <w:szCs w:val="20"/>
        </w:rPr>
        <w:t>:</w:t>
      </w:r>
    </w:p>
    <w:p w14:paraId="34EF470D" w14:textId="4B9F4E21" w:rsidR="00DA632A" w:rsidRPr="005B34D1" w:rsidRDefault="00DA632A" w:rsidP="00DA632A">
      <w:pPr>
        <w:pStyle w:val="ListParagraph"/>
        <w:numPr>
          <w:ilvl w:val="0"/>
          <w:numId w:val="15"/>
        </w:numPr>
        <w:rPr>
          <w:sz w:val="20"/>
          <w:szCs w:val="20"/>
        </w:rPr>
      </w:pPr>
      <w:r w:rsidRPr="005B34D1">
        <w:rPr>
          <w:sz w:val="20"/>
          <w:szCs w:val="20"/>
        </w:rPr>
        <w:t>Visually checked to ensure</w:t>
      </w:r>
      <w:r w:rsidR="002143B4" w:rsidRPr="005B34D1">
        <w:rPr>
          <w:sz w:val="20"/>
          <w:szCs w:val="20"/>
        </w:rPr>
        <w:t>:</w:t>
      </w:r>
      <w:r w:rsidRPr="005B34D1">
        <w:rPr>
          <w:sz w:val="20"/>
          <w:szCs w:val="20"/>
        </w:rPr>
        <w:t xml:space="preserve"> no damage or issues have occurred</w:t>
      </w:r>
      <w:r w:rsidR="002143B4" w:rsidRPr="005B34D1">
        <w:rPr>
          <w:sz w:val="20"/>
          <w:szCs w:val="20"/>
        </w:rPr>
        <w:t>; The area around and beneath remains unobstructed.</w:t>
      </w:r>
    </w:p>
    <w:p w14:paraId="5A859F47" w14:textId="77777777" w:rsidR="00DA632A" w:rsidRPr="000E3B10" w:rsidRDefault="00DA632A" w:rsidP="00DA632A">
      <w:pPr>
        <w:pStyle w:val="ListParagraph"/>
        <w:numPr>
          <w:ilvl w:val="0"/>
          <w:numId w:val="15"/>
        </w:numPr>
        <w:rPr>
          <w:sz w:val="20"/>
          <w:szCs w:val="20"/>
        </w:rPr>
      </w:pPr>
      <w:r w:rsidRPr="000E3B10">
        <w:rPr>
          <w:sz w:val="20"/>
          <w:szCs w:val="20"/>
        </w:rPr>
        <w:t>Determine if flushing fluid (saline solution) needs to be changed within the week and perform the changeout.</w:t>
      </w:r>
    </w:p>
    <w:p w14:paraId="533C53AA" w14:textId="77777777" w:rsidR="00DA632A" w:rsidRPr="000E3B10" w:rsidRDefault="00DA632A" w:rsidP="00DA632A">
      <w:pPr>
        <w:pStyle w:val="ListParagraph"/>
        <w:numPr>
          <w:ilvl w:val="0"/>
          <w:numId w:val="15"/>
        </w:numPr>
        <w:rPr>
          <w:sz w:val="20"/>
          <w:szCs w:val="20"/>
        </w:rPr>
      </w:pPr>
      <w:r>
        <w:rPr>
          <w:sz w:val="20"/>
          <w:szCs w:val="20"/>
        </w:rPr>
        <w:t>Ensure m</w:t>
      </w:r>
      <w:r w:rsidRPr="000E3B10">
        <w:rPr>
          <w:sz w:val="20"/>
          <w:szCs w:val="20"/>
        </w:rPr>
        <w:t>anufacturer provide</w:t>
      </w:r>
      <w:r>
        <w:rPr>
          <w:sz w:val="20"/>
          <w:szCs w:val="20"/>
        </w:rPr>
        <w:t>d</w:t>
      </w:r>
      <w:r w:rsidRPr="000E3B10">
        <w:rPr>
          <w:sz w:val="20"/>
          <w:szCs w:val="20"/>
        </w:rPr>
        <w:t xml:space="preserve"> operation, inspection, and maintenance instructions available at the unit and followed</w:t>
      </w:r>
      <w:r>
        <w:rPr>
          <w:sz w:val="20"/>
          <w:szCs w:val="20"/>
        </w:rPr>
        <w:t>.</w:t>
      </w:r>
    </w:p>
    <w:p w14:paraId="4C6277AD" w14:textId="77777777" w:rsidR="00DA632A" w:rsidRPr="000E3B10" w:rsidRDefault="00DA632A" w:rsidP="00DA632A">
      <w:pPr>
        <w:pStyle w:val="ListParagraph"/>
        <w:ind w:left="0" w:right="-432"/>
        <w:rPr>
          <w:sz w:val="20"/>
          <w:szCs w:val="20"/>
        </w:rPr>
      </w:pPr>
    </w:p>
    <w:tbl>
      <w:tblPr>
        <w:tblStyle w:val="TableGrid0"/>
        <w:tblW w:w="9810" w:type="dxa"/>
        <w:tblInd w:w="-5" w:type="dxa"/>
        <w:tblCellMar>
          <w:top w:w="10" w:type="dxa"/>
          <w:left w:w="108" w:type="dxa"/>
          <w:right w:w="115" w:type="dxa"/>
        </w:tblCellMar>
        <w:tblLook w:val="04A0" w:firstRow="1" w:lastRow="0" w:firstColumn="1" w:lastColumn="0" w:noHBand="0" w:noVBand="1"/>
      </w:tblPr>
      <w:tblGrid>
        <w:gridCol w:w="1170"/>
        <w:gridCol w:w="1710"/>
        <w:gridCol w:w="1710"/>
        <w:gridCol w:w="1710"/>
        <w:gridCol w:w="1748"/>
        <w:gridCol w:w="1762"/>
      </w:tblGrid>
      <w:tr w:rsidR="00DA632A" w:rsidRPr="00DA632A" w14:paraId="49C49D7A" w14:textId="77777777" w:rsidTr="008A0842">
        <w:trPr>
          <w:trHeight w:val="200"/>
        </w:trPr>
        <w:tc>
          <w:tcPr>
            <w:tcW w:w="1170" w:type="dxa"/>
            <w:tcBorders>
              <w:top w:val="single" w:sz="4" w:space="0" w:color="000000"/>
              <w:left w:val="single" w:sz="4" w:space="0" w:color="000000"/>
              <w:bottom w:val="single" w:sz="4" w:space="0" w:color="000000"/>
              <w:right w:val="single" w:sz="4" w:space="0" w:color="000000"/>
            </w:tcBorders>
          </w:tcPr>
          <w:p w14:paraId="7895F64B"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Year:  </w:t>
            </w:r>
          </w:p>
        </w:tc>
        <w:tc>
          <w:tcPr>
            <w:tcW w:w="1710" w:type="dxa"/>
            <w:tcBorders>
              <w:top w:val="single" w:sz="4" w:space="0" w:color="000000"/>
              <w:left w:val="single" w:sz="4" w:space="0" w:color="000000"/>
              <w:bottom w:val="single" w:sz="4" w:space="0" w:color="000000"/>
              <w:right w:val="single" w:sz="4" w:space="0" w:color="000000"/>
            </w:tcBorders>
          </w:tcPr>
          <w:p w14:paraId="2C16A245" w14:textId="77777777" w:rsidR="00DA632A" w:rsidRPr="00DA632A" w:rsidRDefault="00DA632A" w:rsidP="008A0842">
            <w:pPr>
              <w:spacing w:line="259" w:lineRule="auto"/>
              <w:rPr>
                <w:rFonts w:ascii="Times New Roman" w:eastAsia="Arial" w:hAnsi="Times New Roman" w:cs="Times New Roman"/>
                <w:sz w:val="16"/>
                <w:szCs w:val="16"/>
              </w:rPr>
            </w:pPr>
            <w:r w:rsidRPr="00DA632A">
              <w:rPr>
                <w:rFonts w:ascii="Times New Roman" w:eastAsia="Arial" w:hAnsi="Times New Roman" w:cs="Times New Roman"/>
                <w:sz w:val="16"/>
                <w:szCs w:val="16"/>
              </w:rPr>
              <w:t>Week 1 (initial/date)</w:t>
            </w:r>
          </w:p>
        </w:tc>
        <w:tc>
          <w:tcPr>
            <w:tcW w:w="1710" w:type="dxa"/>
            <w:tcBorders>
              <w:top w:val="single" w:sz="4" w:space="0" w:color="000000"/>
              <w:left w:val="single" w:sz="4" w:space="0" w:color="000000"/>
              <w:bottom w:val="single" w:sz="4" w:space="0" w:color="000000"/>
              <w:right w:val="single" w:sz="4" w:space="0" w:color="000000"/>
            </w:tcBorders>
          </w:tcPr>
          <w:p w14:paraId="7B5BF0D4"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Week 2 (initial/date)</w:t>
            </w:r>
          </w:p>
        </w:tc>
        <w:tc>
          <w:tcPr>
            <w:tcW w:w="1710" w:type="dxa"/>
            <w:tcBorders>
              <w:top w:val="single" w:sz="4" w:space="0" w:color="000000"/>
              <w:left w:val="single" w:sz="4" w:space="0" w:color="000000"/>
              <w:bottom w:val="single" w:sz="4" w:space="0" w:color="000000"/>
              <w:right w:val="single" w:sz="4" w:space="0" w:color="000000"/>
            </w:tcBorders>
          </w:tcPr>
          <w:p w14:paraId="1132E4F6"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Week 3 (initial/date)</w:t>
            </w:r>
          </w:p>
        </w:tc>
        <w:tc>
          <w:tcPr>
            <w:tcW w:w="1748" w:type="dxa"/>
            <w:tcBorders>
              <w:top w:val="single" w:sz="4" w:space="0" w:color="000000"/>
              <w:left w:val="single" w:sz="4" w:space="0" w:color="000000"/>
              <w:bottom w:val="single" w:sz="4" w:space="0" w:color="000000"/>
              <w:right w:val="single" w:sz="4" w:space="0" w:color="000000"/>
            </w:tcBorders>
          </w:tcPr>
          <w:p w14:paraId="6886733A"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Week 4 (initial/date)</w:t>
            </w:r>
          </w:p>
        </w:tc>
        <w:tc>
          <w:tcPr>
            <w:tcW w:w="1762" w:type="dxa"/>
            <w:tcBorders>
              <w:top w:val="single" w:sz="4" w:space="0" w:color="000000"/>
              <w:left w:val="single" w:sz="4" w:space="0" w:color="000000"/>
              <w:bottom w:val="single" w:sz="4" w:space="0" w:color="000000"/>
              <w:right w:val="single" w:sz="4" w:space="0" w:color="000000"/>
            </w:tcBorders>
          </w:tcPr>
          <w:p w14:paraId="08FF6B50"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Week 5 (initial/date)</w:t>
            </w:r>
          </w:p>
        </w:tc>
      </w:tr>
      <w:tr w:rsidR="00DA632A" w:rsidRPr="00DA632A" w14:paraId="77BF2D6C" w14:textId="77777777" w:rsidTr="008A0842">
        <w:trPr>
          <w:trHeight w:val="223"/>
        </w:trPr>
        <w:tc>
          <w:tcPr>
            <w:tcW w:w="1170" w:type="dxa"/>
            <w:tcBorders>
              <w:top w:val="single" w:sz="4" w:space="0" w:color="000000"/>
              <w:left w:val="single" w:sz="4" w:space="0" w:color="000000"/>
              <w:bottom w:val="single" w:sz="4" w:space="0" w:color="000000"/>
              <w:right w:val="single" w:sz="4" w:space="0" w:color="000000"/>
            </w:tcBorders>
          </w:tcPr>
          <w:p w14:paraId="16DA1AC1"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January </w:t>
            </w:r>
          </w:p>
        </w:tc>
        <w:tc>
          <w:tcPr>
            <w:tcW w:w="1710" w:type="dxa"/>
            <w:tcBorders>
              <w:top w:val="single" w:sz="4" w:space="0" w:color="000000"/>
              <w:left w:val="single" w:sz="4" w:space="0" w:color="000000"/>
              <w:bottom w:val="single" w:sz="4" w:space="0" w:color="000000"/>
              <w:right w:val="single" w:sz="4" w:space="0" w:color="000000"/>
            </w:tcBorders>
          </w:tcPr>
          <w:p w14:paraId="484111E3"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3581F04"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66AA7EFE"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35D6CC5D"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C6AC974"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68AAC0C6" w14:textId="77777777" w:rsidTr="008A0842">
        <w:trPr>
          <w:trHeight w:val="295"/>
        </w:trPr>
        <w:tc>
          <w:tcPr>
            <w:tcW w:w="1170" w:type="dxa"/>
            <w:tcBorders>
              <w:top w:val="single" w:sz="4" w:space="0" w:color="000000"/>
              <w:left w:val="single" w:sz="4" w:space="0" w:color="000000"/>
              <w:bottom w:val="single" w:sz="4" w:space="0" w:color="000000"/>
              <w:right w:val="single" w:sz="4" w:space="0" w:color="000000"/>
            </w:tcBorders>
          </w:tcPr>
          <w:p w14:paraId="7C3E709B"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February </w:t>
            </w:r>
          </w:p>
        </w:tc>
        <w:tc>
          <w:tcPr>
            <w:tcW w:w="1710" w:type="dxa"/>
            <w:tcBorders>
              <w:top w:val="single" w:sz="4" w:space="0" w:color="000000"/>
              <w:left w:val="single" w:sz="4" w:space="0" w:color="000000"/>
              <w:bottom w:val="single" w:sz="4" w:space="0" w:color="000000"/>
              <w:right w:val="single" w:sz="4" w:space="0" w:color="000000"/>
            </w:tcBorders>
          </w:tcPr>
          <w:p w14:paraId="0272EB90"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DC3B388"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27CB0F13"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340E0BE4"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19EB0851"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7524B12B" w14:textId="77777777" w:rsidTr="008A0842">
        <w:trPr>
          <w:trHeight w:val="223"/>
        </w:trPr>
        <w:tc>
          <w:tcPr>
            <w:tcW w:w="1170" w:type="dxa"/>
            <w:tcBorders>
              <w:top w:val="single" w:sz="4" w:space="0" w:color="000000"/>
              <w:left w:val="single" w:sz="4" w:space="0" w:color="000000"/>
              <w:bottom w:val="single" w:sz="4" w:space="0" w:color="000000"/>
              <w:right w:val="single" w:sz="4" w:space="0" w:color="000000"/>
            </w:tcBorders>
          </w:tcPr>
          <w:p w14:paraId="79B2525A"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March </w:t>
            </w:r>
          </w:p>
        </w:tc>
        <w:tc>
          <w:tcPr>
            <w:tcW w:w="1710" w:type="dxa"/>
            <w:tcBorders>
              <w:top w:val="single" w:sz="4" w:space="0" w:color="000000"/>
              <w:left w:val="single" w:sz="4" w:space="0" w:color="000000"/>
              <w:bottom w:val="single" w:sz="4" w:space="0" w:color="000000"/>
              <w:right w:val="single" w:sz="4" w:space="0" w:color="000000"/>
            </w:tcBorders>
          </w:tcPr>
          <w:p w14:paraId="490E5283"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5804355"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64A3E241"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7E2BB14D"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D3DC112"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4828E4E8" w14:textId="77777777" w:rsidTr="008A0842">
        <w:trPr>
          <w:trHeight w:val="268"/>
        </w:trPr>
        <w:tc>
          <w:tcPr>
            <w:tcW w:w="1170" w:type="dxa"/>
            <w:tcBorders>
              <w:top w:val="single" w:sz="4" w:space="0" w:color="000000"/>
              <w:left w:val="single" w:sz="4" w:space="0" w:color="000000"/>
              <w:bottom w:val="single" w:sz="4" w:space="0" w:color="000000"/>
              <w:right w:val="single" w:sz="4" w:space="0" w:color="000000"/>
            </w:tcBorders>
          </w:tcPr>
          <w:p w14:paraId="1BADB28A"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April </w:t>
            </w:r>
          </w:p>
        </w:tc>
        <w:tc>
          <w:tcPr>
            <w:tcW w:w="1710" w:type="dxa"/>
            <w:tcBorders>
              <w:top w:val="single" w:sz="4" w:space="0" w:color="000000"/>
              <w:left w:val="single" w:sz="4" w:space="0" w:color="000000"/>
              <w:bottom w:val="single" w:sz="4" w:space="0" w:color="000000"/>
              <w:right w:val="single" w:sz="4" w:space="0" w:color="000000"/>
            </w:tcBorders>
          </w:tcPr>
          <w:p w14:paraId="71A70B9B"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0753158"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AF2D683"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711C1563"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5D6D60D6"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5CBF2838" w14:textId="77777777" w:rsidTr="008A0842">
        <w:trPr>
          <w:trHeight w:val="232"/>
        </w:trPr>
        <w:tc>
          <w:tcPr>
            <w:tcW w:w="1170" w:type="dxa"/>
            <w:tcBorders>
              <w:top w:val="single" w:sz="4" w:space="0" w:color="000000"/>
              <w:left w:val="single" w:sz="4" w:space="0" w:color="000000"/>
              <w:bottom w:val="single" w:sz="4" w:space="0" w:color="000000"/>
              <w:right w:val="single" w:sz="4" w:space="0" w:color="000000"/>
            </w:tcBorders>
          </w:tcPr>
          <w:p w14:paraId="63E27916"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May </w:t>
            </w:r>
          </w:p>
        </w:tc>
        <w:tc>
          <w:tcPr>
            <w:tcW w:w="1710" w:type="dxa"/>
            <w:tcBorders>
              <w:top w:val="single" w:sz="4" w:space="0" w:color="000000"/>
              <w:left w:val="single" w:sz="4" w:space="0" w:color="000000"/>
              <w:bottom w:val="single" w:sz="4" w:space="0" w:color="000000"/>
              <w:right w:val="single" w:sz="4" w:space="0" w:color="000000"/>
            </w:tcBorders>
          </w:tcPr>
          <w:p w14:paraId="024C34E9"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096820C"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6907D110"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6BEC4753"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279264C"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2627FD50" w14:textId="77777777" w:rsidTr="008A0842">
        <w:trPr>
          <w:trHeight w:val="277"/>
        </w:trPr>
        <w:tc>
          <w:tcPr>
            <w:tcW w:w="1170" w:type="dxa"/>
            <w:tcBorders>
              <w:top w:val="single" w:sz="4" w:space="0" w:color="000000"/>
              <w:left w:val="single" w:sz="4" w:space="0" w:color="000000"/>
              <w:bottom w:val="single" w:sz="4" w:space="0" w:color="000000"/>
              <w:right w:val="single" w:sz="4" w:space="0" w:color="000000"/>
            </w:tcBorders>
          </w:tcPr>
          <w:p w14:paraId="2C76DACA"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June </w:t>
            </w:r>
          </w:p>
        </w:tc>
        <w:tc>
          <w:tcPr>
            <w:tcW w:w="1710" w:type="dxa"/>
            <w:tcBorders>
              <w:top w:val="single" w:sz="4" w:space="0" w:color="000000"/>
              <w:left w:val="single" w:sz="4" w:space="0" w:color="000000"/>
              <w:bottom w:val="single" w:sz="4" w:space="0" w:color="000000"/>
              <w:right w:val="single" w:sz="4" w:space="0" w:color="000000"/>
            </w:tcBorders>
          </w:tcPr>
          <w:p w14:paraId="66B4472E"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2D1B9AB6"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70AFA48"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1B305E8C"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29A7D1CA"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3B4F5962" w14:textId="77777777" w:rsidTr="008A0842">
        <w:trPr>
          <w:trHeight w:val="250"/>
        </w:trPr>
        <w:tc>
          <w:tcPr>
            <w:tcW w:w="1170" w:type="dxa"/>
            <w:tcBorders>
              <w:top w:val="single" w:sz="4" w:space="0" w:color="000000"/>
              <w:left w:val="single" w:sz="4" w:space="0" w:color="000000"/>
              <w:bottom w:val="single" w:sz="4" w:space="0" w:color="000000"/>
              <w:right w:val="single" w:sz="4" w:space="0" w:color="000000"/>
            </w:tcBorders>
          </w:tcPr>
          <w:p w14:paraId="672DB21D"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July </w:t>
            </w:r>
          </w:p>
        </w:tc>
        <w:tc>
          <w:tcPr>
            <w:tcW w:w="1710" w:type="dxa"/>
            <w:tcBorders>
              <w:top w:val="single" w:sz="4" w:space="0" w:color="000000"/>
              <w:left w:val="single" w:sz="4" w:space="0" w:color="000000"/>
              <w:bottom w:val="single" w:sz="4" w:space="0" w:color="000000"/>
              <w:right w:val="single" w:sz="4" w:space="0" w:color="000000"/>
            </w:tcBorders>
          </w:tcPr>
          <w:p w14:paraId="5F16EA62"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D2AA85E"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889CDCE"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19A91F65"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8262B14"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6D8B4D04" w14:textId="77777777" w:rsidTr="008A0842">
        <w:trPr>
          <w:trHeight w:val="295"/>
        </w:trPr>
        <w:tc>
          <w:tcPr>
            <w:tcW w:w="1170" w:type="dxa"/>
            <w:tcBorders>
              <w:top w:val="single" w:sz="4" w:space="0" w:color="000000"/>
              <w:left w:val="single" w:sz="4" w:space="0" w:color="000000"/>
              <w:bottom w:val="single" w:sz="4" w:space="0" w:color="000000"/>
              <w:right w:val="single" w:sz="4" w:space="0" w:color="000000"/>
            </w:tcBorders>
          </w:tcPr>
          <w:p w14:paraId="6E24EA80"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August </w:t>
            </w:r>
          </w:p>
        </w:tc>
        <w:tc>
          <w:tcPr>
            <w:tcW w:w="1710" w:type="dxa"/>
            <w:tcBorders>
              <w:top w:val="single" w:sz="4" w:space="0" w:color="000000"/>
              <w:left w:val="single" w:sz="4" w:space="0" w:color="000000"/>
              <w:bottom w:val="single" w:sz="4" w:space="0" w:color="000000"/>
              <w:right w:val="single" w:sz="4" w:space="0" w:color="000000"/>
            </w:tcBorders>
          </w:tcPr>
          <w:p w14:paraId="194531E7"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E983912"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0D22C54"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19FB3C41"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564343C2"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7867917B" w14:textId="77777777" w:rsidTr="008A0842">
        <w:trPr>
          <w:trHeight w:val="250"/>
        </w:trPr>
        <w:tc>
          <w:tcPr>
            <w:tcW w:w="1170" w:type="dxa"/>
            <w:tcBorders>
              <w:top w:val="single" w:sz="4" w:space="0" w:color="000000"/>
              <w:left w:val="single" w:sz="4" w:space="0" w:color="000000"/>
              <w:bottom w:val="single" w:sz="4" w:space="0" w:color="000000"/>
              <w:right w:val="single" w:sz="4" w:space="0" w:color="000000"/>
            </w:tcBorders>
          </w:tcPr>
          <w:p w14:paraId="14168B64"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September </w:t>
            </w:r>
          </w:p>
        </w:tc>
        <w:tc>
          <w:tcPr>
            <w:tcW w:w="1710" w:type="dxa"/>
            <w:tcBorders>
              <w:top w:val="single" w:sz="4" w:space="0" w:color="000000"/>
              <w:left w:val="single" w:sz="4" w:space="0" w:color="000000"/>
              <w:bottom w:val="single" w:sz="4" w:space="0" w:color="000000"/>
              <w:right w:val="single" w:sz="4" w:space="0" w:color="000000"/>
            </w:tcBorders>
          </w:tcPr>
          <w:p w14:paraId="3FEE3566"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0835B21"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A4BC8FF"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086AA779"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7EA76F58"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0D2A4B8C" w14:textId="77777777" w:rsidTr="008A0842">
        <w:trPr>
          <w:trHeight w:val="295"/>
        </w:trPr>
        <w:tc>
          <w:tcPr>
            <w:tcW w:w="1170" w:type="dxa"/>
            <w:tcBorders>
              <w:top w:val="single" w:sz="4" w:space="0" w:color="000000"/>
              <w:left w:val="single" w:sz="4" w:space="0" w:color="000000"/>
              <w:bottom w:val="single" w:sz="4" w:space="0" w:color="000000"/>
              <w:right w:val="single" w:sz="4" w:space="0" w:color="000000"/>
            </w:tcBorders>
          </w:tcPr>
          <w:p w14:paraId="3845081B"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October </w:t>
            </w:r>
          </w:p>
        </w:tc>
        <w:tc>
          <w:tcPr>
            <w:tcW w:w="1710" w:type="dxa"/>
            <w:tcBorders>
              <w:top w:val="single" w:sz="4" w:space="0" w:color="000000"/>
              <w:left w:val="single" w:sz="4" w:space="0" w:color="000000"/>
              <w:bottom w:val="single" w:sz="4" w:space="0" w:color="000000"/>
              <w:right w:val="single" w:sz="4" w:space="0" w:color="000000"/>
            </w:tcBorders>
          </w:tcPr>
          <w:p w14:paraId="4B54C75A"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E70B5D8"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4FCD366"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42469ECF"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2A47523A"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0F08563A" w14:textId="77777777" w:rsidTr="008A0842">
        <w:trPr>
          <w:trHeight w:val="250"/>
        </w:trPr>
        <w:tc>
          <w:tcPr>
            <w:tcW w:w="1170" w:type="dxa"/>
            <w:tcBorders>
              <w:top w:val="single" w:sz="4" w:space="0" w:color="000000"/>
              <w:left w:val="single" w:sz="4" w:space="0" w:color="000000"/>
              <w:bottom w:val="single" w:sz="4" w:space="0" w:color="000000"/>
              <w:right w:val="single" w:sz="4" w:space="0" w:color="000000"/>
            </w:tcBorders>
          </w:tcPr>
          <w:p w14:paraId="2AA0F07C"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November </w:t>
            </w:r>
          </w:p>
        </w:tc>
        <w:tc>
          <w:tcPr>
            <w:tcW w:w="1710" w:type="dxa"/>
            <w:tcBorders>
              <w:top w:val="single" w:sz="4" w:space="0" w:color="000000"/>
              <w:left w:val="single" w:sz="4" w:space="0" w:color="000000"/>
              <w:bottom w:val="single" w:sz="4" w:space="0" w:color="000000"/>
              <w:right w:val="single" w:sz="4" w:space="0" w:color="000000"/>
            </w:tcBorders>
          </w:tcPr>
          <w:p w14:paraId="7B36887B"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761EC2CD"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52436E0"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2959E15B" w14:textId="77777777" w:rsidR="00DA632A" w:rsidRPr="00DA632A" w:rsidRDefault="00DA632A" w:rsidP="008A0842">
            <w:pPr>
              <w:spacing w:line="259" w:lineRule="auto"/>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78271973" w14:textId="77777777" w:rsidR="00DA632A" w:rsidRPr="00DA632A" w:rsidRDefault="00DA632A" w:rsidP="008A0842">
            <w:pPr>
              <w:spacing w:line="259" w:lineRule="auto"/>
              <w:ind w:left="1"/>
              <w:rPr>
                <w:rFonts w:ascii="Times New Roman" w:hAnsi="Times New Roman" w:cs="Times New Roman"/>
                <w:sz w:val="16"/>
                <w:szCs w:val="16"/>
              </w:rPr>
            </w:pPr>
            <w:r w:rsidRPr="00DA632A">
              <w:rPr>
                <w:rFonts w:ascii="Times New Roman" w:eastAsia="Arial" w:hAnsi="Times New Roman" w:cs="Times New Roman"/>
                <w:sz w:val="16"/>
                <w:szCs w:val="16"/>
              </w:rPr>
              <w:t xml:space="preserve"> </w:t>
            </w:r>
          </w:p>
        </w:tc>
      </w:tr>
      <w:tr w:rsidR="00DA632A" w:rsidRPr="00DA632A" w14:paraId="350723B3" w14:textId="77777777" w:rsidTr="008A0842">
        <w:trPr>
          <w:trHeight w:val="313"/>
        </w:trPr>
        <w:tc>
          <w:tcPr>
            <w:tcW w:w="1170" w:type="dxa"/>
            <w:tcBorders>
              <w:top w:val="single" w:sz="4" w:space="0" w:color="000000"/>
              <w:left w:val="single" w:sz="4" w:space="0" w:color="000000"/>
              <w:bottom w:val="single" w:sz="4" w:space="0" w:color="000000"/>
              <w:right w:val="single" w:sz="4" w:space="0" w:color="000000"/>
            </w:tcBorders>
          </w:tcPr>
          <w:p w14:paraId="4DE0B5E1" w14:textId="77777777" w:rsidR="00DA632A" w:rsidRPr="00DA632A" w:rsidRDefault="00DA632A" w:rsidP="008A0842">
            <w:pPr>
              <w:spacing w:line="259" w:lineRule="auto"/>
              <w:rPr>
                <w:rFonts w:ascii="Times New Roman" w:eastAsia="Arial" w:hAnsi="Times New Roman" w:cs="Times New Roman"/>
                <w:sz w:val="16"/>
                <w:szCs w:val="16"/>
              </w:rPr>
            </w:pPr>
            <w:r w:rsidRPr="00DA632A">
              <w:rPr>
                <w:rFonts w:ascii="Times New Roman" w:eastAsia="Arial" w:hAnsi="Times New Roman" w:cs="Times New Roman"/>
                <w:sz w:val="16"/>
                <w:szCs w:val="16"/>
              </w:rPr>
              <w:t>December</w:t>
            </w:r>
          </w:p>
        </w:tc>
        <w:tc>
          <w:tcPr>
            <w:tcW w:w="1710" w:type="dxa"/>
            <w:tcBorders>
              <w:top w:val="single" w:sz="4" w:space="0" w:color="000000"/>
              <w:left w:val="single" w:sz="4" w:space="0" w:color="000000"/>
              <w:bottom w:val="single" w:sz="4" w:space="0" w:color="000000"/>
              <w:right w:val="single" w:sz="4" w:space="0" w:color="000000"/>
            </w:tcBorders>
          </w:tcPr>
          <w:p w14:paraId="40AE452A" w14:textId="77777777" w:rsidR="00DA632A" w:rsidRPr="00DA632A" w:rsidRDefault="00DA632A" w:rsidP="008A0842">
            <w:pPr>
              <w:spacing w:line="259" w:lineRule="auto"/>
              <w:rPr>
                <w:rFonts w:ascii="Times New Roman" w:eastAsia="Arial"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8A04095" w14:textId="77777777" w:rsidR="00DA632A" w:rsidRPr="00DA632A" w:rsidRDefault="00DA632A" w:rsidP="008A0842">
            <w:pPr>
              <w:spacing w:line="259" w:lineRule="auto"/>
              <w:rPr>
                <w:rFonts w:ascii="Times New Roman" w:eastAsia="Arial"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36DA9CA6" w14:textId="77777777" w:rsidR="00DA632A" w:rsidRPr="00DA632A" w:rsidRDefault="00DA632A" w:rsidP="008A0842">
            <w:pPr>
              <w:spacing w:line="259" w:lineRule="auto"/>
              <w:rPr>
                <w:rFonts w:ascii="Times New Roman" w:eastAsia="Arial" w:hAnsi="Times New Roman" w:cs="Times New Roman"/>
                <w:sz w:val="16"/>
                <w:szCs w:val="16"/>
              </w:rPr>
            </w:pPr>
          </w:p>
        </w:tc>
        <w:tc>
          <w:tcPr>
            <w:tcW w:w="1748" w:type="dxa"/>
            <w:tcBorders>
              <w:top w:val="single" w:sz="4" w:space="0" w:color="000000"/>
              <w:left w:val="single" w:sz="4" w:space="0" w:color="000000"/>
              <w:bottom w:val="single" w:sz="4" w:space="0" w:color="000000"/>
              <w:right w:val="single" w:sz="4" w:space="0" w:color="000000"/>
            </w:tcBorders>
          </w:tcPr>
          <w:p w14:paraId="7BB86458" w14:textId="77777777" w:rsidR="00DA632A" w:rsidRPr="00DA632A" w:rsidRDefault="00DA632A" w:rsidP="008A0842">
            <w:pPr>
              <w:spacing w:line="259" w:lineRule="auto"/>
              <w:rPr>
                <w:rFonts w:ascii="Times New Roman" w:eastAsia="Arial" w:hAnsi="Times New Roman" w:cs="Times New Roman"/>
                <w:sz w:val="16"/>
                <w:szCs w:val="16"/>
              </w:rPr>
            </w:pPr>
          </w:p>
        </w:tc>
        <w:tc>
          <w:tcPr>
            <w:tcW w:w="1762" w:type="dxa"/>
            <w:tcBorders>
              <w:top w:val="single" w:sz="4" w:space="0" w:color="000000"/>
              <w:left w:val="single" w:sz="4" w:space="0" w:color="000000"/>
              <w:bottom w:val="single" w:sz="4" w:space="0" w:color="000000"/>
              <w:right w:val="single" w:sz="4" w:space="0" w:color="000000"/>
            </w:tcBorders>
          </w:tcPr>
          <w:p w14:paraId="6BEE6E37" w14:textId="77777777" w:rsidR="00DA632A" w:rsidRPr="00DA632A" w:rsidRDefault="00DA632A" w:rsidP="008A0842">
            <w:pPr>
              <w:spacing w:line="259" w:lineRule="auto"/>
              <w:ind w:left="1"/>
              <w:rPr>
                <w:rFonts w:ascii="Times New Roman" w:eastAsia="Arial" w:hAnsi="Times New Roman" w:cs="Times New Roman"/>
                <w:sz w:val="16"/>
                <w:szCs w:val="16"/>
              </w:rPr>
            </w:pPr>
          </w:p>
        </w:tc>
      </w:tr>
    </w:tbl>
    <w:p w14:paraId="50C581C3" w14:textId="77777777" w:rsidR="00DA632A" w:rsidRDefault="00DA632A" w:rsidP="00196CE0"/>
    <w:p w14:paraId="022A43C4" w14:textId="29FAAB4C" w:rsidR="00ED4882" w:rsidRPr="005B34D1" w:rsidRDefault="00927D41" w:rsidP="00851902">
      <w:pPr>
        <w:pStyle w:val="Heading2"/>
        <w:keepNext w:val="0"/>
        <w:jc w:val="both"/>
      </w:pPr>
      <w:bookmarkStart w:id="17" w:name="_Toc102126569"/>
      <w:r w:rsidRPr="005B34D1">
        <w:t xml:space="preserve">Appendix C: </w:t>
      </w:r>
      <w:r w:rsidR="002143B4" w:rsidRPr="005B34D1">
        <w:t xml:space="preserve">Approved </w:t>
      </w:r>
      <w:r w:rsidRPr="005B34D1">
        <w:t xml:space="preserve">Self-Contained </w:t>
      </w:r>
      <w:r w:rsidR="005F68EE" w:rsidRPr="005B34D1">
        <w:t xml:space="preserve">and </w:t>
      </w:r>
      <w:r w:rsidR="00310CAA" w:rsidRPr="005B34D1">
        <w:t>Supplemental E</w:t>
      </w:r>
      <w:r w:rsidRPr="005B34D1">
        <w:t>quipment List</w:t>
      </w:r>
      <w:bookmarkEnd w:id="17"/>
    </w:p>
    <w:p w14:paraId="24398381" w14:textId="77777777" w:rsidR="00DA632A" w:rsidRPr="00DA632A" w:rsidRDefault="00DA632A" w:rsidP="00DA632A"/>
    <w:p w14:paraId="33309603" w14:textId="23C799C6" w:rsidR="000E3B10" w:rsidRPr="006767F0" w:rsidRDefault="000E3B10" w:rsidP="000E3B10">
      <w:pPr>
        <w:jc w:val="center"/>
        <w:rPr>
          <w:b/>
          <w:bCs/>
          <w:sz w:val="20"/>
          <w:szCs w:val="20"/>
          <w:u w:val="single"/>
        </w:rPr>
      </w:pPr>
      <w:r w:rsidRPr="006767F0">
        <w:rPr>
          <w:b/>
          <w:bCs/>
          <w:sz w:val="20"/>
          <w:szCs w:val="20"/>
          <w:u w:val="single"/>
        </w:rPr>
        <w:t xml:space="preserve">Appendix C: Self-Contained and </w:t>
      </w:r>
      <w:r w:rsidR="00310CAA" w:rsidRPr="006767F0">
        <w:rPr>
          <w:b/>
          <w:bCs/>
          <w:sz w:val="20"/>
          <w:szCs w:val="20"/>
          <w:u w:val="single"/>
        </w:rPr>
        <w:t xml:space="preserve">Supplemental Equipment </w:t>
      </w:r>
      <w:r w:rsidRPr="006767F0">
        <w:rPr>
          <w:b/>
          <w:bCs/>
          <w:sz w:val="20"/>
          <w:szCs w:val="20"/>
          <w:u w:val="single"/>
        </w:rPr>
        <w:t>List</w:t>
      </w:r>
    </w:p>
    <w:p w14:paraId="69F7AF47" w14:textId="77777777" w:rsidR="000E3B10" w:rsidRPr="000E3B10" w:rsidRDefault="000E3B10" w:rsidP="000E3B10">
      <w:pPr>
        <w:jc w:val="center"/>
        <w:rPr>
          <w:sz w:val="20"/>
          <w:szCs w:val="20"/>
          <w:u w:val="single"/>
        </w:rPr>
      </w:pPr>
    </w:p>
    <w:tbl>
      <w:tblPr>
        <w:tblStyle w:val="TableGrid"/>
        <w:tblW w:w="9306" w:type="dxa"/>
        <w:tblLook w:val="04A0" w:firstRow="1" w:lastRow="0" w:firstColumn="1" w:lastColumn="0" w:noHBand="0" w:noVBand="1"/>
      </w:tblPr>
      <w:tblGrid>
        <w:gridCol w:w="1615"/>
        <w:gridCol w:w="2340"/>
        <w:gridCol w:w="1350"/>
        <w:gridCol w:w="4001"/>
      </w:tblGrid>
      <w:tr w:rsidR="000E3B10" w:rsidRPr="002A751D" w14:paraId="71272ADC" w14:textId="77777777" w:rsidTr="000E3B10">
        <w:trPr>
          <w:trHeight w:val="429"/>
        </w:trPr>
        <w:tc>
          <w:tcPr>
            <w:tcW w:w="1615" w:type="dxa"/>
            <w:vAlign w:val="center"/>
          </w:tcPr>
          <w:p w14:paraId="5E0C2DDA" w14:textId="3861AA28" w:rsidR="000E3B10" w:rsidRPr="002A751D" w:rsidRDefault="000E3B10" w:rsidP="000E3B10">
            <w:pPr>
              <w:jc w:val="center"/>
              <w:rPr>
                <w:sz w:val="18"/>
                <w:szCs w:val="18"/>
              </w:rPr>
            </w:pPr>
            <w:r w:rsidRPr="002A751D">
              <w:rPr>
                <w:sz w:val="18"/>
                <w:szCs w:val="18"/>
              </w:rPr>
              <w:t>Product</w:t>
            </w:r>
          </w:p>
        </w:tc>
        <w:tc>
          <w:tcPr>
            <w:tcW w:w="2340" w:type="dxa"/>
            <w:vAlign w:val="center"/>
          </w:tcPr>
          <w:p w14:paraId="1447F617" w14:textId="77777777" w:rsidR="000E3B10" w:rsidRPr="002A751D" w:rsidRDefault="000E3B10" w:rsidP="000E3B10">
            <w:pPr>
              <w:jc w:val="center"/>
              <w:rPr>
                <w:sz w:val="18"/>
                <w:szCs w:val="18"/>
              </w:rPr>
            </w:pPr>
            <w:r w:rsidRPr="002A751D">
              <w:rPr>
                <w:sz w:val="18"/>
                <w:szCs w:val="18"/>
              </w:rPr>
              <w:t>Manufacturer Information &amp; Model Number</w:t>
            </w:r>
          </w:p>
        </w:tc>
        <w:tc>
          <w:tcPr>
            <w:tcW w:w="1350" w:type="dxa"/>
            <w:vAlign w:val="center"/>
          </w:tcPr>
          <w:p w14:paraId="27B8876E" w14:textId="77777777" w:rsidR="000E3B10" w:rsidRPr="002A751D" w:rsidRDefault="000E3B10" w:rsidP="000E3B10">
            <w:pPr>
              <w:jc w:val="center"/>
              <w:rPr>
                <w:sz w:val="18"/>
                <w:szCs w:val="18"/>
              </w:rPr>
            </w:pPr>
            <w:r w:rsidRPr="002A751D">
              <w:rPr>
                <w:sz w:val="18"/>
                <w:szCs w:val="18"/>
              </w:rPr>
              <w:t>Stockroom Number</w:t>
            </w:r>
          </w:p>
        </w:tc>
        <w:tc>
          <w:tcPr>
            <w:tcW w:w="4001" w:type="dxa"/>
            <w:vAlign w:val="center"/>
          </w:tcPr>
          <w:p w14:paraId="6D304DD7" w14:textId="77777777" w:rsidR="000E3B10" w:rsidRPr="002A751D" w:rsidRDefault="000E3B10" w:rsidP="000E3B10">
            <w:pPr>
              <w:jc w:val="center"/>
              <w:rPr>
                <w:sz w:val="18"/>
                <w:szCs w:val="18"/>
              </w:rPr>
            </w:pPr>
            <w:r w:rsidRPr="002A751D">
              <w:rPr>
                <w:sz w:val="18"/>
                <w:szCs w:val="18"/>
              </w:rPr>
              <w:t>Example</w:t>
            </w:r>
          </w:p>
        </w:tc>
      </w:tr>
      <w:tr w:rsidR="000E3B10" w:rsidRPr="00CF5A42" w14:paraId="18D095F5" w14:textId="77777777" w:rsidTr="000E3B10">
        <w:trPr>
          <w:trHeight w:val="214"/>
        </w:trPr>
        <w:tc>
          <w:tcPr>
            <w:tcW w:w="1615" w:type="dxa"/>
            <w:vAlign w:val="center"/>
          </w:tcPr>
          <w:p w14:paraId="06A44092" w14:textId="77777777" w:rsidR="000E3B10" w:rsidRPr="00CF5A42" w:rsidRDefault="000E3B10" w:rsidP="000E3B10">
            <w:pPr>
              <w:jc w:val="center"/>
              <w:rPr>
                <w:sz w:val="18"/>
                <w:szCs w:val="18"/>
              </w:rPr>
            </w:pPr>
            <w:r w:rsidRPr="00CF5A42">
              <w:rPr>
                <w:sz w:val="18"/>
                <w:szCs w:val="18"/>
              </w:rPr>
              <w:t>Self-contained Emergency Eyewash Station</w:t>
            </w:r>
          </w:p>
        </w:tc>
        <w:tc>
          <w:tcPr>
            <w:tcW w:w="2340" w:type="dxa"/>
            <w:vAlign w:val="center"/>
          </w:tcPr>
          <w:p w14:paraId="664DE43F" w14:textId="77777777" w:rsidR="000E3B10" w:rsidRPr="00CF5A42" w:rsidRDefault="000E3B10" w:rsidP="000E3B10">
            <w:pPr>
              <w:jc w:val="center"/>
              <w:rPr>
                <w:sz w:val="18"/>
                <w:szCs w:val="18"/>
              </w:rPr>
            </w:pPr>
            <w:r w:rsidRPr="00CF5A42">
              <w:rPr>
                <w:sz w:val="18"/>
                <w:szCs w:val="18"/>
              </w:rPr>
              <w:t xml:space="preserve">Honeywell </w:t>
            </w:r>
            <w:proofErr w:type="spellStart"/>
            <w:r w:rsidRPr="00CF5A42">
              <w:rPr>
                <w:sz w:val="18"/>
                <w:szCs w:val="18"/>
              </w:rPr>
              <w:t>Fendall</w:t>
            </w:r>
            <w:proofErr w:type="spellEnd"/>
            <w:r w:rsidRPr="00CF5A42">
              <w:rPr>
                <w:sz w:val="18"/>
                <w:szCs w:val="18"/>
              </w:rPr>
              <w:t xml:space="preserve"> Pure Flow 1000</w:t>
            </w:r>
          </w:p>
          <w:p w14:paraId="553A4277" w14:textId="15C9A3E4" w:rsidR="000E3B10" w:rsidRPr="00CF5A42" w:rsidRDefault="000E3B10" w:rsidP="000E3B10">
            <w:pPr>
              <w:jc w:val="center"/>
              <w:rPr>
                <w:sz w:val="18"/>
                <w:szCs w:val="18"/>
              </w:rPr>
            </w:pPr>
            <w:r w:rsidRPr="00CF5A42">
              <w:rPr>
                <w:sz w:val="18"/>
                <w:szCs w:val="18"/>
              </w:rPr>
              <w:t>32-001000-0000</w:t>
            </w:r>
          </w:p>
        </w:tc>
        <w:tc>
          <w:tcPr>
            <w:tcW w:w="1350" w:type="dxa"/>
            <w:vAlign w:val="center"/>
          </w:tcPr>
          <w:p w14:paraId="3714B98E" w14:textId="34635AC6" w:rsidR="000E3B10" w:rsidRPr="00CF5A42" w:rsidRDefault="00591A10" w:rsidP="000E3B10">
            <w:pPr>
              <w:jc w:val="center"/>
              <w:rPr>
                <w:sz w:val="18"/>
                <w:szCs w:val="18"/>
              </w:rPr>
            </w:pPr>
            <w:r w:rsidRPr="00CF5A42">
              <w:rPr>
                <w:sz w:val="18"/>
                <w:szCs w:val="18"/>
              </w:rPr>
              <w:t>N/A</w:t>
            </w:r>
          </w:p>
        </w:tc>
        <w:tc>
          <w:tcPr>
            <w:tcW w:w="4001" w:type="dxa"/>
            <w:vAlign w:val="center"/>
          </w:tcPr>
          <w:p w14:paraId="132C9885" w14:textId="77777777" w:rsidR="00CF5A42" w:rsidRPr="00FE028A" w:rsidRDefault="00CF5A42" w:rsidP="000E3B10">
            <w:pPr>
              <w:jc w:val="center"/>
              <w:rPr>
                <w:sz w:val="12"/>
                <w:szCs w:val="12"/>
                <w:u w:val="single"/>
              </w:rPr>
            </w:pPr>
          </w:p>
          <w:p w14:paraId="7A84EF6C" w14:textId="77777777" w:rsidR="000E3B10" w:rsidRPr="002A751D" w:rsidRDefault="000E3B10" w:rsidP="000E3B10">
            <w:pPr>
              <w:jc w:val="center"/>
              <w:rPr>
                <w:sz w:val="16"/>
                <w:szCs w:val="16"/>
                <w:u w:val="single"/>
              </w:rPr>
            </w:pPr>
            <w:r w:rsidRPr="00CF5A42">
              <w:rPr>
                <w:noProof/>
                <w:sz w:val="18"/>
                <w:szCs w:val="18"/>
              </w:rPr>
              <w:drawing>
                <wp:inline distT="0" distB="0" distL="0" distR="0" wp14:anchorId="364FE0EB" wp14:editId="11F79637">
                  <wp:extent cx="718992" cy="793115"/>
                  <wp:effectExtent l="0" t="0" r="508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47389" cy="824439"/>
                          </a:xfrm>
                          <a:prstGeom prst="rect">
                            <a:avLst/>
                          </a:prstGeom>
                        </pic:spPr>
                      </pic:pic>
                    </a:graphicData>
                  </a:graphic>
                </wp:inline>
              </w:drawing>
            </w:r>
          </w:p>
          <w:p w14:paraId="311F4CC3" w14:textId="1DCA7205" w:rsidR="004547A2" w:rsidRPr="00CF5A42" w:rsidRDefault="004547A2" w:rsidP="000E3B10">
            <w:pPr>
              <w:jc w:val="center"/>
              <w:rPr>
                <w:sz w:val="18"/>
                <w:szCs w:val="18"/>
                <w:u w:val="single"/>
              </w:rPr>
            </w:pPr>
          </w:p>
        </w:tc>
      </w:tr>
      <w:tr w:rsidR="000E3B10" w:rsidRPr="00CF5A42" w14:paraId="4259EB76" w14:textId="77777777" w:rsidTr="000E3B10">
        <w:trPr>
          <w:trHeight w:val="214"/>
        </w:trPr>
        <w:tc>
          <w:tcPr>
            <w:tcW w:w="1615" w:type="dxa"/>
            <w:vAlign w:val="center"/>
          </w:tcPr>
          <w:p w14:paraId="15158590" w14:textId="77777777" w:rsidR="000E3B10" w:rsidRPr="00CF5A42" w:rsidRDefault="000E3B10" w:rsidP="000E3B10">
            <w:pPr>
              <w:jc w:val="center"/>
              <w:rPr>
                <w:sz w:val="18"/>
                <w:szCs w:val="18"/>
              </w:rPr>
            </w:pPr>
            <w:r w:rsidRPr="00CF5A42">
              <w:rPr>
                <w:sz w:val="18"/>
                <w:szCs w:val="18"/>
              </w:rPr>
              <w:t>Replacement Eye Wash Cartridges for Self-contained Emergency Eyewash Station</w:t>
            </w:r>
          </w:p>
        </w:tc>
        <w:tc>
          <w:tcPr>
            <w:tcW w:w="2340" w:type="dxa"/>
            <w:vAlign w:val="center"/>
          </w:tcPr>
          <w:p w14:paraId="75B1A992" w14:textId="73A10FC2" w:rsidR="000E3B10" w:rsidRPr="00CF5A42" w:rsidRDefault="000E3B10" w:rsidP="000E3B10">
            <w:pPr>
              <w:jc w:val="center"/>
              <w:rPr>
                <w:sz w:val="18"/>
                <w:szCs w:val="18"/>
              </w:rPr>
            </w:pPr>
            <w:r w:rsidRPr="00CF5A42">
              <w:rPr>
                <w:sz w:val="18"/>
                <w:szCs w:val="18"/>
              </w:rPr>
              <w:t xml:space="preserve">Honeywell </w:t>
            </w:r>
            <w:proofErr w:type="spellStart"/>
            <w:r w:rsidRPr="00CF5A42">
              <w:rPr>
                <w:sz w:val="18"/>
                <w:szCs w:val="18"/>
              </w:rPr>
              <w:t>Fendall</w:t>
            </w:r>
            <w:proofErr w:type="spellEnd"/>
            <w:r w:rsidRPr="00CF5A42">
              <w:rPr>
                <w:sz w:val="18"/>
                <w:szCs w:val="18"/>
              </w:rPr>
              <w:t xml:space="preserve"> Pure Flow 1000 Eye Saline Cartridges</w:t>
            </w:r>
          </w:p>
          <w:p w14:paraId="3BC33216" w14:textId="77777777" w:rsidR="000E3B10" w:rsidRPr="00CF5A42" w:rsidRDefault="000E3B10" w:rsidP="000E3B10">
            <w:pPr>
              <w:jc w:val="center"/>
              <w:rPr>
                <w:sz w:val="18"/>
                <w:szCs w:val="18"/>
                <w:u w:val="single"/>
              </w:rPr>
            </w:pPr>
            <w:r w:rsidRPr="00CF5A42">
              <w:rPr>
                <w:sz w:val="18"/>
                <w:szCs w:val="18"/>
              </w:rPr>
              <w:t>32-001050-0000-H5</w:t>
            </w:r>
          </w:p>
        </w:tc>
        <w:tc>
          <w:tcPr>
            <w:tcW w:w="1350" w:type="dxa"/>
            <w:vAlign w:val="center"/>
          </w:tcPr>
          <w:p w14:paraId="4A654D22" w14:textId="524AD6C7" w:rsidR="000E3B10" w:rsidRPr="00CF5A42" w:rsidRDefault="00591A10" w:rsidP="000E3B10">
            <w:pPr>
              <w:jc w:val="center"/>
              <w:rPr>
                <w:sz w:val="18"/>
                <w:szCs w:val="18"/>
              </w:rPr>
            </w:pPr>
            <w:r w:rsidRPr="00CF5A42">
              <w:rPr>
                <w:sz w:val="18"/>
                <w:szCs w:val="18"/>
              </w:rPr>
              <w:t>N/A</w:t>
            </w:r>
          </w:p>
        </w:tc>
        <w:tc>
          <w:tcPr>
            <w:tcW w:w="4001" w:type="dxa"/>
            <w:vAlign w:val="center"/>
          </w:tcPr>
          <w:p w14:paraId="7EC6962F" w14:textId="77777777" w:rsidR="00FE028A" w:rsidRPr="00FE028A" w:rsidRDefault="00FE028A" w:rsidP="000E3B10">
            <w:pPr>
              <w:jc w:val="center"/>
              <w:rPr>
                <w:sz w:val="12"/>
                <w:szCs w:val="12"/>
                <w:u w:val="single"/>
              </w:rPr>
            </w:pPr>
          </w:p>
          <w:p w14:paraId="2B4CF4B5" w14:textId="1DEF4213" w:rsidR="000E3B10" w:rsidRPr="00CF5A42" w:rsidRDefault="000E3B10" w:rsidP="000E3B10">
            <w:pPr>
              <w:jc w:val="center"/>
              <w:rPr>
                <w:sz w:val="16"/>
                <w:szCs w:val="16"/>
                <w:u w:val="single"/>
              </w:rPr>
            </w:pPr>
            <w:r w:rsidRPr="00CF5A42">
              <w:rPr>
                <w:noProof/>
                <w:sz w:val="18"/>
                <w:szCs w:val="18"/>
              </w:rPr>
              <w:drawing>
                <wp:inline distT="0" distB="0" distL="0" distR="0" wp14:anchorId="58A13363" wp14:editId="66086E00">
                  <wp:extent cx="881380" cy="52406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06036" cy="538724"/>
                          </a:xfrm>
                          <a:prstGeom prst="rect">
                            <a:avLst/>
                          </a:prstGeom>
                        </pic:spPr>
                      </pic:pic>
                    </a:graphicData>
                  </a:graphic>
                </wp:inline>
              </w:drawing>
            </w:r>
          </w:p>
          <w:p w14:paraId="45555D3A" w14:textId="77777777" w:rsidR="000E3B10" w:rsidRDefault="000E3B10" w:rsidP="000E3B10">
            <w:pPr>
              <w:jc w:val="center"/>
              <w:rPr>
                <w:sz w:val="18"/>
                <w:szCs w:val="18"/>
              </w:rPr>
            </w:pPr>
            <w:r w:rsidRPr="00CF5A42">
              <w:rPr>
                <w:sz w:val="18"/>
                <w:szCs w:val="18"/>
              </w:rPr>
              <w:t xml:space="preserve">(2-year </w:t>
            </w:r>
            <w:r w:rsidR="00F21535" w:rsidRPr="00CF5A42">
              <w:rPr>
                <w:sz w:val="18"/>
                <w:szCs w:val="18"/>
              </w:rPr>
              <w:t>s</w:t>
            </w:r>
            <w:r w:rsidRPr="00CF5A42">
              <w:rPr>
                <w:sz w:val="18"/>
                <w:szCs w:val="18"/>
              </w:rPr>
              <w:t xml:space="preserve">helf </w:t>
            </w:r>
            <w:r w:rsidR="00F21535" w:rsidRPr="00CF5A42">
              <w:rPr>
                <w:sz w:val="18"/>
                <w:szCs w:val="18"/>
              </w:rPr>
              <w:t>l</w:t>
            </w:r>
            <w:r w:rsidRPr="00CF5A42">
              <w:rPr>
                <w:sz w:val="18"/>
                <w:szCs w:val="18"/>
              </w:rPr>
              <w:t>ife)</w:t>
            </w:r>
          </w:p>
          <w:p w14:paraId="4254980C" w14:textId="158C6041" w:rsidR="000E1BB1" w:rsidRPr="00CF5A42" w:rsidRDefault="000E1BB1" w:rsidP="000E3B10">
            <w:pPr>
              <w:jc w:val="center"/>
              <w:rPr>
                <w:sz w:val="18"/>
                <w:szCs w:val="18"/>
              </w:rPr>
            </w:pPr>
          </w:p>
        </w:tc>
      </w:tr>
      <w:tr w:rsidR="000E3B10" w:rsidRPr="00CF5A42" w14:paraId="58FB0690" w14:textId="77777777" w:rsidTr="000E3B10">
        <w:trPr>
          <w:trHeight w:val="429"/>
        </w:trPr>
        <w:tc>
          <w:tcPr>
            <w:tcW w:w="1615" w:type="dxa"/>
            <w:vAlign w:val="center"/>
          </w:tcPr>
          <w:p w14:paraId="0EAAE550" w14:textId="77777777" w:rsidR="000E3B10" w:rsidRPr="00CF5A42" w:rsidRDefault="000E3B10" w:rsidP="000E3B10">
            <w:pPr>
              <w:jc w:val="center"/>
              <w:rPr>
                <w:sz w:val="18"/>
                <w:szCs w:val="18"/>
              </w:rPr>
            </w:pPr>
            <w:r w:rsidRPr="00CF5A42">
              <w:rPr>
                <w:sz w:val="18"/>
                <w:szCs w:val="18"/>
              </w:rPr>
              <w:t>Self-contained Emergency Eyewash Station</w:t>
            </w:r>
          </w:p>
        </w:tc>
        <w:tc>
          <w:tcPr>
            <w:tcW w:w="2340" w:type="dxa"/>
            <w:vAlign w:val="center"/>
          </w:tcPr>
          <w:p w14:paraId="4D2BE090" w14:textId="77777777" w:rsidR="000E3B10" w:rsidRPr="00CF5A42" w:rsidRDefault="000E3B10" w:rsidP="000E3B10">
            <w:pPr>
              <w:jc w:val="center"/>
              <w:rPr>
                <w:sz w:val="18"/>
                <w:szCs w:val="18"/>
              </w:rPr>
            </w:pPr>
            <w:r w:rsidRPr="00CF5A42">
              <w:rPr>
                <w:sz w:val="18"/>
                <w:szCs w:val="18"/>
              </w:rPr>
              <w:t xml:space="preserve">Honeywell </w:t>
            </w:r>
            <w:proofErr w:type="spellStart"/>
            <w:r w:rsidRPr="00CF5A42">
              <w:rPr>
                <w:sz w:val="18"/>
                <w:szCs w:val="18"/>
              </w:rPr>
              <w:t>Fendall</w:t>
            </w:r>
            <w:proofErr w:type="spellEnd"/>
            <w:r w:rsidRPr="00CF5A42">
              <w:rPr>
                <w:sz w:val="18"/>
                <w:szCs w:val="18"/>
              </w:rPr>
              <w:t xml:space="preserve"> Pure Flow 2000</w:t>
            </w:r>
          </w:p>
          <w:p w14:paraId="2752DE7D" w14:textId="77777777" w:rsidR="000E3B10" w:rsidRPr="00CF5A42" w:rsidRDefault="000E3B10" w:rsidP="000E3B10">
            <w:pPr>
              <w:jc w:val="center"/>
              <w:rPr>
                <w:sz w:val="18"/>
                <w:szCs w:val="18"/>
              </w:rPr>
            </w:pPr>
            <w:r w:rsidRPr="00CF5A42">
              <w:rPr>
                <w:sz w:val="18"/>
                <w:szCs w:val="18"/>
              </w:rPr>
              <w:t>32-002000-0000</w:t>
            </w:r>
          </w:p>
        </w:tc>
        <w:tc>
          <w:tcPr>
            <w:tcW w:w="1350" w:type="dxa"/>
            <w:vAlign w:val="center"/>
          </w:tcPr>
          <w:p w14:paraId="312E23A6" w14:textId="42B00606" w:rsidR="000E3B10" w:rsidRPr="00CF5A42" w:rsidRDefault="00591A10" w:rsidP="000E3B10">
            <w:pPr>
              <w:jc w:val="center"/>
              <w:rPr>
                <w:sz w:val="18"/>
                <w:szCs w:val="18"/>
              </w:rPr>
            </w:pPr>
            <w:r w:rsidRPr="00CF5A42">
              <w:rPr>
                <w:sz w:val="18"/>
                <w:szCs w:val="18"/>
              </w:rPr>
              <w:t>N/A</w:t>
            </w:r>
          </w:p>
        </w:tc>
        <w:tc>
          <w:tcPr>
            <w:tcW w:w="4001" w:type="dxa"/>
            <w:vAlign w:val="center"/>
          </w:tcPr>
          <w:p w14:paraId="39CFA783" w14:textId="77777777" w:rsidR="00CF5A42" w:rsidRPr="00FE028A" w:rsidRDefault="00CF5A42" w:rsidP="000E3B10">
            <w:pPr>
              <w:jc w:val="center"/>
              <w:rPr>
                <w:noProof/>
                <w:sz w:val="12"/>
                <w:szCs w:val="12"/>
              </w:rPr>
            </w:pPr>
          </w:p>
          <w:p w14:paraId="521A60A9" w14:textId="789651DE" w:rsidR="000E3B10" w:rsidRPr="00CF5A42" w:rsidRDefault="000E3B10" w:rsidP="000E3B10">
            <w:pPr>
              <w:jc w:val="center"/>
              <w:rPr>
                <w:noProof/>
                <w:sz w:val="18"/>
                <w:szCs w:val="18"/>
              </w:rPr>
            </w:pPr>
            <w:r w:rsidRPr="00CF5A42">
              <w:rPr>
                <w:noProof/>
                <w:sz w:val="18"/>
                <w:szCs w:val="18"/>
              </w:rPr>
              <w:drawing>
                <wp:inline distT="0" distB="0" distL="0" distR="0" wp14:anchorId="37552409" wp14:editId="6E55BA3A">
                  <wp:extent cx="511270" cy="76454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1760" cy="795180"/>
                          </a:xfrm>
                          <a:prstGeom prst="rect">
                            <a:avLst/>
                          </a:prstGeom>
                        </pic:spPr>
                      </pic:pic>
                    </a:graphicData>
                  </a:graphic>
                </wp:inline>
              </w:drawing>
            </w:r>
          </w:p>
        </w:tc>
      </w:tr>
      <w:tr w:rsidR="000E3B10" w:rsidRPr="00CF5A42" w14:paraId="412AA92C" w14:textId="77777777" w:rsidTr="000E3B10">
        <w:trPr>
          <w:trHeight w:val="429"/>
        </w:trPr>
        <w:tc>
          <w:tcPr>
            <w:tcW w:w="1615" w:type="dxa"/>
            <w:vAlign w:val="center"/>
          </w:tcPr>
          <w:p w14:paraId="3137B3FB" w14:textId="77777777" w:rsidR="000E3B10" w:rsidRPr="00CF5A42" w:rsidRDefault="000E3B10" w:rsidP="000E3B10">
            <w:pPr>
              <w:jc w:val="center"/>
              <w:rPr>
                <w:sz w:val="18"/>
                <w:szCs w:val="18"/>
              </w:rPr>
            </w:pPr>
            <w:r w:rsidRPr="00CF5A42">
              <w:rPr>
                <w:sz w:val="18"/>
                <w:szCs w:val="18"/>
              </w:rPr>
              <w:t>Replacement Eye Wash Cartridges for Self-contained Emergency Eyewash Station</w:t>
            </w:r>
          </w:p>
        </w:tc>
        <w:tc>
          <w:tcPr>
            <w:tcW w:w="2340" w:type="dxa"/>
            <w:vAlign w:val="center"/>
          </w:tcPr>
          <w:p w14:paraId="41006CB7" w14:textId="77777777" w:rsidR="000E3B10" w:rsidRPr="00CF5A42" w:rsidRDefault="000E3B10" w:rsidP="000E3B10">
            <w:pPr>
              <w:jc w:val="center"/>
              <w:rPr>
                <w:sz w:val="18"/>
                <w:szCs w:val="18"/>
              </w:rPr>
            </w:pPr>
            <w:r w:rsidRPr="00CF5A42">
              <w:rPr>
                <w:sz w:val="18"/>
                <w:szCs w:val="18"/>
              </w:rPr>
              <w:t xml:space="preserve">Honeywell </w:t>
            </w:r>
            <w:proofErr w:type="spellStart"/>
            <w:r w:rsidRPr="00CF5A42">
              <w:rPr>
                <w:sz w:val="18"/>
                <w:szCs w:val="18"/>
              </w:rPr>
              <w:t>Fendall</w:t>
            </w:r>
            <w:proofErr w:type="spellEnd"/>
            <w:r w:rsidRPr="00CF5A42">
              <w:rPr>
                <w:sz w:val="18"/>
                <w:szCs w:val="18"/>
              </w:rPr>
              <w:t xml:space="preserve"> Pure Flow 2000 Eye Saline Cartridges</w:t>
            </w:r>
          </w:p>
          <w:p w14:paraId="48577BBA" w14:textId="77777777" w:rsidR="000E3B10" w:rsidRPr="00CF5A42" w:rsidRDefault="000E3B10" w:rsidP="000E3B10">
            <w:pPr>
              <w:jc w:val="center"/>
              <w:rPr>
                <w:sz w:val="18"/>
                <w:szCs w:val="18"/>
              </w:rPr>
            </w:pPr>
            <w:r w:rsidRPr="00CF5A42">
              <w:rPr>
                <w:sz w:val="18"/>
                <w:szCs w:val="18"/>
              </w:rPr>
              <w:t>32-ST2050-0000</w:t>
            </w:r>
          </w:p>
        </w:tc>
        <w:tc>
          <w:tcPr>
            <w:tcW w:w="1350" w:type="dxa"/>
            <w:vAlign w:val="center"/>
          </w:tcPr>
          <w:p w14:paraId="5F3260D7" w14:textId="300901EC" w:rsidR="000E3B10" w:rsidRPr="00CF5A42" w:rsidRDefault="00591A10" w:rsidP="000E3B10">
            <w:pPr>
              <w:jc w:val="center"/>
              <w:rPr>
                <w:sz w:val="18"/>
                <w:szCs w:val="18"/>
              </w:rPr>
            </w:pPr>
            <w:r w:rsidRPr="00CF5A42">
              <w:rPr>
                <w:sz w:val="18"/>
                <w:szCs w:val="18"/>
              </w:rPr>
              <w:t>N/A</w:t>
            </w:r>
          </w:p>
        </w:tc>
        <w:tc>
          <w:tcPr>
            <w:tcW w:w="4001" w:type="dxa"/>
            <w:vAlign w:val="center"/>
          </w:tcPr>
          <w:p w14:paraId="567EAE3C" w14:textId="77777777" w:rsidR="00CF5A42" w:rsidRPr="00FE028A" w:rsidRDefault="00CF5A42" w:rsidP="000E3B10">
            <w:pPr>
              <w:jc w:val="center"/>
              <w:rPr>
                <w:noProof/>
                <w:sz w:val="12"/>
                <w:szCs w:val="12"/>
              </w:rPr>
            </w:pPr>
          </w:p>
          <w:p w14:paraId="2ABA02E1" w14:textId="277F3771" w:rsidR="000E3B10" w:rsidRPr="00CF5A42" w:rsidRDefault="000E3B10" w:rsidP="000E3B10">
            <w:pPr>
              <w:jc w:val="center"/>
              <w:rPr>
                <w:noProof/>
                <w:sz w:val="16"/>
                <w:szCs w:val="16"/>
              </w:rPr>
            </w:pPr>
            <w:r w:rsidRPr="00CF5A42">
              <w:rPr>
                <w:noProof/>
                <w:sz w:val="18"/>
                <w:szCs w:val="18"/>
              </w:rPr>
              <w:drawing>
                <wp:inline distT="0" distB="0" distL="0" distR="0" wp14:anchorId="301F9E0D" wp14:editId="12422924">
                  <wp:extent cx="571410" cy="764454"/>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2589" cy="766031"/>
                          </a:xfrm>
                          <a:prstGeom prst="rect">
                            <a:avLst/>
                          </a:prstGeom>
                        </pic:spPr>
                      </pic:pic>
                    </a:graphicData>
                  </a:graphic>
                </wp:inline>
              </w:drawing>
            </w:r>
          </w:p>
          <w:p w14:paraId="5FC593C8" w14:textId="77777777" w:rsidR="000E3B10" w:rsidRDefault="000E3B10" w:rsidP="000E3B10">
            <w:pPr>
              <w:jc w:val="center"/>
              <w:rPr>
                <w:noProof/>
                <w:sz w:val="18"/>
                <w:szCs w:val="18"/>
              </w:rPr>
            </w:pPr>
            <w:r w:rsidRPr="00CF5A42">
              <w:rPr>
                <w:noProof/>
                <w:sz w:val="18"/>
                <w:szCs w:val="18"/>
              </w:rPr>
              <w:t xml:space="preserve">(2-year </w:t>
            </w:r>
            <w:r w:rsidR="00F21535" w:rsidRPr="00CF5A42">
              <w:rPr>
                <w:noProof/>
                <w:sz w:val="18"/>
                <w:szCs w:val="18"/>
              </w:rPr>
              <w:t>s</w:t>
            </w:r>
            <w:r w:rsidRPr="00CF5A42">
              <w:rPr>
                <w:noProof/>
                <w:sz w:val="18"/>
                <w:szCs w:val="18"/>
              </w:rPr>
              <w:t xml:space="preserve">helf </w:t>
            </w:r>
            <w:r w:rsidR="00F21535" w:rsidRPr="00CF5A42">
              <w:rPr>
                <w:noProof/>
                <w:sz w:val="18"/>
                <w:szCs w:val="18"/>
              </w:rPr>
              <w:t>l</w:t>
            </w:r>
            <w:r w:rsidRPr="00CF5A42">
              <w:rPr>
                <w:noProof/>
                <w:sz w:val="18"/>
                <w:szCs w:val="18"/>
              </w:rPr>
              <w:t>ife)</w:t>
            </w:r>
          </w:p>
          <w:p w14:paraId="3D0D455C" w14:textId="72A28497" w:rsidR="000E1BB1" w:rsidRPr="00CF5A42" w:rsidRDefault="000E1BB1" w:rsidP="000E3B10">
            <w:pPr>
              <w:jc w:val="center"/>
              <w:rPr>
                <w:noProof/>
                <w:sz w:val="18"/>
                <w:szCs w:val="18"/>
              </w:rPr>
            </w:pPr>
          </w:p>
        </w:tc>
      </w:tr>
      <w:tr w:rsidR="000E3B10" w:rsidRPr="00CF5A42" w14:paraId="5781AB48" w14:textId="77777777" w:rsidTr="000E3B10">
        <w:trPr>
          <w:trHeight w:val="429"/>
        </w:trPr>
        <w:tc>
          <w:tcPr>
            <w:tcW w:w="1615" w:type="dxa"/>
            <w:vAlign w:val="center"/>
          </w:tcPr>
          <w:p w14:paraId="1CA8D328" w14:textId="6D5FD65E" w:rsidR="000E3B10" w:rsidRPr="00CF5A42" w:rsidRDefault="000E3B10" w:rsidP="000E3B10">
            <w:pPr>
              <w:jc w:val="center"/>
              <w:rPr>
                <w:sz w:val="18"/>
                <w:szCs w:val="18"/>
              </w:rPr>
            </w:pPr>
            <w:r w:rsidRPr="00CF5A42">
              <w:rPr>
                <w:sz w:val="18"/>
                <w:szCs w:val="18"/>
              </w:rPr>
              <w:t>Eyewash Station Stand</w:t>
            </w:r>
            <w:r w:rsidR="002143B4">
              <w:rPr>
                <w:sz w:val="18"/>
                <w:szCs w:val="18"/>
              </w:rPr>
              <w:t xml:space="preserve"> </w:t>
            </w:r>
            <w:r w:rsidR="002143B4" w:rsidRPr="005B34D1">
              <w:rPr>
                <w:sz w:val="18"/>
                <w:szCs w:val="18"/>
              </w:rPr>
              <w:t>or Cart</w:t>
            </w:r>
          </w:p>
        </w:tc>
        <w:tc>
          <w:tcPr>
            <w:tcW w:w="2340" w:type="dxa"/>
            <w:vAlign w:val="center"/>
          </w:tcPr>
          <w:p w14:paraId="13B954AA" w14:textId="77777777" w:rsidR="000E3B10" w:rsidRPr="00CF5A42" w:rsidRDefault="000E3B10" w:rsidP="000E3B10">
            <w:pPr>
              <w:jc w:val="center"/>
              <w:rPr>
                <w:sz w:val="18"/>
                <w:szCs w:val="18"/>
              </w:rPr>
            </w:pPr>
            <w:r w:rsidRPr="00CF5A42">
              <w:rPr>
                <w:sz w:val="18"/>
                <w:szCs w:val="18"/>
              </w:rPr>
              <w:t>Honeywell Eyewash Stand</w:t>
            </w:r>
          </w:p>
          <w:p w14:paraId="3FC6883E" w14:textId="77777777" w:rsidR="000E3B10" w:rsidRDefault="000E3B10" w:rsidP="000E3B10">
            <w:pPr>
              <w:jc w:val="center"/>
              <w:rPr>
                <w:sz w:val="18"/>
                <w:szCs w:val="18"/>
              </w:rPr>
            </w:pPr>
            <w:r w:rsidRPr="00CF5A42">
              <w:rPr>
                <w:sz w:val="18"/>
                <w:szCs w:val="18"/>
              </w:rPr>
              <w:t>32-001065-0000</w:t>
            </w:r>
          </w:p>
          <w:p w14:paraId="7FB5C29C" w14:textId="77777777" w:rsidR="002143B4" w:rsidRDefault="002143B4" w:rsidP="000E3B10">
            <w:pPr>
              <w:jc w:val="center"/>
              <w:rPr>
                <w:sz w:val="18"/>
                <w:szCs w:val="18"/>
              </w:rPr>
            </w:pPr>
          </w:p>
          <w:p w14:paraId="280AE5F8" w14:textId="77777777" w:rsidR="002143B4" w:rsidRPr="005B34D1" w:rsidRDefault="002143B4" w:rsidP="000E3B10">
            <w:pPr>
              <w:jc w:val="center"/>
              <w:rPr>
                <w:sz w:val="18"/>
                <w:szCs w:val="18"/>
              </w:rPr>
            </w:pPr>
            <w:r w:rsidRPr="005B34D1">
              <w:rPr>
                <w:sz w:val="18"/>
                <w:szCs w:val="18"/>
              </w:rPr>
              <w:t>Honeywell Eyewash Cart</w:t>
            </w:r>
          </w:p>
          <w:p w14:paraId="47F1BAE6" w14:textId="1A4D7326" w:rsidR="002143B4" w:rsidRPr="00CF5A42" w:rsidRDefault="002143B4" w:rsidP="000E3B10">
            <w:pPr>
              <w:jc w:val="center"/>
              <w:rPr>
                <w:sz w:val="18"/>
                <w:szCs w:val="18"/>
              </w:rPr>
            </w:pPr>
            <w:r w:rsidRPr="005B34D1">
              <w:rPr>
                <w:sz w:val="18"/>
                <w:szCs w:val="18"/>
              </w:rPr>
              <w:t>32-001060-0000</w:t>
            </w:r>
          </w:p>
        </w:tc>
        <w:tc>
          <w:tcPr>
            <w:tcW w:w="1350" w:type="dxa"/>
            <w:vAlign w:val="center"/>
          </w:tcPr>
          <w:p w14:paraId="1F9BEBCA" w14:textId="4D2BED6B" w:rsidR="000E3B10" w:rsidRPr="00CF5A42" w:rsidRDefault="00591A10" w:rsidP="000E3B10">
            <w:pPr>
              <w:jc w:val="center"/>
              <w:rPr>
                <w:sz w:val="18"/>
                <w:szCs w:val="18"/>
              </w:rPr>
            </w:pPr>
            <w:r w:rsidRPr="00CF5A42">
              <w:rPr>
                <w:sz w:val="18"/>
                <w:szCs w:val="18"/>
              </w:rPr>
              <w:t>N/A</w:t>
            </w:r>
          </w:p>
        </w:tc>
        <w:tc>
          <w:tcPr>
            <w:tcW w:w="4001" w:type="dxa"/>
            <w:vAlign w:val="center"/>
          </w:tcPr>
          <w:p w14:paraId="787202FE" w14:textId="77777777" w:rsidR="00697548" w:rsidRPr="00FE028A" w:rsidRDefault="00697548" w:rsidP="000E3B10">
            <w:pPr>
              <w:jc w:val="center"/>
              <w:rPr>
                <w:sz w:val="12"/>
                <w:szCs w:val="12"/>
                <w:u w:val="single"/>
              </w:rPr>
            </w:pPr>
          </w:p>
          <w:p w14:paraId="4C6B8CA1" w14:textId="6E091F36" w:rsidR="000E3B10" w:rsidRPr="002A751D" w:rsidRDefault="000E3B10" w:rsidP="00CF5A42">
            <w:pPr>
              <w:jc w:val="center"/>
              <w:rPr>
                <w:sz w:val="16"/>
                <w:szCs w:val="16"/>
                <w:u w:val="single"/>
              </w:rPr>
            </w:pPr>
            <w:r w:rsidRPr="00CF5A42">
              <w:rPr>
                <w:noProof/>
                <w:sz w:val="18"/>
                <w:szCs w:val="18"/>
              </w:rPr>
              <w:drawing>
                <wp:inline distT="0" distB="0" distL="0" distR="0" wp14:anchorId="1FA62524" wp14:editId="23537878">
                  <wp:extent cx="318770" cy="532917"/>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4038" cy="575159"/>
                          </a:xfrm>
                          <a:prstGeom prst="rect">
                            <a:avLst/>
                          </a:prstGeom>
                        </pic:spPr>
                      </pic:pic>
                    </a:graphicData>
                  </a:graphic>
                </wp:inline>
              </w:drawing>
            </w:r>
            <w:r w:rsidR="002143B4">
              <w:rPr>
                <w:sz w:val="16"/>
                <w:szCs w:val="16"/>
                <w:u w:val="single"/>
              </w:rPr>
              <w:t xml:space="preserve"> </w:t>
            </w:r>
            <w:r w:rsidR="002143B4" w:rsidRPr="002143B4">
              <w:rPr>
                <w:noProof/>
              </w:rPr>
              <w:drawing>
                <wp:inline distT="0" distB="0" distL="0" distR="0" wp14:anchorId="6EFF53EC" wp14:editId="544387EF">
                  <wp:extent cx="419708" cy="56604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25075" cy="573285"/>
                          </a:xfrm>
                          <a:prstGeom prst="rect">
                            <a:avLst/>
                          </a:prstGeom>
                          <a:noFill/>
                          <a:ln>
                            <a:noFill/>
                          </a:ln>
                        </pic:spPr>
                      </pic:pic>
                    </a:graphicData>
                  </a:graphic>
                </wp:inline>
              </w:drawing>
            </w:r>
          </w:p>
          <w:p w14:paraId="1E44FBEE" w14:textId="0948E450" w:rsidR="004547A2" w:rsidRPr="00CF5A42" w:rsidRDefault="004547A2" w:rsidP="00CF5A42">
            <w:pPr>
              <w:jc w:val="center"/>
              <w:rPr>
                <w:sz w:val="18"/>
                <w:szCs w:val="18"/>
                <w:u w:val="single"/>
              </w:rPr>
            </w:pPr>
          </w:p>
        </w:tc>
      </w:tr>
      <w:tr w:rsidR="000E3B10" w:rsidRPr="00CF5A42" w14:paraId="2D27AF28" w14:textId="77777777" w:rsidTr="002143B4">
        <w:trPr>
          <w:trHeight w:val="1664"/>
        </w:trPr>
        <w:tc>
          <w:tcPr>
            <w:tcW w:w="1615" w:type="dxa"/>
            <w:vAlign w:val="center"/>
          </w:tcPr>
          <w:p w14:paraId="2494D07C" w14:textId="77777777" w:rsidR="000E3B10" w:rsidRPr="00CF5A42" w:rsidRDefault="000E3B10" w:rsidP="000E3B10">
            <w:pPr>
              <w:jc w:val="center"/>
              <w:rPr>
                <w:sz w:val="18"/>
                <w:szCs w:val="18"/>
              </w:rPr>
            </w:pPr>
            <w:r w:rsidRPr="00CF5A42">
              <w:rPr>
                <w:sz w:val="18"/>
                <w:szCs w:val="18"/>
              </w:rPr>
              <w:t>Personal Eye Wash Station</w:t>
            </w:r>
          </w:p>
        </w:tc>
        <w:tc>
          <w:tcPr>
            <w:tcW w:w="2340" w:type="dxa"/>
            <w:vAlign w:val="center"/>
          </w:tcPr>
          <w:p w14:paraId="7C0EEB07" w14:textId="77777777" w:rsidR="000E3B10" w:rsidRPr="00CF5A42" w:rsidRDefault="000E3B10" w:rsidP="000E3B10">
            <w:pPr>
              <w:jc w:val="center"/>
              <w:rPr>
                <w:sz w:val="18"/>
                <w:szCs w:val="18"/>
              </w:rPr>
            </w:pPr>
            <w:r w:rsidRPr="00CF5A42">
              <w:rPr>
                <w:sz w:val="18"/>
                <w:szCs w:val="18"/>
              </w:rPr>
              <w:t>Honeywell Eye Saline Station</w:t>
            </w:r>
          </w:p>
          <w:p w14:paraId="635B5E68" w14:textId="77777777" w:rsidR="000E3B10" w:rsidRPr="00CF5A42" w:rsidRDefault="000E3B10" w:rsidP="000E3B10">
            <w:pPr>
              <w:jc w:val="center"/>
              <w:rPr>
                <w:sz w:val="18"/>
                <w:szCs w:val="18"/>
              </w:rPr>
            </w:pPr>
            <w:r w:rsidRPr="00CF5A42">
              <w:rPr>
                <w:sz w:val="18"/>
                <w:szCs w:val="18"/>
              </w:rPr>
              <w:t>32-000462-0000-H5</w:t>
            </w:r>
          </w:p>
        </w:tc>
        <w:tc>
          <w:tcPr>
            <w:tcW w:w="1350" w:type="dxa"/>
            <w:vAlign w:val="center"/>
          </w:tcPr>
          <w:p w14:paraId="4341A727" w14:textId="06C80BB0" w:rsidR="000E3B10" w:rsidRPr="00CF5A42" w:rsidRDefault="00591A10" w:rsidP="000E3B10">
            <w:pPr>
              <w:jc w:val="center"/>
              <w:rPr>
                <w:sz w:val="18"/>
                <w:szCs w:val="18"/>
              </w:rPr>
            </w:pPr>
            <w:r w:rsidRPr="00CF5A42">
              <w:rPr>
                <w:sz w:val="18"/>
                <w:szCs w:val="18"/>
              </w:rPr>
              <w:t>N/A</w:t>
            </w:r>
          </w:p>
        </w:tc>
        <w:tc>
          <w:tcPr>
            <w:tcW w:w="4001" w:type="dxa"/>
            <w:vAlign w:val="center"/>
          </w:tcPr>
          <w:p w14:paraId="48B6682C" w14:textId="77777777" w:rsidR="000E3B10" w:rsidRPr="00CF5A42" w:rsidRDefault="000E3B10" w:rsidP="000E3B10">
            <w:pPr>
              <w:jc w:val="center"/>
              <w:rPr>
                <w:sz w:val="16"/>
                <w:szCs w:val="16"/>
                <w:u w:val="single"/>
              </w:rPr>
            </w:pPr>
            <w:r w:rsidRPr="00CF5A42">
              <w:rPr>
                <w:noProof/>
                <w:sz w:val="18"/>
                <w:szCs w:val="18"/>
              </w:rPr>
              <w:drawing>
                <wp:inline distT="0" distB="0" distL="0" distR="0" wp14:anchorId="3ED4F513" wp14:editId="059EDA44">
                  <wp:extent cx="810662" cy="660728"/>
                  <wp:effectExtent l="0" t="0" r="889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73825" cy="712209"/>
                          </a:xfrm>
                          <a:prstGeom prst="rect">
                            <a:avLst/>
                          </a:prstGeom>
                        </pic:spPr>
                      </pic:pic>
                    </a:graphicData>
                  </a:graphic>
                </wp:inline>
              </w:drawing>
            </w:r>
          </w:p>
          <w:p w14:paraId="18C73422" w14:textId="0111B7A0" w:rsidR="000E1BB1" w:rsidRPr="00CF5A42" w:rsidRDefault="000E3B10" w:rsidP="004B0C59">
            <w:pPr>
              <w:jc w:val="center"/>
              <w:rPr>
                <w:sz w:val="18"/>
                <w:szCs w:val="18"/>
                <w:u w:val="single"/>
              </w:rPr>
            </w:pPr>
            <w:r w:rsidRPr="00CF5A42">
              <w:rPr>
                <w:sz w:val="18"/>
                <w:szCs w:val="18"/>
                <w:u w:val="single"/>
              </w:rPr>
              <w:t xml:space="preserve">(3-year </w:t>
            </w:r>
            <w:r w:rsidR="00F21535" w:rsidRPr="00CF5A42">
              <w:rPr>
                <w:sz w:val="18"/>
                <w:szCs w:val="18"/>
                <w:u w:val="single"/>
              </w:rPr>
              <w:t>s</w:t>
            </w:r>
            <w:r w:rsidRPr="00CF5A42">
              <w:rPr>
                <w:sz w:val="18"/>
                <w:szCs w:val="18"/>
                <w:u w:val="single"/>
              </w:rPr>
              <w:t xml:space="preserve">helf </w:t>
            </w:r>
            <w:r w:rsidR="00F21535" w:rsidRPr="00CF5A42">
              <w:rPr>
                <w:sz w:val="18"/>
                <w:szCs w:val="18"/>
                <w:u w:val="single"/>
              </w:rPr>
              <w:t>l</w:t>
            </w:r>
            <w:r w:rsidRPr="00CF5A42">
              <w:rPr>
                <w:sz w:val="18"/>
                <w:szCs w:val="18"/>
                <w:u w:val="single"/>
              </w:rPr>
              <w:t>ife)</w:t>
            </w:r>
          </w:p>
        </w:tc>
      </w:tr>
      <w:tr w:rsidR="000E3B10" w:rsidRPr="00CF5A42" w14:paraId="36AA2EDE" w14:textId="77777777" w:rsidTr="002143B4">
        <w:trPr>
          <w:trHeight w:val="1133"/>
        </w:trPr>
        <w:tc>
          <w:tcPr>
            <w:tcW w:w="1615" w:type="dxa"/>
            <w:vAlign w:val="center"/>
          </w:tcPr>
          <w:p w14:paraId="66774AD9" w14:textId="14AFFDC4" w:rsidR="000E3B10" w:rsidRPr="00CF5A42" w:rsidRDefault="000E3B10" w:rsidP="005E52D2">
            <w:pPr>
              <w:jc w:val="center"/>
              <w:rPr>
                <w:sz w:val="18"/>
                <w:szCs w:val="18"/>
              </w:rPr>
            </w:pPr>
            <w:r w:rsidRPr="00CF5A42">
              <w:rPr>
                <w:sz w:val="18"/>
                <w:szCs w:val="18"/>
              </w:rPr>
              <w:t>Replacement 32 Ounce Personal Eye Wash Replacement Bottle</w:t>
            </w:r>
          </w:p>
        </w:tc>
        <w:tc>
          <w:tcPr>
            <w:tcW w:w="2340" w:type="dxa"/>
            <w:vAlign w:val="center"/>
          </w:tcPr>
          <w:p w14:paraId="097F6551" w14:textId="77777777" w:rsidR="000E3B10" w:rsidRPr="00CF5A42" w:rsidRDefault="000E3B10" w:rsidP="000E3B10">
            <w:pPr>
              <w:jc w:val="center"/>
              <w:rPr>
                <w:sz w:val="18"/>
                <w:szCs w:val="18"/>
              </w:rPr>
            </w:pPr>
            <w:r w:rsidRPr="00CF5A42">
              <w:rPr>
                <w:sz w:val="18"/>
                <w:szCs w:val="18"/>
              </w:rPr>
              <w:t>Honeywell Eye Saline Bottle</w:t>
            </w:r>
          </w:p>
          <w:p w14:paraId="775E78EA" w14:textId="77777777" w:rsidR="000E3B10" w:rsidRPr="00CF5A42" w:rsidRDefault="000E3B10" w:rsidP="000E3B10">
            <w:pPr>
              <w:jc w:val="center"/>
              <w:rPr>
                <w:sz w:val="18"/>
                <w:szCs w:val="18"/>
              </w:rPr>
            </w:pPr>
            <w:r w:rsidRPr="00CF5A42">
              <w:rPr>
                <w:sz w:val="18"/>
                <w:szCs w:val="18"/>
              </w:rPr>
              <w:t>32-000455-0000-H5</w:t>
            </w:r>
          </w:p>
        </w:tc>
        <w:tc>
          <w:tcPr>
            <w:tcW w:w="1350" w:type="dxa"/>
            <w:vAlign w:val="center"/>
          </w:tcPr>
          <w:p w14:paraId="7E519474" w14:textId="77777777" w:rsidR="000E3B10" w:rsidRPr="00CF5A42" w:rsidRDefault="000E3B10" w:rsidP="000E3B10">
            <w:pPr>
              <w:jc w:val="center"/>
              <w:rPr>
                <w:sz w:val="18"/>
                <w:szCs w:val="18"/>
              </w:rPr>
            </w:pPr>
            <w:r w:rsidRPr="00CF5A42">
              <w:rPr>
                <w:sz w:val="18"/>
                <w:szCs w:val="18"/>
              </w:rPr>
              <w:t>2650-010000</w:t>
            </w:r>
          </w:p>
        </w:tc>
        <w:tc>
          <w:tcPr>
            <w:tcW w:w="4001" w:type="dxa"/>
            <w:vAlign w:val="center"/>
          </w:tcPr>
          <w:p w14:paraId="1AB91244" w14:textId="51074CED" w:rsidR="000E3B10" w:rsidRDefault="000E3B10" w:rsidP="000E3B10">
            <w:pPr>
              <w:jc w:val="center"/>
              <w:rPr>
                <w:sz w:val="16"/>
                <w:szCs w:val="16"/>
                <w:u w:val="single"/>
              </w:rPr>
            </w:pPr>
            <w:r w:rsidRPr="00CF5A42">
              <w:rPr>
                <w:noProof/>
                <w:sz w:val="18"/>
                <w:szCs w:val="18"/>
              </w:rPr>
              <w:drawing>
                <wp:inline distT="0" distB="0" distL="0" distR="0" wp14:anchorId="1F7219C6" wp14:editId="73C55322">
                  <wp:extent cx="406036" cy="6032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2894" cy="643153"/>
                          </a:xfrm>
                          <a:prstGeom prst="rect">
                            <a:avLst/>
                          </a:prstGeom>
                        </pic:spPr>
                      </pic:pic>
                    </a:graphicData>
                  </a:graphic>
                </wp:inline>
              </w:drawing>
            </w:r>
          </w:p>
          <w:p w14:paraId="207902B8" w14:textId="77777777" w:rsidR="005E52D2" w:rsidRDefault="000E3B10" w:rsidP="004B0C59">
            <w:pPr>
              <w:jc w:val="center"/>
              <w:rPr>
                <w:sz w:val="18"/>
                <w:szCs w:val="18"/>
                <w:u w:val="single"/>
              </w:rPr>
            </w:pPr>
            <w:r w:rsidRPr="00CF5A42">
              <w:rPr>
                <w:sz w:val="18"/>
                <w:szCs w:val="18"/>
                <w:u w:val="single"/>
              </w:rPr>
              <w:t xml:space="preserve">(3-year </w:t>
            </w:r>
            <w:r w:rsidR="00F21535" w:rsidRPr="00CF5A42">
              <w:rPr>
                <w:sz w:val="18"/>
                <w:szCs w:val="18"/>
                <w:u w:val="single"/>
              </w:rPr>
              <w:t>s</w:t>
            </w:r>
            <w:r w:rsidRPr="00CF5A42">
              <w:rPr>
                <w:sz w:val="18"/>
                <w:szCs w:val="18"/>
                <w:u w:val="single"/>
              </w:rPr>
              <w:t xml:space="preserve">helf </w:t>
            </w:r>
            <w:r w:rsidR="00F21535" w:rsidRPr="00CF5A42">
              <w:rPr>
                <w:sz w:val="18"/>
                <w:szCs w:val="18"/>
                <w:u w:val="single"/>
              </w:rPr>
              <w:t>l</w:t>
            </w:r>
            <w:r w:rsidRPr="00CF5A42">
              <w:rPr>
                <w:sz w:val="18"/>
                <w:szCs w:val="18"/>
                <w:u w:val="single"/>
              </w:rPr>
              <w:t>ife)</w:t>
            </w:r>
          </w:p>
          <w:p w14:paraId="6476A523" w14:textId="31A4F5DE" w:rsidR="0036017E" w:rsidRPr="00CF5A42" w:rsidRDefault="0036017E" w:rsidP="004B0C59">
            <w:pPr>
              <w:jc w:val="center"/>
              <w:rPr>
                <w:sz w:val="18"/>
                <w:szCs w:val="18"/>
                <w:u w:val="single"/>
              </w:rPr>
            </w:pPr>
          </w:p>
        </w:tc>
      </w:tr>
    </w:tbl>
    <w:p w14:paraId="3A5011B7" w14:textId="77777777" w:rsidR="001A74A8" w:rsidRPr="000E3B10" w:rsidRDefault="001A74A8" w:rsidP="002143B4"/>
    <w:sectPr w:rsidR="001A74A8" w:rsidRPr="000E3B10" w:rsidSect="000D5746">
      <w:headerReference w:type="even" r:id="rId26"/>
      <w:headerReference w:type="default" r:id="rId27"/>
      <w:footerReference w:type="default" r:id="rId28"/>
      <w:headerReference w:type="first" r:id="rId2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6A3C" w14:textId="77777777" w:rsidR="00A8488D" w:rsidRDefault="00A8488D" w:rsidP="00CB66DF">
      <w:r>
        <w:separator/>
      </w:r>
    </w:p>
  </w:endnote>
  <w:endnote w:type="continuationSeparator" w:id="0">
    <w:p w14:paraId="2813C169" w14:textId="77777777" w:rsidR="00A8488D" w:rsidRDefault="00A8488D"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4C0F" w14:textId="6608C3C2" w:rsidR="00201EC0" w:rsidRDefault="00201EC0" w:rsidP="000D5746">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ED4882">
      <w:rPr>
        <w:rFonts w:ascii="Palatino" w:hAnsi="Palatino"/>
        <w:sz w:val="18"/>
      </w:rPr>
      <w:t>4160-</w:t>
    </w:r>
    <w:r w:rsidR="00ED4882">
      <w:rPr>
        <w:rFonts w:ascii="Palatino" w:hAnsi="Palatino"/>
        <w:sz w:val="18"/>
      </w:rPr>
      <w:fldChar w:fldCharType="begin"/>
    </w:r>
    <w:r w:rsidR="00ED4882">
      <w:rPr>
        <w:rFonts w:ascii="Palatino" w:hAnsi="Palatino"/>
        <w:sz w:val="18"/>
      </w:rPr>
      <w:instrText xml:space="preserve"> PAGE  </w:instrText>
    </w:r>
    <w:r w:rsidR="00ED4882">
      <w:rPr>
        <w:rFonts w:ascii="Palatino" w:hAnsi="Palatino"/>
        <w:sz w:val="18"/>
      </w:rPr>
      <w:fldChar w:fldCharType="separate"/>
    </w:r>
    <w:r w:rsidR="00ED4882">
      <w:rPr>
        <w:sz w:val="18"/>
      </w:rPr>
      <w:t>2</w:t>
    </w:r>
    <w:r w:rsidR="00ED4882">
      <w:rPr>
        <w:rFonts w:ascii="Palatino" w:hAnsi="Palatino"/>
        <w:sz w:val="18"/>
      </w:rPr>
      <w:fldChar w:fldCharType="end"/>
    </w:r>
  </w:p>
  <w:p w14:paraId="2D2B4C10" w14:textId="0FB4307D" w:rsidR="00201EC0" w:rsidRDefault="00201EC0" w:rsidP="000D5746">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Rev. 0</w:t>
    </w:r>
    <w:r w:rsidR="00471710">
      <w:rPr>
        <w:sz w:val="18"/>
        <w:szCs w:val="18"/>
      </w:rPr>
      <w:t>4</w:t>
    </w:r>
    <w:r w:rsidRPr="00A71082">
      <w:rPr>
        <w:sz w:val="18"/>
        <w:szCs w:val="18"/>
      </w:rPr>
      <w:t>/20</w:t>
    </w:r>
    <w:r>
      <w:rPr>
        <w:sz w:val="18"/>
        <w:szCs w:val="18"/>
      </w:rPr>
      <w:t>22</w:t>
    </w:r>
  </w:p>
  <w:p w14:paraId="2D2B4C11" w14:textId="77777777" w:rsidR="00201EC0" w:rsidRDefault="00201EC0"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D2B4C12" w14:textId="77777777" w:rsidR="00201EC0" w:rsidRPr="00B072B8" w:rsidRDefault="00201EC0"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4C1F" w14:textId="3264107A" w:rsidR="00201EC0" w:rsidRDefault="00201EC0" w:rsidP="00471710">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ED4882">
      <w:rPr>
        <w:rFonts w:ascii="Palatino" w:hAnsi="Palatino"/>
        <w:sz w:val="18"/>
      </w:rPr>
      <w:t>4160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2D2B4C20" w14:textId="07F28D32" w:rsidR="00201EC0" w:rsidRDefault="00201EC0" w:rsidP="00471710">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0</w:t>
    </w:r>
    <w:r w:rsidR="00471710">
      <w:rPr>
        <w:sz w:val="18"/>
        <w:szCs w:val="18"/>
      </w:rPr>
      <w:t>4</w:t>
    </w:r>
    <w:r>
      <w:rPr>
        <w:sz w:val="18"/>
        <w:szCs w:val="18"/>
      </w:rPr>
      <w:t>/2022</w:t>
    </w:r>
  </w:p>
  <w:p w14:paraId="2D2B4C21" w14:textId="77777777" w:rsidR="00201EC0" w:rsidRDefault="00201EC0" w:rsidP="00471710">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D2B4C23" w14:textId="4583D4EF" w:rsidR="00201EC0" w:rsidRPr="00DB5D5A" w:rsidRDefault="00201EC0" w:rsidP="00471710">
    <w:pPr>
      <w:pStyle w:val="Footer"/>
      <w:pBdr>
        <w:top w:val="single" w:sz="6" w:space="0" w:color="auto"/>
      </w:pBdr>
      <w:tabs>
        <w:tab w:val="clear" w:pos="9360"/>
        <w:tab w:val="right" w:pos="9720"/>
      </w:tabs>
      <w:jc w:val="left"/>
      <w:rPr>
        <w:rStyle w:val="PageNumber"/>
        <w:i/>
        <w:sz w:val="20"/>
        <w:szCs w:val="20"/>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7877" w14:textId="77777777" w:rsidR="00A8488D" w:rsidRDefault="00A8488D" w:rsidP="00CB66DF">
      <w:r>
        <w:separator/>
      </w:r>
    </w:p>
  </w:footnote>
  <w:footnote w:type="continuationSeparator" w:id="0">
    <w:p w14:paraId="19F57993" w14:textId="77777777" w:rsidR="00A8488D" w:rsidRDefault="00A8488D"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01EC0" w:rsidRPr="00423E3B" w14:paraId="2D2B4C0D" w14:textId="77777777" w:rsidTr="00276DEB">
      <w:trPr>
        <w:trHeight w:val="611"/>
      </w:trPr>
      <w:tc>
        <w:tcPr>
          <w:tcW w:w="1490" w:type="dxa"/>
        </w:tcPr>
        <w:p w14:paraId="2D2B4C09" w14:textId="77777777" w:rsidR="00201EC0" w:rsidRDefault="00201EC0" w:rsidP="001D0B27">
          <w:r w:rsidRPr="00684839">
            <w:rPr>
              <w:noProof/>
            </w:rPr>
            <w:drawing>
              <wp:anchor distT="0" distB="0" distL="114300" distR="114300" simplePos="0" relativeHeight="251657728" behindDoc="0" locked="0" layoutInCell="1" allowOverlap="0" wp14:anchorId="2D2B4C24" wp14:editId="2D2B4C25">
                <wp:simplePos x="0" y="0"/>
                <wp:positionH relativeFrom="page">
                  <wp:posOffset>45720</wp:posOffset>
                </wp:positionH>
                <wp:positionV relativeFrom="page">
                  <wp:posOffset>161290</wp:posOffset>
                </wp:positionV>
                <wp:extent cx="1552575" cy="276225"/>
                <wp:effectExtent l="0" t="0" r="9525" b="9525"/>
                <wp:wrapTopAndBottom/>
                <wp:docPr id="13" name="Picture 1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D2B4C0A" w14:textId="77777777" w:rsidR="00201EC0" w:rsidRDefault="00201EC0" w:rsidP="001D0B27">
          <w:pPr>
            <w:jc w:val="center"/>
          </w:pPr>
          <w:r>
            <w:t>ES&amp;H Manual</w:t>
          </w:r>
        </w:p>
      </w:tc>
      <w:tc>
        <w:tcPr>
          <w:tcW w:w="3188" w:type="dxa"/>
          <w:vAlign w:val="center"/>
        </w:tcPr>
        <w:p w14:paraId="2D2B4C0B" w14:textId="07E2256E" w:rsidR="00201EC0" w:rsidRPr="00423E3B" w:rsidRDefault="00201EC0" w:rsidP="00276DEB">
          <w:pPr>
            <w:jc w:val="center"/>
          </w:pPr>
          <w:r>
            <w:t>FESHM 4160</w:t>
          </w:r>
        </w:p>
        <w:p w14:paraId="2D2B4C0C" w14:textId="464D8C89" w:rsidR="00201EC0" w:rsidRPr="00423E3B" w:rsidRDefault="00E438D5" w:rsidP="00276DEB">
          <w:pPr>
            <w:jc w:val="center"/>
          </w:pPr>
          <w:r>
            <w:t xml:space="preserve">April </w:t>
          </w:r>
          <w:r w:rsidR="00201EC0">
            <w:t>2022</w:t>
          </w:r>
        </w:p>
      </w:tc>
    </w:tr>
  </w:tbl>
  <w:p w14:paraId="2D2B4C0E" w14:textId="7D665354" w:rsidR="00201EC0" w:rsidRDefault="00201EC0"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FC9A" w14:textId="2B22A6F1" w:rsidR="008503F1" w:rsidRDefault="00850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01EC0" w:rsidRPr="00423E3B" w14:paraId="2D2B4C17" w14:textId="77777777" w:rsidTr="00276DEB">
      <w:trPr>
        <w:trHeight w:val="611"/>
      </w:trPr>
      <w:tc>
        <w:tcPr>
          <w:tcW w:w="1490" w:type="dxa"/>
        </w:tcPr>
        <w:p w14:paraId="2D2B4C13" w14:textId="77777777" w:rsidR="00201EC0" w:rsidRDefault="00201EC0" w:rsidP="001D0B27">
          <w:r w:rsidRPr="00684839">
            <w:rPr>
              <w:noProof/>
            </w:rPr>
            <w:drawing>
              <wp:anchor distT="0" distB="0" distL="114300" distR="114300" simplePos="0" relativeHeight="251659776" behindDoc="0" locked="0" layoutInCell="1" allowOverlap="0" wp14:anchorId="2D2B4C26" wp14:editId="2D2B4C27">
                <wp:simplePos x="0" y="0"/>
                <wp:positionH relativeFrom="page">
                  <wp:posOffset>45720</wp:posOffset>
                </wp:positionH>
                <wp:positionV relativeFrom="page">
                  <wp:posOffset>161290</wp:posOffset>
                </wp:positionV>
                <wp:extent cx="1552575" cy="276225"/>
                <wp:effectExtent l="0" t="0" r="9525" b="9525"/>
                <wp:wrapTopAndBottom/>
                <wp:docPr id="52" name="Picture 5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D2B4C14" w14:textId="77777777" w:rsidR="00201EC0" w:rsidRDefault="00201EC0" w:rsidP="001D0B27">
          <w:pPr>
            <w:jc w:val="center"/>
          </w:pPr>
          <w:r>
            <w:t>ES&amp;H Manual</w:t>
          </w:r>
        </w:p>
      </w:tc>
      <w:tc>
        <w:tcPr>
          <w:tcW w:w="3188" w:type="dxa"/>
          <w:vAlign w:val="center"/>
        </w:tcPr>
        <w:p w14:paraId="2D2B4C15" w14:textId="4F8842C0" w:rsidR="00201EC0" w:rsidRPr="00423E3B" w:rsidRDefault="00201EC0" w:rsidP="00276DEB">
          <w:pPr>
            <w:jc w:val="center"/>
          </w:pPr>
          <w:r>
            <w:t>FESHM 4160</w:t>
          </w:r>
        </w:p>
        <w:p w14:paraId="2D2B4C16" w14:textId="255FB4D6" w:rsidR="00201EC0" w:rsidRPr="00423E3B" w:rsidRDefault="00471710" w:rsidP="00276DEB">
          <w:pPr>
            <w:jc w:val="center"/>
          </w:pPr>
          <w:r>
            <w:t>April</w:t>
          </w:r>
          <w:r w:rsidR="00201EC0">
            <w:t xml:space="preserve"> 2022</w:t>
          </w:r>
        </w:p>
      </w:tc>
    </w:tr>
  </w:tbl>
  <w:p w14:paraId="2D2B4C18" w14:textId="6B6B27A4" w:rsidR="00201EC0" w:rsidRDefault="00201EC0"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E009" w14:textId="5997AF08" w:rsidR="008503F1" w:rsidRDefault="008503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CB57" w14:textId="15B2A5E0" w:rsidR="008503F1" w:rsidRDefault="008503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01EC0" w:rsidRPr="00423E3B" w14:paraId="2D2B4C1D" w14:textId="77777777" w:rsidTr="00821B8A">
      <w:trPr>
        <w:trHeight w:val="611"/>
      </w:trPr>
      <w:tc>
        <w:tcPr>
          <w:tcW w:w="2676" w:type="dxa"/>
        </w:tcPr>
        <w:p w14:paraId="2D2B4C19" w14:textId="77777777" w:rsidR="00201EC0" w:rsidRDefault="00201EC0" w:rsidP="00821B8A">
          <w:r w:rsidRPr="00684839">
            <w:rPr>
              <w:noProof/>
            </w:rPr>
            <w:drawing>
              <wp:anchor distT="0" distB="0" distL="114300" distR="114300" simplePos="0" relativeHeight="251661824" behindDoc="0" locked="0" layoutInCell="1" allowOverlap="0" wp14:anchorId="2D2B4C28" wp14:editId="2D2B4C29">
                <wp:simplePos x="0" y="0"/>
                <wp:positionH relativeFrom="page">
                  <wp:posOffset>45720</wp:posOffset>
                </wp:positionH>
                <wp:positionV relativeFrom="page">
                  <wp:posOffset>161290</wp:posOffset>
                </wp:positionV>
                <wp:extent cx="1552575" cy="276225"/>
                <wp:effectExtent l="0" t="0" r="9525" b="9525"/>
                <wp:wrapTopAndBottom/>
                <wp:docPr id="21" name="Picture 2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2D2B4C1A" w14:textId="77777777" w:rsidR="00201EC0" w:rsidRDefault="00201EC0" w:rsidP="00821B8A">
          <w:pPr>
            <w:jc w:val="center"/>
          </w:pPr>
          <w:r>
            <w:t>ES&amp;H Manual</w:t>
          </w:r>
        </w:p>
      </w:tc>
      <w:tc>
        <w:tcPr>
          <w:tcW w:w="2736" w:type="dxa"/>
          <w:vAlign w:val="center"/>
        </w:tcPr>
        <w:p w14:paraId="2D2B4C1B" w14:textId="0251E911" w:rsidR="00201EC0" w:rsidRPr="00423E3B" w:rsidRDefault="00201EC0" w:rsidP="00821B8A">
          <w:pPr>
            <w:jc w:val="center"/>
          </w:pPr>
          <w:r>
            <w:t>FESHM 4160</w:t>
          </w:r>
        </w:p>
        <w:p w14:paraId="2D2B4C1C" w14:textId="00EC403B" w:rsidR="00201EC0" w:rsidRPr="00423E3B" w:rsidRDefault="00471710" w:rsidP="00821B8A">
          <w:pPr>
            <w:jc w:val="center"/>
          </w:pPr>
          <w:r>
            <w:t>April</w:t>
          </w:r>
          <w:r w:rsidR="00201EC0">
            <w:t xml:space="preserve"> 2022</w:t>
          </w:r>
        </w:p>
      </w:tc>
    </w:tr>
  </w:tbl>
  <w:p w14:paraId="2D2B4C1E" w14:textId="019235EE" w:rsidR="00201EC0" w:rsidRDefault="00201EC0" w:rsidP="00E00D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1B61" w14:textId="08DCB259" w:rsidR="008503F1" w:rsidRDefault="00850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CCAF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66E7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8D6A5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B209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CCA1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9AA6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2E7C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DA55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340EE"/>
    <w:multiLevelType w:val="hybridMultilevel"/>
    <w:tmpl w:val="7414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6D13F4"/>
    <w:multiLevelType w:val="hybridMultilevel"/>
    <w:tmpl w:val="412EEE6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0C2B77DF"/>
    <w:multiLevelType w:val="hybridMultilevel"/>
    <w:tmpl w:val="0DC6C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B84357"/>
    <w:multiLevelType w:val="hybridMultilevel"/>
    <w:tmpl w:val="49CC663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450A69"/>
    <w:multiLevelType w:val="hybridMultilevel"/>
    <w:tmpl w:val="31D04E7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24FA3B51"/>
    <w:multiLevelType w:val="hybridMultilevel"/>
    <w:tmpl w:val="8A36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A4680"/>
    <w:multiLevelType w:val="hybridMultilevel"/>
    <w:tmpl w:val="A458706A"/>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8" w15:restartNumberingAfterBreak="0">
    <w:nsid w:val="3F8F18CA"/>
    <w:multiLevelType w:val="hybridMultilevel"/>
    <w:tmpl w:val="721A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012D9"/>
    <w:multiLevelType w:val="multilevel"/>
    <w:tmpl w:val="43928864"/>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1"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2"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0A22F73"/>
    <w:multiLevelType w:val="hybridMultilevel"/>
    <w:tmpl w:val="058045A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15:restartNumberingAfterBreak="0">
    <w:nsid w:val="571B7C57"/>
    <w:multiLevelType w:val="hybridMultilevel"/>
    <w:tmpl w:val="D00CF0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AC0C65"/>
    <w:multiLevelType w:val="hybridMultilevel"/>
    <w:tmpl w:val="42DA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02ACF"/>
    <w:multiLevelType w:val="hybridMultilevel"/>
    <w:tmpl w:val="DE82AFE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8" w15:restartNumberingAfterBreak="0">
    <w:nsid w:val="6AD83969"/>
    <w:multiLevelType w:val="hybridMultilevel"/>
    <w:tmpl w:val="6340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C075A"/>
    <w:multiLevelType w:val="hybridMultilevel"/>
    <w:tmpl w:val="6F34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35AD2"/>
    <w:multiLevelType w:val="hybridMultilevel"/>
    <w:tmpl w:val="FDC0658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27"/>
  </w:num>
  <w:num w:numId="2">
    <w:abstractNumId w:val="21"/>
  </w:num>
  <w:num w:numId="3">
    <w:abstractNumId w:val="20"/>
  </w:num>
  <w:num w:numId="4">
    <w:abstractNumId w:val="13"/>
  </w:num>
  <w:num w:numId="5">
    <w:abstractNumId w:val="22"/>
  </w:num>
  <w:num w:numId="6">
    <w:abstractNumId w:val="9"/>
  </w:num>
  <w:num w:numId="7">
    <w:abstractNumId w:val="7"/>
  </w:num>
  <w:num w:numId="8">
    <w:abstractNumId w:val="19"/>
  </w:num>
  <w:num w:numId="9">
    <w:abstractNumId w:val="28"/>
  </w:num>
  <w:num w:numId="10">
    <w:abstractNumId w:val="26"/>
  </w:num>
  <w:num w:numId="11">
    <w:abstractNumId w:val="29"/>
  </w:num>
  <w:num w:numId="12">
    <w:abstractNumId w:val="11"/>
  </w:num>
  <w:num w:numId="13">
    <w:abstractNumId w:val="14"/>
  </w:num>
  <w:num w:numId="14">
    <w:abstractNumId w:val="12"/>
  </w:num>
  <w:num w:numId="15">
    <w:abstractNumId w:val="24"/>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15"/>
  </w:num>
  <w:num w:numId="26">
    <w:abstractNumId w:val="23"/>
  </w:num>
  <w:num w:numId="27">
    <w:abstractNumId w:val="17"/>
  </w:num>
  <w:num w:numId="28">
    <w:abstractNumId w:val="30"/>
  </w:num>
  <w:num w:numId="29">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0"/>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3EC7"/>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97E14"/>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5746"/>
    <w:rsid w:val="000D7FF2"/>
    <w:rsid w:val="000E1BB1"/>
    <w:rsid w:val="000E2AF0"/>
    <w:rsid w:val="000E3B10"/>
    <w:rsid w:val="000F73F8"/>
    <w:rsid w:val="0010047E"/>
    <w:rsid w:val="00100751"/>
    <w:rsid w:val="001018F5"/>
    <w:rsid w:val="00102003"/>
    <w:rsid w:val="0010257B"/>
    <w:rsid w:val="001033FA"/>
    <w:rsid w:val="001034A8"/>
    <w:rsid w:val="00111372"/>
    <w:rsid w:val="00111D51"/>
    <w:rsid w:val="00112583"/>
    <w:rsid w:val="00112AE3"/>
    <w:rsid w:val="00113419"/>
    <w:rsid w:val="001160E1"/>
    <w:rsid w:val="00120D90"/>
    <w:rsid w:val="00121965"/>
    <w:rsid w:val="00124813"/>
    <w:rsid w:val="00130521"/>
    <w:rsid w:val="001318BD"/>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375"/>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554C"/>
    <w:rsid w:val="00187F2A"/>
    <w:rsid w:val="0019249C"/>
    <w:rsid w:val="00192D5D"/>
    <w:rsid w:val="00194594"/>
    <w:rsid w:val="001951AE"/>
    <w:rsid w:val="00195AF3"/>
    <w:rsid w:val="00196CE0"/>
    <w:rsid w:val="001A2707"/>
    <w:rsid w:val="001A276A"/>
    <w:rsid w:val="001A2CF3"/>
    <w:rsid w:val="001A2D45"/>
    <w:rsid w:val="001A3403"/>
    <w:rsid w:val="001A3CA8"/>
    <w:rsid w:val="001A74A8"/>
    <w:rsid w:val="001B33CF"/>
    <w:rsid w:val="001B5668"/>
    <w:rsid w:val="001B623B"/>
    <w:rsid w:val="001B6A20"/>
    <w:rsid w:val="001C167C"/>
    <w:rsid w:val="001C799C"/>
    <w:rsid w:val="001D0B27"/>
    <w:rsid w:val="001D2444"/>
    <w:rsid w:val="001D4317"/>
    <w:rsid w:val="001D435E"/>
    <w:rsid w:val="001D7801"/>
    <w:rsid w:val="001E20EF"/>
    <w:rsid w:val="001E3FC1"/>
    <w:rsid w:val="001E4839"/>
    <w:rsid w:val="001E4A8A"/>
    <w:rsid w:val="001E592C"/>
    <w:rsid w:val="001E7609"/>
    <w:rsid w:val="001F0772"/>
    <w:rsid w:val="001F1994"/>
    <w:rsid w:val="001F1FA5"/>
    <w:rsid w:val="001F36C2"/>
    <w:rsid w:val="001F38CB"/>
    <w:rsid w:val="001F3CEC"/>
    <w:rsid w:val="001F6F81"/>
    <w:rsid w:val="00201EC0"/>
    <w:rsid w:val="002024AE"/>
    <w:rsid w:val="002028EB"/>
    <w:rsid w:val="00203E01"/>
    <w:rsid w:val="002070AE"/>
    <w:rsid w:val="002078BB"/>
    <w:rsid w:val="00207EAC"/>
    <w:rsid w:val="00210CB6"/>
    <w:rsid w:val="002143B4"/>
    <w:rsid w:val="002149DE"/>
    <w:rsid w:val="00216094"/>
    <w:rsid w:val="0022039C"/>
    <w:rsid w:val="00221181"/>
    <w:rsid w:val="00224423"/>
    <w:rsid w:val="00230C9C"/>
    <w:rsid w:val="00231245"/>
    <w:rsid w:val="00236B3E"/>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52F3"/>
    <w:rsid w:val="002A6EDC"/>
    <w:rsid w:val="002A71D3"/>
    <w:rsid w:val="002A751D"/>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0CAA"/>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017E"/>
    <w:rsid w:val="00361AC4"/>
    <w:rsid w:val="003638A8"/>
    <w:rsid w:val="00365CB6"/>
    <w:rsid w:val="00366ED2"/>
    <w:rsid w:val="0036718E"/>
    <w:rsid w:val="00370122"/>
    <w:rsid w:val="00371A11"/>
    <w:rsid w:val="00372CE8"/>
    <w:rsid w:val="00373B2D"/>
    <w:rsid w:val="00375FF1"/>
    <w:rsid w:val="00380ED8"/>
    <w:rsid w:val="00384B57"/>
    <w:rsid w:val="00385246"/>
    <w:rsid w:val="00385787"/>
    <w:rsid w:val="003905DF"/>
    <w:rsid w:val="0039062C"/>
    <w:rsid w:val="00391326"/>
    <w:rsid w:val="003913FD"/>
    <w:rsid w:val="0039241A"/>
    <w:rsid w:val="003942FA"/>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27FCA"/>
    <w:rsid w:val="00430A76"/>
    <w:rsid w:val="00430F28"/>
    <w:rsid w:val="00431529"/>
    <w:rsid w:val="0043512A"/>
    <w:rsid w:val="00436D22"/>
    <w:rsid w:val="00437B3E"/>
    <w:rsid w:val="00443162"/>
    <w:rsid w:val="004509BD"/>
    <w:rsid w:val="00450E63"/>
    <w:rsid w:val="00451757"/>
    <w:rsid w:val="00451BA9"/>
    <w:rsid w:val="004534A4"/>
    <w:rsid w:val="004547A2"/>
    <w:rsid w:val="00454ED4"/>
    <w:rsid w:val="00456364"/>
    <w:rsid w:val="00456B16"/>
    <w:rsid w:val="00460BB2"/>
    <w:rsid w:val="00463335"/>
    <w:rsid w:val="004633E9"/>
    <w:rsid w:val="00471710"/>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19C"/>
    <w:rsid w:val="00496229"/>
    <w:rsid w:val="00496595"/>
    <w:rsid w:val="004979D8"/>
    <w:rsid w:val="004A31B8"/>
    <w:rsid w:val="004A6C6B"/>
    <w:rsid w:val="004A6E56"/>
    <w:rsid w:val="004B077E"/>
    <w:rsid w:val="004B078A"/>
    <w:rsid w:val="004B0C59"/>
    <w:rsid w:val="004B1826"/>
    <w:rsid w:val="004B4172"/>
    <w:rsid w:val="004B7756"/>
    <w:rsid w:val="004C3431"/>
    <w:rsid w:val="004C3C32"/>
    <w:rsid w:val="004C624C"/>
    <w:rsid w:val="004D0ADB"/>
    <w:rsid w:val="004D5448"/>
    <w:rsid w:val="004E061F"/>
    <w:rsid w:val="004E0DEC"/>
    <w:rsid w:val="004E39E4"/>
    <w:rsid w:val="004E3FFF"/>
    <w:rsid w:val="004E4E33"/>
    <w:rsid w:val="004E561F"/>
    <w:rsid w:val="004E5B4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0096"/>
    <w:rsid w:val="00591A10"/>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34D1"/>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606"/>
    <w:rsid w:val="005D7FB0"/>
    <w:rsid w:val="005E17F9"/>
    <w:rsid w:val="005E2756"/>
    <w:rsid w:val="005E35C3"/>
    <w:rsid w:val="005E36E1"/>
    <w:rsid w:val="005E52D2"/>
    <w:rsid w:val="005E54C9"/>
    <w:rsid w:val="005E55D1"/>
    <w:rsid w:val="005E6896"/>
    <w:rsid w:val="005E7EE6"/>
    <w:rsid w:val="005F0345"/>
    <w:rsid w:val="005F3DAF"/>
    <w:rsid w:val="005F421A"/>
    <w:rsid w:val="005F68EE"/>
    <w:rsid w:val="00607221"/>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299"/>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67F0"/>
    <w:rsid w:val="00677CDB"/>
    <w:rsid w:val="00687887"/>
    <w:rsid w:val="00692AB4"/>
    <w:rsid w:val="00692B30"/>
    <w:rsid w:val="0069414A"/>
    <w:rsid w:val="00697548"/>
    <w:rsid w:val="006A4814"/>
    <w:rsid w:val="006A7918"/>
    <w:rsid w:val="006B037A"/>
    <w:rsid w:val="006B06BF"/>
    <w:rsid w:val="006B1391"/>
    <w:rsid w:val="006B1B31"/>
    <w:rsid w:val="006B6510"/>
    <w:rsid w:val="006C1FFA"/>
    <w:rsid w:val="006C29EA"/>
    <w:rsid w:val="006C4812"/>
    <w:rsid w:val="006C607F"/>
    <w:rsid w:val="006C7429"/>
    <w:rsid w:val="006D0A0A"/>
    <w:rsid w:val="006D21C5"/>
    <w:rsid w:val="006D31D1"/>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691C"/>
    <w:rsid w:val="007271A3"/>
    <w:rsid w:val="00730FCE"/>
    <w:rsid w:val="00735190"/>
    <w:rsid w:val="00735B88"/>
    <w:rsid w:val="007379E1"/>
    <w:rsid w:val="00742C58"/>
    <w:rsid w:val="00743FAE"/>
    <w:rsid w:val="0074461A"/>
    <w:rsid w:val="00746A06"/>
    <w:rsid w:val="00747685"/>
    <w:rsid w:val="00747CA7"/>
    <w:rsid w:val="00750998"/>
    <w:rsid w:val="007509AD"/>
    <w:rsid w:val="007517A1"/>
    <w:rsid w:val="00753DBB"/>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793"/>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03F1"/>
    <w:rsid w:val="00851803"/>
    <w:rsid w:val="00851902"/>
    <w:rsid w:val="00852E46"/>
    <w:rsid w:val="008532CC"/>
    <w:rsid w:val="008564AB"/>
    <w:rsid w:val="008620B7"/>
    <w:rsid w:val="00862B4F"/>
    <w:rsid w:val="008636A4"/>
    <w:rsid w:val="00863AA2"/>
    <w:rsid w:val="008648A9"/>
    <w:rsid w:val="00866AAF"/>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2B64"/>
    <w:rsid w:val="008B4030"/>
    <w:rsid w:val="008B5A3F"/>
    <w:rsid w:val="008B5C45"/>
    <w:rsid w:val="008B6836"/>
    <w:rsid w:val="008C0B64"/>
    <w:rsid w:val="008C16A8"/>
    <w:rsid w:val="008C214E"/>
    <w:rsid w:val="008C2C8E"/>
    <w:rsid w:val="008C3D69"/>
    <w:rsid w:val="008C524B"/>
    <w:rsid w:val="008C7825"/>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16969"/>
    <w:rsid w:val="00920AAC"/>
    <w:rsid w:val="0092515C"/>
    <w:rsid w:val="009272B7"/>
    <w:rsid w:val="00927D41"/>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2BFC"/>
    <w:rsid w:val="009B6E93"/>
    <w:rsid w:val="009C0657"/>
    <w:rsid w:val="009C1E06"/>
    <w:rsid w:val="009D02C0"/>
    <w:rsid w:val="009D283F"/>
    <w:rsid w:val="009D6173"/>
    <w:rsid w:val="009E3970"/>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88D"/>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187B"/>
    <w:rsid w:val="00AC484B"/>
    <w:rsid w:val="00AD0240"/>
    <w:rsid w:val="00AD1225"/>
    <w:rsid w:val="00AD2534"/>
    <w:rsid w:val="00AD7159"/>
    <w:rsid w:val="00AD748A"/>
    <w:rsid w:val="00AE3874"/>
    <w:rsid w:val="00AE48D8"/>
    <w:rsid w:val="00AE5EC5"/>
    <w:rsid w:val="00AE6248"/>
    <w:rsid w:val="00AE7C8F"/>
    <w:rsid w:val="00AF19D1"/>
    <w:rsid w:val="00AF1BC4"/>
    <w:rsid w:val="00AF206E"/>
    <w:rsid w:val="00AF2AF2"/>
    <w:rsid w:val="00AF3D3C"/>
    <w:rsid w:val="00AF43AB"/>
    <w:rsid w:val="00AF4907"/>
    <w:rsid w:val="00AF7012"/>
    <w:rsid w:val="00B00D10"/>
    <w:rsid w:val="00B01722"/>
    <w:rsid w:val="00B01ECF"/>
    <w:rsid w:val="00B05624"/>
    <w:rsid w:val="00B05E7F"/>
    <w:rsid w:val="00B061FD"/>
    <w:rsid w:val="00B072B8"/>
    <w:rsid w:val="00B1257B"/>
    <w:rsid w:val="00B14F1F"/>
    <w:rsid w:val="00B17AC0"/>
    <w:rsid w:val="00B26D1E"/>
    <w:rsid w:val="00B31A96"/>
    <w:rsid w:val="00B32ABB"/>
    <w:rsid w:val="00B32E1C"/>
    <w:rsid w:val="00B40A00"/>
    <w:rsid w:val="00B43813"/>
    <w:rsid w:val="00B44E0F"/>
    <w:rsid w:val="00B44E2B"/>
    <w:rsid w:val="00B45F25"/>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0A7F"/>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4404"/>
    <w:rsid w:val="00C9646B"/>
    <w:rsid w:val="00C96B5F"/>
    <w:rsid w:val="00CA2691"/>
    <w:rsid w:val="00CA546A"/>
    <w:rsid w:val="00CB28DE"/>
    <w:rsid w:val="00CB60BF"/>
    <w:rsid w:val="00CB66DF"/>
    <w:rsid w:val="00CB70E2"/>
    <w:rsid w:val="00CB7C7B"/>
    <w:rsid w:val="00CC03C2"/>
    <w:rsid w:val="00CC0494"/>
    <w:rsid w:val="00CC1239"/>
    <w:rsid w:val="00CC5D2D"/>
    <w:rsid w:val="00CC5D76"/>
    <w:rsid w:val="00CC6780"/>
    <w:rsid w:val="00CD0F27"/>
    <w:rsid w:val="00CD1215"/>
    <w:rsid w:val="00CD16F8"/>
    <w:rsid w:val="00CD285B"/>
    <w:rsid w:val="00CD290B"/>
    <w:rsid w:val="00CD2CA7"/>
    <w:rsid w:val="00CD4C54"/>
    <w:rsid w:val="00CD644B"/>
    <w:rsid w:val="00CE2059"/>
    <w:rsid w:val="00CE3BE6"/>
    <w:rsid w:val="00CE5B8A"/>
    <w:rsid w:val="00CE662B"/>
    <w:rsid w:val="00CE7B12"/>
    <w:rsid w:val="00CF001F"/>
    <w:rsid w:val="00CF1D75"/>
    <w:rsid w:val="00CF3F50"/>
    <w:rsid w:val="00CF5A42"/>
    <w:rsid w:val="00D01B68"/>
    <w:rsid w:val="00D01EFC"/>
    <w:rsid w:val="00D02C3C"/>
    <w:rsid w:val="00D03B9F"/>
    <w:rsid w:val="00D0747D"/>
    <w:rsid w:val="00D07C9B"/>
    <w:rsid w:val="00D100D9"/>
    <w:rsid w:val="00D115E0"/>
    <w:rsid w:val="00D116F4"/>
    <w:rsid w:val="00D134D5"/>
    <w:rsid w:val="00D170C7"/>
    <w:rsid w:val="00D1799A"/>
    <w:rsid w:val="00D203C9"/>
    <w:rsid w:val="00D2151F"/>
    <w:rsid w:val="00D238C7"/>
    <w:rsid w:val="00D24040"/>
    <w:rsid w:val="00D24A8D"/>
    <w:rsid w:val="00D26582"/>
    <w:rsid w:val="00D26594"/>
    <w:rsid w:val="00D26645"/>
    <w:rsid w:val="00D2742F"/>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66FE4"/>
    <w:rsid w:val="00D805D3"/>
    <w:rsid w:val="00D85385"/>
    <w:rsid w:val="00D92045"/>
    <w:rsid w:val="00D929BC"/>
    <w:rsid w:val="00D93737"/>
    <w:rsid w:val="00D9770E"/>
    <w:rsid w:val="00DA0660"/>
    <w:rsid w:val="00DA1C1E"/>
    <w:rsid w:val="00DA1E29"/>
    <w:rsid w:val="00DA2737"/>
    <w:rsid w:val="00DA580F"/>
    <w:rsid w:val="00DA592B"/>
    <w:rsid w:val="00DA5B96"/>
    <w:rsid w:val="00DA5E98"/>
    <w:rsid w:val="00DA632A"/>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C7A"/>
    <w:rsid w:val="00E05D95"/>
    <w:rsid w:val="00E07ACB"/>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020E"/>
    <w:rsid w:val="00E42187"/>
    <w:rsid w:val="00E438D5"/>
    <w:rsid w:val="00E46554"/>
    <w:rsid w:val="00E46C36"/>
    <w:rsid w:val="00E47427"/>
    <w:rsid w:val="00E47E94"/>
    <w:rsid w:val="00E525CC"/>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456D"/>
    <w:rsid w:val="00EB6851"/>
    <w:rsid w:val="00EC23F0"/>
    <w:rsid w:val="00EC5CA2"/>
    <w:rsid w:val="00ED1BA3"/>
    <w:rsid w:val="00ED4882"/>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535"/>
    <w:rsid w:val="00F21C2E"/>
    <w:rsid w:val="00F21D42"/>
    <w:rsid w:val="00F242D4"/>
    <w:rsid w:val="00F24FF4"/>
    <w:rsid w:val="00F30608"/>
    <w:rsid w:val="00F30C86"/>
    <w:rsid w:val="00F329E0"/>
    <w:rsid w:val="00F35988"/>
    <w:rsid w:val="00F3707B"/>
    <w:rsid w:val="00F43368"/>
    <w:rsid w:val="00F43EC4"/>
    <w:rsid w:val="00F46BB4"/>
    <w:rsid w:val="00F4760A"/>
    <w:rsid w:val="00F47943"/>
    <w:rsid w:val="00F51180"/>
    <w:rsid w:val="00F60496"/>
    <w:rsid w:val="00F604F7"/>
    <w:rsid w:val="00F619D6"/>
    <w:rsid w:val="00F622FC"/>
    <w:rsid w:val="00F62721"/>
    <w:rsid w:val="00F6531C"/>
    <w:rsid w:val="00F655E2"/>
    <w:rsid w:val="00F66BC7"/>
    <w:rsid w:val="00F674B6"/>
    <w:rsid w:val="00F7117D"/>
    <w:rsid w:val="00F71AC6"/>
    <w:rsid w:val="00F71D09"/>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028A"/>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mso-position-vertical-relative:line" fillcolor="yellow">
      <v:fill color="yellow"/>
      <v:textbox style="mso-fit-shape-to-text:t"/>
    </o:shapedefaults>
    <o:shapelayout v:ext="edit">
      <o:idmap v:ext="edit" data="1"/>
    </o:shapelayout>
  </w:shapeDefaults>
  <w:decimalSymbol w:val="."/>
  <w:listSeparator w:val=","/>
  <w14:docId w14:val="2D2B4B69"/>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097E14"/>
    <w:pPr>
      <w:keepNext/>
      <w:numPr>
        <w:numId w:val="8"/>
      </w:numPr>
      <w:ind w:left="0" w:firstLine="0"/>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097E14"/>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3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table" w:customStyle="1" w:styleId="TableGrid0">
    <w:name w:val="TableGrid"/>
    <w:rsid w:val="005E7EE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D02C0"/>
    <w:rPr>
      <w:sz w:val="16"/>
      <w:szCs w:val="16"/>
    </w:rPr>
  </w:style>
  <w:style w:type="paragraph" w:styleId="CommentText">
    <w:name w:val="annotation text"/>
    <w:basedOn w:val="Normal"/>
    <w:link w:val="CommentTextChar"/>
    <w:uiPriority w:val="99"/>
    <w:semiHidden/>
    <w:unhideWhenUsed/>
    <w:rsid w:val="009D02C0"/>
    <w:rPr>
      <w:sz w:val="20"/>
      <w:szCs w:val="20"/>
    </w:rPr>
  </w:style>
  <w:style w:type="character" w:customStyle="1" w:styleId="CommentTextChar">
    <w:name w:val="Comment Text Char"/>
    <w:basedOn w:val="DefaultParagraphFont"/>
    <w:link w:val="CommentText"/>
    <w:uiPriority w:val="99"/>
    <w:semiHidden/>
    <w:rsid w:val="009D02C0"/>
  </w:style>
  <w:style w:type="paragraph" w:styleId="CommentSubject">
    <w:name w:val="annotation subject"/>
    <w:basedOn w:val="CommentText"/>
    <w:next w:val="CommentText"/>
    <w:link w:val="CommentSubjectChar"/>
    <w:uiPriority w:val="99"/>
    <w:semiHidden/>
    <w:unhideWhenUsed/>
    <w:rsid w:val="009D02C0"/>
    <w:rPr>
      <w:b/>
      <w:bCs/>
    </w:rPr>
  </w:style>
  <w:style w:type="character" w:customStyle="1" w:styleId="CommentSubjectChar">
    <w:name w:val="Comment Subject Char"/>
    <w:basedOn w:val="CommentTextChar"/>
    <w:link w:val="CommentSubject"/>
    <w:uiPriority w:val="99"/>
    <w:semiHidden/>
    <w:rsid w:val="009D02C0"/>
    <w:rPr>
      <w:b/>
      <w:bCs/>
    </w:rPr>
  </w:style>
  <w:style w:type="character" w:styleId="UnresolvedMention">
    <w:name w:val="Unresolved Mention"/>
    <w:basedOn w:val="DefaultParagraphFont"/>
    <w:uiPriority w:val="99"/>
    <w:semiHidden/>
    <w:unhideWhenUsed/>
    <w:rsid w:val="00607221"/>
    <w:rPr>
      <w:color w:val="605E5C"/>
      <w:shd w:val="clear" w:color="auto" w:fill="E1DFDD"/>
    </w:rPr>
  </w:style>
  <w:style w:type="paragraph" w:styleId="Bibliography">
    <w:name w:val="Bibliography"/>
    <w:basedOn w:val="Normal"/>
    <w:next w:val="Normal"/>
    <w:uiPriority w:val="37"/>
    <w:unhideWhenUsed/>
    <w:rsid w:val="00607221"/>
  </w:style>
  <w:style w:type="character" w:styleId="LineNumber">
    <w:name w:val="line number"/>
    <w:basedOn w:val="DefaultParagraphFont"/>
    <w:uiPriority w:val="99"/>
    <w:semiHidden/>
    <w:unhideWhenUsed/>
    <w:rsid w:val="00851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41926174">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09306194">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785780602">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494222509">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65039728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sha.gov/laws-regs/regulations/standardnumber/1910/1910.151" TargetMode="Externa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stevenc@fnal.gov" TargetMode="External"/><Relationship Id="rId20" Type="http://schemas.openxmlformats.org/officeDocument/2006/relationships/image" Target="media/image5.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mailto:stevenc@fnal.gov" TargetMode="External"/><Relationship Id="rId23" Type="http://schemas.openxmlformats.org/officeDocument/2006/relationships/image" Target="cid:image005.png@01D8219E.D90B3790" TargetMode="External"/><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sha.gov/laws-regs/standardinterpretations/2009-06-01" TargetMode="External"/><Relationship Id="rId22" Type="http://schemas.openxmlformats.org/officeDocument/2006/relationships/image" Target="media/image7.png"/><Relationship Id="rId27" Type="http://schemas.openxmlformats.org/officeDocument/2006/relationships/header" Target="head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Ame15</b:Tag>
    <b:SourceType>Report</b:SourceType>
    <b:Guid>{33165884-F823-4AAD-A0E9-825C12243A87}</b:Guid>
    <b:Title>American National Standard for Emergency Eyewash and Shower Equipment</b:Title>
    <b:Year>2015</b:Year>
    <b:YearAccessed>2021</b:YearAccessed>
    <b:MonthAccessed>December</b:MonthAccessed>
    <b:StandardNumber>Z358.1-2014</b:StandardNumber>
    <b:Author>
      <b:Author>
        <b:NameList>
          <b:Person>
            <b:Last>American National Standards Institute</b:Last>
            <b:First>Inc.</b:First>
          </b:Person>
        </b:NameList>
      </b:Author>
    </b:Author>
    <b:City>Arlington</b:City>
    <b:Publisher>International Safety Equipment Association</b:Publisher>
    <b:RefOrder>1</b:RefOrder>
  </b:Source>
  <b:Source>
    <b:Tag>Ric09</b:Tag>
    <b:SourceType>DocumentFromInternetSite</b:SourceType>
    <b:Guid>{200A73EF-69F3-457D-A33B-D77D93993C68}</b:Guid>
    <b:Title>Occupational Safety and Health Administration (Standard No. 1910.151 ; 1910.151(c))</b:Title>
    <b:Year>2009</b:Year>
    <b:Month>June</b:Month>
    <b:Day>1</b:Day>
    <b:YearAccessed>2021</b:YearAccessed>
    <b:MonthAccessed>December</b:MonthAccessed>
    <b:URL>https://www.osha.gov/laws-regs/standardinterpretations/2009-06-01</b:URL>
    <b:StandardNumber>1910.151 ; 1910.151(c)</b:StandardNumber>
    <b:Author>
      <b:Author>
        <b:NameList>
          <b:Person>
            <b:Last>Richard E Fairfax</b:Last>
            <b:First>Director</b:First>
          </b:Person>
        </b:NameList>
      </b:Author>
    </b:Author>
    <b:RefOrder>2</b:RefOrder>
  </b:Source>
</b:Sources>
</file>

<file path=customXml/itemProps1.xml><?xml version="1.0" encoding="utf-8"?>
<ds:datastoreItem xmlns:ds="http://schemas.openxmlformats.org/officeDocument/2006/customXml" ds:itemID="{DE46561D-BC5E-43B3-8CE9-D29504B3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16548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Suzanne M Weber</cp:lastModifiedBy>
  <cp:revision>3</cp:revision>
  <cp:lastPrinted>2022-01-25T15:27:00Z</cp:lastPrinted>
  <dcterms:created xsi:type="dcterms:W3CDTF">2022-04-29T17:06:00Z</dcterms:created>
  <dcterms:modified xsi:type="dcterms:W3CDTF">2022-04-29T17:09:00Z</dcterms:modified>
</cp:coreProperties>
</file>